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10014"/>
      </w:tblGrid>
      <w:tr w:rsidR="003D2634" w:rsidRPr="00B44F0A" w:rsidTr="001973D8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3D2634" w:rsidRPr="00B44F0A" w:rsidRDefault="003D2634" w:rsidP="001973D8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2C108E36" wp14:editId="122C7ACC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3D2634" w:rsidRPr="00B44F0A" w:rsidRDefault="003D2634" w:rsidP="001973D8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bookmarkStart w:id="0" w:name="_GoBack"/>
            <w:r>
              <w:rPr>
                <w:color w:val="FFE599"/>
              </w:rPr>
              <w:t>ЗАКЉУЧАК</w:t>
            </w:r>
          </w:p>
          <w:p w:rsidR="003D2634" w:rsidRPr="003D2634" w:rsidRDefault="003D2634" w:rsidP="003D2634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УСВАЈАЊУ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АКЦИОНОГ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ПЛАНА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СПРОВОЂЕЊЕ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ПЛАНА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РАЗВОЈА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ЦАРИНСКЕ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СЛУЖБЕ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РЕПУБЛИКЕ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СРБИЈЕ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ПЕРИОД</w:t>
            </w:r>
            <w:r w:rsidRPr="003D2634">
              <w:rPr>
                <w:lang w:val="sr-Cyrl-RS"/>
              </w:rPr>
              <w:t xml:space="preserve"> 2017-2020. </w:t>
            </w:r>
            <w:r>
              <w:rPr>
                <w:lang w:val="sr-Cyrl-RS"/>
              </w:rPr>
              <w:t>ГОДИНЕ</w:t>
            </w:r>
          </w:p>
          <w:p w:rsidR="003D2634" w:rsidRPr="00B44F0A" w:rsidRDefault="003D2634" w:rsidP="003D2634">
            <w:pPr>
              <w:pStyle w:val="podnaslovpropisa"/>
              <w:rPr>
                <w:sz w:val="18"/>
                <w:szCs w:val="18"/>
              </w:rPr>
            </w:pPr>
            <w:r w:rsidRPr="003D2634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3D2634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3D263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3D2634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3D2634">
              <w:rPr>
                <w:lang w:val="sr-Cyrl-RS"/>
              </w:rPr>
              <w:t>. 116/2017)</w:t>
            </w:r>
            <w:bookmarkEnd w:id="0"/>
          </w:p>
        </w:tc>
      </w:tr>
    </w:tbl>
    <w:p w:rsidR="003D2634" w:rsidRDefault="003D2634" w:rsidP="003D2634">
      <w:pPr>
        <w:pStyle w:val="BodyText"/>
        <w:rPr>
          <w:sz w:val="20"/>
        </w:rPr>
      </w:pPr>
    </w:p>
    <w:p w:rsidR="003D2634" w:rsidRDefault="003D2634" w:rsidP="003D2634">
      <w:pPr>
        <w:pStyle w:val="BodyText"/>
        <w:rPr>
          <w:sz w:val="20"/>
        </w:rPr>
      </w:pPr>
    </w:p>
    <w:p w:rsidR="003D2634" w:rsidRDefault="003D2634" w:rsidP="003D2634">
      <w:pPr>
        <w:pStyle w:val="BodyText"/>
        <w:rPr>
          <w:sz w:val="20"/>
        </w:rPr>
      </w:pPr>
    </w:p>
    <w:p w:rsidR="003D2634" w:rsidRDefault="003D2634" w:rsidP="003D2634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4F6F9B08" wp14:editId="079B6138">
            <wp:extent cx="6851650" cy="1672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34" w:rsidRDefault="003D2634">
      <w:pPr>
        <w:rPr>
          <w:sz w:val="20"/>
        </w:rPr>
        <w:sectPr w:rsidR="003D2634" w:rsidSect="003D2634">
          <w:type w:val="continuous"/>
          <w:pgSz w:w="12480" w:h="15690"/>
          <w:pgMar w:top="880" w:right="740" w:bottom="280" w:left="740" w:header="720" w:footer="720" w:gutter="0"/>
          <w:cols w:space="40"/>
        </w:sectPr>
      </w:pPr>
    </w:p>
    <w:p w:rsidR="003D2634" w:rsidRDefault="003D2634">
      <w:pPr>
        <w:rPr>
          <w:sz w:val="20"/>
          <w:szCs w:val="18"/>
        </w:rPr>
      </w:pPr>
      <w:r>
        <w:rPr>
          <w:sz w:val="20"/>
        </w:rPr>
        <w:br w:type="page"/>
      </w:r>
    </w:p>
    <w:p w:rsidR="005F4CB9" w:rsidRDefault="003D2634">
      <w:pPr>
        <w:pStyle w:val="BodyText"/>
        <w:rPr>
          <w:sz w:val="20"/>
        </w:rPr>
      </w:pPr>
      <w:r>
        <w:lastRenderedPageBreak/>
        <w:pict>
          <v:line id="_x0000_s1027" style="position:absolute;z-index:251657216;mso-position-horizontal-relative:page;mso-position-vertical-relative:page" from="318.9pt,49.85pt" to="318.9pt,748.95pt" strokecolor="#231f20" strokeweight=".6pt">
            <w10:wrap anchorx="page" anchory="page"/>
          </v:line>
        </w:pict>
      </w: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1"/>
        <w:rPr>
          <w:sz w:val="27"/>
        </w:rPr>
      </w:pPr>
    </w:p>
    <w:p w:rsidR="005F4CB9" w:rsidRDefault="003D2634">
      <w:pPr>
        <w:spacing w:line="205" w:lineRule="exact"/>
        <w:ind w:left="2170"/>
        <w:rPr>
          <w:b/>
          <w:sz w:val="18"/>
        </w:rPr>
      </w:pPr>
      <w:r>
        <w:rPr>
          <w:b/>
          <w:color w:val="231F20"/>
          <w:sz w:val="18"/>
        </w:rPr>
        <w:t>АКЦИОНИ ПЛАН</w:t>
      </w:r>
    </w:p>
    <w:p w:rsidR="005F4CB9" w:rsidRDefault="003D2634">
      <w:pPr>
        <w:spacing w:before="1" w:line="235" w:lineRule="auto"/>
        <w:ind w:left="602" w:right="-14" w:hanging="209"/>
        <w:rPr>
          <w:b/>
          <w:sz w:val="18"/>
        </w:rPr>
      </w:pPr>
      <w:r>
        <w:rPr>
          <w:b/>
          <w:color w:val="231F20"/>
          <w:sz w:val="18"/>
        </w:rPr>
        <w:t xml:space="preserve">ЗА СПРОВОЂЕЊЕ ПЛАНА </w:t>
      </w:r>
      <w:r>
        <w:rPr>
          <w:b/>
          <w:color w:val="231F20"/>
          <w:spacing w:val="-5"/>
          <w:sz w:val="18"/>
        </w:rPr>
        <w:t xml:space="preserve">РАЗВОЈА </w:t>
      </w:r>
      <w:r>
        <w:rPr>
          <w:b/>
          <w:color w:val="231F20"/>
          <w:sz w:val="18"/>
        </w:rPr>
        <w:t xml:space="preserve">ЦАРИНСКЕ СЛУЖБЕ РЕПУБЛИКЕ СРБИЈЕ ЗА ПЕРИОД 2017–2020. </w:t>
      </w:r>
      <w:r>
        <w:rPr>
          <w:b/>
          <w:color w:val="231F20"/>
          <w:spacing w:val="-3"/>
          <w:sz w:val="18"/>
        </w:rPr>
        <w:t>ГОДИНЕ</w:t>
      </w:r>
    </w:p>
    <w:p w:rsidR="005F4CB9" w:rsidRDefault="003D2634">
      <w:pPr>
        <w:pStyle w:val="ListParagraph"/>
        <w:numPr>
          <w:ilvl w:val="0"/>
          <w:numId w:val="2"/>
        </w:numPr>
        <w:tabs>
          <w:tab w:val="left" w:pos="2775"/>
        </w:tabs>
        <w:spacing w:before="166" w:line="240" w:lineRule="auto"/>
        <w:ind w:firstLine="2119"/>
        <w:jc w:val="left"/>
        <w:rPr>
          <w:sz w:val="18"/>
        </w:rPr>
      </w:pPr>
      <w:r>
        <w:rPr>
          <w:color w:val="231F20"/>
          <w:spacing w:val="-3"/>
          <w:sz w:val="18"/>
        </w:rPr>
        <w:t>УВОД</w:t>
      </w:r>
    </w:p>
    <w:p w:rsidR="005F4CB9" w:rsidRDefault="005F4CB9">
      <w:pPr>
        <w:pStyle w:val="BodyText"/>
        <w:spacing w:before="6"/>
        <w:rPr>
          <w:sz w:val="17"/>
        </w:rPr>
      </w:pPr>
    </w:p>
    <w:p w:rsidR="005F4CB9" w:rsidRDefault="003D2634">
      <w:pPr>
        <w:pStyle w:val="BodyText"/>
        <w:spacing w:line="235" w:lineRule="auto"/>
        <w:ind w:left="393" w:firstLine="397"/>
        <w:jc w:val="both"/>
      </w:pPr>
      <w:r>
        <w:rPr>
          <w:color w:val="231F20"/>
        </w:rPr>
        <w:t>План развоја царинске службе Републике Србије за период 2017–2020. године је израђен са циљем да оствари визију модер- не државне институције која успешно извршава своје задатке и на квалитетан и ефикасан начин пружа услуге пословној заједници. Он обухвата</w:t>
      </w:r>
      <w:r>
        <w:rPr>
          <w:color w:val="231F20"/>
        </w:rPr>
        <w:t xml:space="preserve"> кључне циљеве и то:</w:t>
      </w:r>
    </w:p>
    <w:p w:rsidR="005F4CB9" w:rsidRDefault="003D2634">
      <w:pPr>
        <w:pStyle w:val="ListParagraph"/>
        <w:numPr>
          <w:ilvl w:val="0"/>
          <w:numId w:val="1"/>
        </w:numPr>
        <w:tabs>
          <w:tab w:val="left" w:pos="972"/>
        </w:tabs>
        <w:spacing w:line="201" w:lineRule="exact"/>
        <w:ind w:firstLine="397"/>
        <w:rPr>
          <w:sz w:val="18"/>
        </w:rPr>
      </w:pPr>
      <w:r>
        <w:rPr>
          <w:color w:val="231F20"/>
          <w:sz w:val="18"/>
        </w:rPr>
        <w:t>ЕУ интеграције и јачање међународне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сарадње;</w:t>
      </w:r>
    </w:p>
    <w:p w:rsidR="005F4CB9" w:rsidRDefault="003D2634">
      <w:pPr>
        <w:pStyle w:val="ListParagraph"/>
        <w:numPr>
          <w:ilvl w:val="0"/>
          <w:numId w:val="1"/>
        </w:numPr>
        <w:tabs>
          <w:tab w:val="left" w:pos="972"/>
        </w:tabs>
        <w:ind w:firstLine="397"/>
        <w:rPr>
          <w:sz w:val="18"/>
        </w:rPr>
      </w:pPr>
      <w:r>
        <w:rPr>
          <w:color w:val="231F20"/>
          <w:spacing w:val="-3"/>
          <w:sz w:val="18"/>
        </w:rPr>
        <w:t xml:space="preserve">Управљање </w:t>
      </w:r>
      <w:r>
        <w:rPr>
          <w:color w:val="231F20"/>
          <w:sz w:val="18"/>
        </w:rPr>
        <w:t>и развој људских ресурса;</w:t>
      </w:r>
    </w:p>
    <w:p w:rsidR="005F4CB9" w:rsidRDefault="003D2634">
      <w:pPr>
        <w:pStyle w:val="ListParagraph"/>
        <w:numPr>
          <w:ilvl w:val="0"/>
          <w:numId w:val="1"/>
        </w:numPr>
        <w:tabs>
          <w:tab w:val="left" w:pos="972"/>
        </w:tabs>
        <w:ind w:left="971"/>
        <w:rPr>
          <w:sz w:val="18"/>
        </w:rPr>
      </w:pPr>
      <w:r>
        <w:rPr>
          <w:color w:val="231F20"/>
          <w:sz w:val="18"/>
        </w:rPr>
        <w:t>Ефективни царински поступци 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контроле;</w:t>
      </w:r>
    </w:p>
    <w:p w:rsidR="005F4CB9" w:rsidRDefault="003D2634">
      <w:pPr>
        <w:pStyle w:val="ListParagraph"/>
        <w:numPr>
          <w:ilvl w:val="0"/>
          <w:numId w:val="1"/>
        </w:numPr>
        <w:tabs>
          <w:tab w:val="left" w:pos="972"/>
        </w:tabs>
        <w:ind w:firstLine="397"/>
        <w:rPr>
          <w:sz w:val="18"/>
        </w:rPr>
      </w:pPr>
      <w:r>
        <w:rPr>
          <w:color w:val="231F20"/>
          <w:sz w:val="18"/>
        </w:rPr>
        <w:t>Ефикасна наплата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прихода;</w:t>
      </w:r>
    </w:p>
    <w:p w:rsidR="005F4CB9" w:rsidRDefault="003D2634">
      <w:pPr>
        <w:pStyle w:val="ListParagraph"/>
        <w:numPr>
          <w:ilvl w:val="0"/>
          <w:numId w:val="1"/>
        </w:numPr>
        <w:tabs>
          <w:tab w:val="left" w:pos="972"/>
        </w:tabs>
        <w:ind w:firstLine="397"/>
        <w:rPr>
          <w:sz w:val="18"/>
        </w:rPr>
      </w:pPr>
      <w:r>
        <w:rPr>
          <w:color w:val="231F20"/>
          <w:spacing w:val="-3"/>
          <w:sz w:val="18"/>
        </w:rPr>
        <w:t xml:space="preserve">Стратешко </w:t>
      </w:r>
      <w:r>
        <w:rPr>
          <w:color w:val="231F20"/>
          <w:sz w:val="18"/>
        </w:rPr>
        <w:t>управљање, модернизација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реформе;</w:t>
      </w:r>
    </w:p>
    <w:p w:rsidR="005F4CB9" w:rsidRDefault="003D2634">
      <w:pPr>
        <w:pStyle w:val="ListParagraph"/>
        <w:numPr>
          <w:ilvl w:val="0"/>
          <w:numId w:val="1"/>
        </w:numPr>
        <w:tabs>
          <w:tab w:val="left" w:pos="1002"/>
        </w:tabs>
        <w:spacing w:before="1" w:line="235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>Јачање интегритета, антикоруптивне политик</w:t>
      </w:r>
      <w:r>
        <w:rPr>
          <w:color w:val="231F20"/>
          <w:sz w:val="18"/>
        </w:rPr>
        <w:t>е и превен- тивних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мера;</w:t>
      </w:r>
    </w:p>
    <w:p w:rsidR="005F4CB9" w:rsidRDefault="003D2634">
      <w:pPr>
        <w:pStyle w:val="ListParagraph"/>
        <w:numPr>
          <w:ilvl w:val="0"/>
          <w:numId w:val="1"/>
        </w:numPr>
        <w:tabs>
          <w:tab w:val="left" w:pos="971"/>
        </w:tabs>
        <w:spacing w:line="201" w:lineRule="exact"/>
        <w:ind w:left="970"/>
        <w:rPr>
          <w:sz w:val="18"/>
        </w:rPr>
      </w:pPr>
      <w:r>
        <w:rPr>
          <w:color w:val="231F20"/>
          <w:sz w:val="18"/>
        </w:rPr>
        <w:t>Побољшање услова рада;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</w:p>
    <w:p w:rsidR="005F4CB9" w:rsidRDefault="003D2634">
      <w:pPr>
        <w:pStyle w:val="ListParagraph"/>
        <w:numPr>
          <w:ilvl w:val="0"/>
          <w:numId w:val="1"/>
        </w:numPr>
        <w:tabs>
          <w:tab w:val="left" w:pos="972"/>
        </w:tabs>
        <w:spacing w:before="2" w:line="235" w:lineRule="auto"/>
        <w:ind w:left="790" w:firstLine="1"/>
        <w:rPr>
          <w:sz w:val="18"/>
        </w:rPr>
      </w:pPr>
      <w:r>
        <w:rPr>
          <w:color w:val="231F20"/>
          <w:sz w:val="18"/>
        </w:rPr>
        <w:t xml:space="preserve">Развој информационих и комуникационих технологија. </w:t>
      </w:r>
      <w:r>
        <w:rPr>
          <w:color w:val="231F20"/>
          <w:spacing w:val="-4"/>
          <w:sz w:val="18"/>
        </w:rPr>
        <w:t xml:space="preserve">Управа </w:t>
      </w:r>
      <w:r>
        <w:rPr>
          <w:color w:val="231F20"/>
          <w:sz w:val="18"/>
        </w:rPr>
        <w:t xml:space="preserve">царина (УЦ) је у </w:t>
      </w:r>
      <w:r>
        <w:rPr>
          <w:color w:val="231F20"/>
          <w:spacing w:val="-3"/>
          <w:sz w:val="18"/>
        </w:rPr>
        <w:t xml:space="preserve">претходном </w:t>
      </w:r>
      <w:r>
        <w:rPr>
          <w:color w:val="231F20"/>
          <w:sz w:val="18"/>
        </w:rPr>
        <w:t>периоду имала 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приме-</w:t>
      </w:r>
    </w:p>
    <w:p w:rsidR="005F4CB9" w:rsidRDefault="003D2634">
      <w:pPr>
        <w:pStyle w:val="BodyText"/>
        <w:spacing w:line="235" w:lineRule="auto"/>
        <w:ind w:left="393"/>
        <w:jc w:val="both"/>
      </w:pPr>
      <w:r>
        <w:rPr>
          <w:color w:val="231F20"/>
        </w:rPr>
        <w:t xml:space="preserve">ни Пословну стратегију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царина 2011–2015. У циљу обез- беђења континуираног стратешког планирања УЦ је донет нови документ </w:t>
      </w:r>
      <w:r>
        <w:rPr>
          <w:color w:val="231F20"/>
          <w:spacing w:val="-3"/>
        </w:rPr>
        <w:t xml:space="preserve">којим </w:t>
      </w:r>
      <w:r>
        <w:rPr>
          <w:color w:val="231F20"/>
        </w:rPr>
        <w:t xml:space="preserve">је разрађен план развоја царинске службе. Ово је у складу са препорукама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Европска комисија изнела у </w:t>
      </w:r>
      <w:r>
        <w:rPr>
          <w:color w:val="231F20"/>
          <w:spacing w:val="-3"/>
        </w:rPr>
        <w:t xml:space="preserve">годи- </w:t>
      </w:r>
      <w:r>
        <w:rPr>
          <w:color w:val="231F20"/>
        </w:rPr>
        <w:t xml:space="preserve">шњим извештајима о напретку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Србије за 2015. </w:t>
      </w:r>
      <w:r>
        <w:rPr>
          <w:color w:val="231F20"/>
          <w:spacing w:val="-3"/>
        </w:rPr>
        <w:t xml:space="preserve">годину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годину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Записнику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Пододбора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трговину,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порезе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ца- рину одржаног 7. фебруара 2017.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Београду. Такође, </w:t>
      </w:r>
      <w:r>
        <w:rPr>
          <w:color w:val="231F20"/>
        </w:rPr>
        <w:t xml:space="preserve">доно- шење стратегије развоја УЦ помиње се у Националном програму за усвајање правних тековина ЕУ из </w:t>
      </w:r>
      <w:r>
        <w:rPr>
          <w:color w:val="231F20"/>
          <w:spacing w:val="-3"/>
        </w:rPr>
        <w:t xml:space="preserve">јула </w:t>
      </w:r>
      <w:r>
        <w:rPr>
          <w:color w:val="231F20"/>
        </w:rPr>
        <w:t>2</w:t>
      </w:r>
      <w:r>
        <w:rPr>
          <w:color w:val="231F20"/>
        </w:rPr>
        <w:t xml:space="preserve">014. године и Прегова- </w:t>
      </w:r>
      <w:r>
        <w:rPr>
          <w:color w:val="231F20"/>
          <w:spacing w:val="-3"/>
        </w:rPr>
        <w:t xml:space="preserve">рачкој </w:t>
      </w:r>
      <w:r>
        <w:rPr>
          <w:color w:val="231F20"/>
        </w:rPr>
        <w:t xml:space="preserve">позицији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за Међувладину конференцију 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приступању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ЕУ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Преговарачко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поглавље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29</w:t>
      </w:r>
    </w:p>
    <w:p w:rsidR="005F4CB9" w:rsidRDefault="003D2634">
      <w:pPr>
        <w:pStyle w:val="BodyText"/>
        <w:spacing w:line="200" w:lineRule="exact"/>
        <w:ind w:left="393"/>
      </w:pPr>
      <w:r>
        <w:rPr>
          <w:color w:val="231F20"/>
        </w:rPr>
        <w:t>– Царинска унија.</w:t>
      </w:r>
    </w:p>
    <w:p w:rsidR="005F4CB9" w:rsidRDefault="003D2634">
      <w:pPr>
        <w:pStyle w:val="BodyText"/>
        <w:spacing w:before="1" w:line="235" w:lineRule="auto"/>
        <w:ind w:left="392" w:firstLine="397"/>
        <w:jc w:val="both"/>
      </w:pPr>
      <w:r>
        <w:rPr>
          <w:color w:val="231F20"/>
        </w:rPr>
        <w:t xml:space="preserve">У периоду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2015.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УЦ је наставила да ради на разво- ју и модернизацији царинске службе. Поред Сектора за царински систем и политику Министарства финансија, УЦ је имала водећу улогу у </w:t>
      </w:r>
      <w:r>
        <w:rPr>
          <w:color w:val="231F20"/>
          <w:spacing w:val="-3"/>
        </w:rPr>
        <w:t xml:space="preserve">Преговарачком </w:t>
      </w:r>
      <w:r>
        <w:rPr>
          <w:color w:val="231F20"/>
        </w:rPr>
        <w:t xml:space="preserve">поглављу 29 – Царинска унија. </w:t>
      </w:r>
      <w:r>
        <w:rPr>
          <w:color w:val="231F20"/>
          <w:spacing w:val="-3"/>
        </w:rPr>
        <w:t xml:space="preserve">Такође, </w:t>
      </w:r>
      <w:r>
        <w:rPr>
          <w:color w:val="231F20"/>
        </w:rPr>
        <w:t>УЦ је узела учешћа у активностима у вез</w:t>
      </w:r>
      <w:r>
        <w:rPr>
          <w:color w:val="231F20"/>
        </w:rPr>
        <w:t>и са другим поглављима у чији рад је укључена (Поглавља 1, 7, 16, 18, 23, 24, 27, 28, 30, 33).</w:t>
      </w:r>
    </w:p>
    <w:p w:rsidR="005F4CB9" w:rsidRDefault="003D2634">
      <w:pPr>
        <w:pStyle w:val="BodyText"/>
        <w:spacing w:line="235" w:lineRule="auto"/>
        <w:ind w:left="392" w:right="1" w:firstLine="397"/>
        <w:jc w:val="both"/>
      </w:pPr>
      <w:r>
        <w:rPr>
          <w:color w:val="231F20"/>
        </w:rPr>
        <w:t xml:space="preserve">Као 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показатеља повећаног обима активности УЦ је број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декларација,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периоду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2011.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године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константно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расте. Уједно,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2011. до 2016.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је п</w:t>
      </w:r>
      <w:r>
        <w:rPr>
          <w:color w:val="231F20"/>
        </w:rPr>
        <w:t>остојао тренд раста укупне наплате буџетских прихода, царине и ПДВ-а 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увоза.</w:t>
      </w:r>
    </w:p>
    <w:p w:rsidR="005F4CB9" w:rsidRDefault="003D2634">
      <w:pPr>
        <w:pStyle w:val="BodyText"/>
        <w:spacing w:line="235" w:lineRule="auto"/>
        <w:ind w:left="392" w:right="1" w:firstLine="396"/>
        <w:jc w:val="both"/>
      </w:pPr>
      <w:r>
        <w:rPr>
          <w:color w:val="231F20"/>
        </w:rPr>
        <w:t xml:space="preserve">УЦ је током 2016. године завршила припреме за уговарање реализације пројекта новог граничног прелаза Бајмок према Ма- ђарској, чија ће изградња бити финансирана из програма ИПА </w:t>
      </w:r>
      <w:r>
        <w:rPr>
          <w:color w:val="231F20"/>
        </w:rPr>
        <w:t>2013. Пројекат граничног прелаза Котроман према БиХ је обухва- ћен програмом ИПА 2014, а у 2016. години је почела реализација уговора за израду техничке документације.</w:t>
      </w:r>
    </w:p>
    <w:p w:rsidR="005F4CB9" w:rsidRDefault="003D2634">
      <w:pPr>
        <w:pStyle w:val="BodyText"/>
        <w:spacing w:before="73" w:line="235" w:lineRule="auto"/>
        <w:ind w:left="241" w:right="109" w:firstLine="396"/>
        <w:jc w:val="both"/>
      </w:pPr>
      <w:r>
        <w:br w:type="column"/>
      </w:r>
      <w:r>
        <w:rPr>
          <w:color w:val="231F20"/>
        </w:rPr>
        <w:t xml:space="preserve">УЦ је једна од кључних институција у процесу интегрисаног управљања границом и носилац </w:t>
      </w:r>
      <w:r>
        <w:rPr>
          <w:color w:val="231F20"/>
        </w:rPr>
        <w:t xml:space="preserve">активности ради испуњења циље- ва у Стратегији интегрисаног управљања границом у Републици Србији 2017–2020. Република Србија са циљем даљег усклађива- ња интегрисаног управљања границом планира даља улагања у инфраструктуру и опремање граничних прелаза у </w:t>
      </w:r>
      <w:r>
        <w:rPr>
          <w:color w:val="231F20"/>
        </w:rPr>
        <w:t>којима ће уче- ствовати и УЦ.</w:t>
      </w:r>
    </w:p>
    <w:p w:rsidR="005F4CB9" w:rsidRDefault="003D2634">
      <w:pPr>
        <w:pStyle w:val="BodyText"/>
        <w:spacing w:before="6" w:line="235" w:lineRule="auto"/>
        <w:ind w:left="242" w:right="108" w:firstLine="396"/>
        <w:jc w:val="both"/>
      </w:pPr>
      <w:r>
        <w:rPr>
          <w:color w:val="231F20"/>
        </w:rPr>
        <w:t xml:space="preserve">Период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2015. до 2017.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је заУЦ значајан и због при- ступања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Конвенцији о заједничком транзитном поступку и Конвенцији о поједностављеним формалностима у тр- говини робом. Нови компјутеризовани транзит</w:t>
      </w:r>
      <w:r>
        <w:rPr>
          <w:color w:val="231F20"/>
        </w:rPr>
        <w:t xml:space="preserve">ни систем (НЦТС),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заснива на наведеним конвенцијама, са пратећим подси- стемима је почео са применом на националном нивоу 25. јануа- ра 2015. године, док је примена Заједничког транзитног поступка отпочела 1. фебруара 2016. године. </w:t>
      </w:r>
      <w:r>
        <w:rPr>
          <w:color w:val="231F20"/>
          <w:spacing w:val="-3"/>
        </w:rPr>
        <w:t xml:space="preserve">Такође, од </w:t>
      </w:r>
      <w:r>
        <w:rPr>
          <w:color w:val="231F20"/>
        </w:rPr>
        <w:t>5. се</w:t>
      </w:r>
      <w:r>
        <w:rPr>
          <w:color w:val="231F20"/>
        </w:rPr>
        <w:t xml:space="preserve">птембра 2016.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УЦ је почела са имплементацијом Обрасца 302 којим се спроводи </w:t>
      </w:r>
      <w:r>
        <w:rPr>
          <w:color w:val="231F20"/>
          <w:spacing w:val="-3"/>
        </w:rPr>
        <w:t xml:space="preserve">Закон </w:t>
      </w:r>
      <w:r>
        <w:rPr>
          <w:color w:val="231F20"/>
        </w:rPr>
        <w:t>о потврђивању Споразума између држава чланица Северноатлантског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уговора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осталих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држава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учесница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Партнер- ству за мир о статусу њихових снага </w:t>
      </w:r>
      <w:r>
        <w:rPr>
          <w:color w:val="231F20"/>
          <w:spacing w:val="-3"/>
        </w:rPr>
        <w:t>(SOFA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споразум).</w:t>
      </w:r>
    </w:p>
    <w:p w:rsidR="005F4CB9" w:rsidRDefault="003D2634">
      <w:pPr>
        <w:pStyle w:val="BodyText"/>
        <w:spacing w:before="11" w:line="235" w:lineRule="auto"/>
        <w:ind w:left="242" w:right="108" w:firstLine="396"/>
        <w:jc w:val="both"/>
      </w:pPr>
      <w:r>
        <w:rPr>
          <w:color w:val="231F20"/>
        </w:rPr>
        <w:t>Од 1.</w:t>
      </w:r>
      <w:r>
        <w:rPr>
          <w:color w:val="231F20"/>
        </w:rPr>
        <w:t xml:space="preserve"> септембра 2014. године УЦ примењује институт Овла- шћеног привредног субјекта (ОПС), који је усаглашен са законо- давством Европске унијe. Такође, УЦ спроводи поједностављени увозни поступак у простору примаоца, односно поједностављени извозни поступак у </w:t>
      </w:r>
      <w:r>
        <w:rPr>
          <w:color w:val="231F20"/>
        </w:rPr>
        <w:t>простору пошиљаоца (тзв. „кућно цариње- ње”), исто у складу са прописима ЕУ, на основу кога је до данас издато укупно 155 одобрења за 96 компанија.</w:t>
      </w:r>
    </w:p>
    <w:p w:rsidR="005F4CB9" w:rsidRDefault="003D2634">
      <w:pPr>
        <w:pStyle w:val="BodyText"/>
        <w:spacing w:before="7" w:line="235" w:lineRule="auto"/>
        <w:ind w:left="242" w:right="108" w:firstLine="396"/>
        <w:jc w:val="both"/>
      </w:pPr>
      <w:r>
        <w:rPr>
          <w:color w:val="231F20"/>
        </w:rPr>
        <w:t>Током 2015. године, потписан је Меморандум о разумевању између УЦ и Царинског директората Републике Аустрије</w:t>
      </w:r>
      <w:r>
        <w:rPr>
          <w:color w:val="231F20"/>
        </w:rPr>
        <w:t xml:space="preserve"> о сарад- њи царинских служби на аеродромима „Никола Тесла”, Београд и</w:t>
      </w:r>
    </w:p>
    <w:p w:rsidR="005F4CB9" w:rsidRDefault="003D2634">
      <w:pPr>
        <w:pStyle w:val="BodyText"/>
        <w:spacing w:before="2" w:line="235" w:lineRule="auto"/>
        <w:ind w:left="242" w:right="108"/>
        <w:jc w:val="both"/>
      </w:pPr>
      <w:r>
        <w:rPr>
          <w:color w:val="231F20"/>
        </w:rPr>
        <w:t>„Бечки међународни аеродром”, Беч, у области борбе против пре- вара. Такође, у 2016. години потписан је Протокол о спровођењу Споразума између Владе Републике Србије и Владе Републике М</w:t>
      </w:r>
      <w:r>
        <w:rPr>
          <w:color w:val="231F20"/>
        </w:rPr>
        <w:t>акедоније о утврђивању граничне процедуре за железнички гра- нични прелаз „Прешево–Табановце”.</w:t>
      </w:r>
    </w:p>
    <w:p w:rsidR="005F4CB9" w:rsidRDefault="003D2634">
      <w:pPr>
        <w:pStyle w:val="BodyText"/>
        <w:spacing w:before="5" w:line="235" w:lineRule="auto"/>
        <w:ind w:left="242" w:right="108" w:firstLine="397"/>
        <w:jc w:val="both"/>
      </w:pPr>
      <w:r>
        <w:rPr>
          <w:color w:val="231F20"/>
        </w:rPr>
        <w:t>У оквиру ИПА 2011 – „Јачање контроле у оквиру примене царинских прописа у области заштите права интелектуалне сво- јине”, УЦ је 2015. године набавила машину за уништавање криво- творених производа.</w:t>
      </w:r>
    </w:p>
    <w:p w:rsidR="005F4CB9" w:rsidRDefault="003D2634">
      <w:pPr>
        <w:pStyle w:val="BodyText"/>
        <w:spacing w:before="4" w:line="235" w:lineRule="auto"/>
        <w:ind w:left="242" w:right="108" w:firstLine="396"/>
        <w:jc w:val="both"/>
      </w:pPr>
      <w:r>
        <w:rPr>
          <w:color w:val="231F20"/>
        </w:rPr>
        <w:t>УЦ је образовала Одсек за царинску контролу уз употребу сл</w:t>
      </w:r>
      <w:r>
        <w:rPr>
          <w:color w:val="231F20"/>
        </w:rPr>
        <w:t>ужбених паса, са циљем појачане борбе против кријумчарења дуванских производа и наркотика. УЦ редовно користи 21 скенер последњих генерација, од тога десет мобилних, два мобилна за преглед пртљага, један стациониран за преглед карго пошиљки и осам за контр</w:t>
      </w:r>
      <w:r>
        <w:rPr>
          <w:color w:val="231F20"/>
        </w:rPr>
        <w:t>олу течности.</w:t>
      </w:r>
    </w:p>
    <w:p w:rsidR="005F4CB9" w:rsidRDefault="003D2634">
      <w:pPr>
        <w:pStyle w:val="BodyText"/>
        <w:spacing w:before="5" w:line="235" w:lineRule="auto"/>
        <w:ind w:left="242" w:right="108" w:firstLine="397"/>
        <w:jc w:val="both"/>
      </w:pPr>
      <w:r>
        <w:rPr>
          <w:color w:val="231F20"/>
        </w:rPr>
        <w:t xml:space="preserve">У извршењу једног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основних стратешких задатака и ци- љева,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борбе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корупције,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спроводи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превентивне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репре- сивне мере. На спровођењу репресивних мера УЦ континуирано сарађује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Тужилаштвом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Министарством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унутрашњих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послова. Везано за јачање интегритета, антикоруптивне политике и пре- вентивних мера успостављена је сарадња са државним органима  и телима, односно царинским администрацијама Румуније, Чешке Републике,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Финске,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Аустрије,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Бу- г</w:t>
      </w:r>
      <w:r>
        <w:rPr>
          <w:color w:val="231F20"/>
        </w:rPr>
        <w:t xml:space="preserve">арске,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Хрватске и </w:t>
      </w:r>
      <w:r>
        <w:rPr>
          <w:color w:val="231F20"/>
          <w:spacing w:val="-3"/>
        </w:rPr>
        <w:t>Словачке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Републике.</w:t>
      </w:r>
    </w:p>
    <w:p w:rsidR="005F4CB9" w:rsidRDefault="003D2634">
      <w:pPr>
        <w:pStyle w:val="BodyText"/>
        <w:spacing w:before="8" w:line="235" w:lineRule="auto"/>
        <w:ind w:left="242" w:right="108" w:firstLine="396"/>
        <w:jc w:val="both"/>
      </w:pPr>
      <w:r>
        <w:rPr>
          <w:color w:val="231F20"/>
        </w:rPr>
        <w:t xml:space="preserve">У УЦ су спроведене значајне активности у поступку импле- ментације система финансијског управљања и контроле. У делу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односи на пројекте и стратешко управљање, реализоване 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многобројне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</w:t>
      </w:r>
      <w:r>
        <w:rPr>
          <w:color w:val="231F20"/>
        </w:rPr>
        <w:t>личитих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ИПА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пројеката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(припрема, уговарање и реализација пројеката)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односе на најзначајни- је сегменте царинске службе, у циљу њене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модернизације.</w:t>
      </w:r>
    </w:p>
    <w:p w:rsidR="005F4CB9" w:rsidRDefault="003D2634">
      <w:pPr>
        <w:pStyle w:val="BodyText"/>
        <w:spacing w:before="6" w:line="235" w:lineRule="auto"/>
        <w:ind w:left="242" w:right="108" w:firstLine="397"/>
        <w:jc w:val="both"/>
      </w:pPr>
      <w:r>
        <w:rPr>
          <w:color w:val="231F20"/>
        </w:rPr>
        <w:t xml:space="preserve">УЦ континуирано спроводи </w:t>
      </w:r>
      <w:r>
        <w:rPr>
          <w:color w:val="231F20"/>
          <w:spacing w:val="-3"/>
        </w:rPr>
        <w:t xml:space="preserve">обуке </w:t>
      </w:r>
      <w:r>
        <w:rPr>
          <w:color w:val="231F20"/>
        </w:rPr>
        <w:t xml:space="preserve">службеника кроз основне, специјалистичке </w:t>
      </w:r>
      <w:r>
        <w:rPr>
          <w:color w:val="231F20"/>
          <w:spacing w:val="-3"/>
        </w:rPr>
        <w:t xml:space="preserve">обуке </w:t>
      </w:r>
      <w:r>
        <w:rPr>
          <w:color w:val="231F20"/>
        </w:rPr>
        <w:t xml:space="preserve">и стручно усавршавање. </w:t>
      </w:r>
      <w:r>
        <w:rPr>
          <w:color w:val="231F20"/>
          <w:spacing w:val="-3"/>
        </w:rPr>
        <w:t xml:space="preserve">Такође, </w:t>
      </w:r>
      <w:r>
        <w:rPr>
          <w:color w:val="231F20"/>
        </w:rPr>
        <w:t xml:space="preserve">УЦ </w:t>
      </w:r>
      <w:r>
        <w:rPr>
          <w:color w:val="231F20"/>
          <w:spacing w:val="-3"/>
        </w:rPr>
        <w:t xml:space="preserve">кори- </w:t>
      </w:r>
      <w:r>
        <w:rPr>
          <w:color w:val="231F20"/>
        </w:rPr>
        <w:t>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сву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расположиву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техничку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помоћ,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„Царина 2020”, </w:t>
      </w:r>
      <w:r>
        <w:rPr>
          <w:color w:val="231F20"/>
          <w:spacing w:val="-4"/>
        </w:rPr>
        <w:t xml:space="preserve">TAIEX </w:t>
      </w:r>
      <w:r>
        <w:rPr>
          <w:color w:val="231F20"/>
        </w:rPr>
        <w:t>инструмент, експертизе Светске царинске организа- ције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итд.</w:t>
      </w:r>
    </w:p>
    <w:p w:rsidR="005F4CB9" w:rsidRDefault="003D2634">
      <w:pPr>
        <w:pStyle w:val="BodyText"/>
        <w:spacing w:before="4" w:line="235" w:lineRule="auto"/>
        <w:ind w:left="242" w:right="108" w:firstLine="397"/>
        <w:jc w:val="both"/>
      </w:pPr>
      <w:r>
        <w:rPr>
          <w:color w:val="231F20"/>
        </w:rPr>
        <w:t>Компјутеризација, као најзначајнији сегмент модернизације УЦ, је препозната у Плану развоја царинске службе, али ће уједно бити предмет посебне стратегије развоја информационих техно- логија УЦ, чија је израда и доношење планирано непосредно по доношењу Пл</w:t>
      </w:r>
      <w:r>
        <w:rPr>
          <w:color w:val="231F20"/>
        </w:rPr>
        <w:t>ана развоја царинске службе Републике Србије.</w:t>
      </w:r>
    </w:p>
    <w:p w:rsidR="005F4CB9" w:rsidRDefault="005F4CB9">
      <w:pPr>
        <w:spacing w:line="235" w:lineRule="auto"/>
        <w:jc w:val="both"/>
        <w:sectPr w:rsidR="005F4CB9">
          <w:type w:val="continuous"/>
          <w:pgSz w:w="12480" w:h="15690"/>
          <w:pgMar w:top="88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5F4CB9" w:rsidRDefault="003D2634">
      <w:pPr>
        <w:pStyle w:val="BodyText"/>
        <w:spacing w:before="71" w:line="235" w:lineRule="auto"/>
        <w:ind w:left="110" w:right="38" w:firstLine="397"/>
        <w:jc w:val="both"/>
      </w:pPr>
      <w:r>
        <w:rPr>
          <w:color w:val="231F20"/>
        </w:rPr>
        <w:lastRenderedPageBreak/>
        <w:t xml:space="preserve">У делу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тиче односа са </w:t>
      </w:r>
      <w:r>
        <w:rPr>
          <w:color w:val="231F20"/>
          <w:spacing w:val="-3"/>
        </w:rPr>
        <w:t xml:space="preserve">јавношћу, </w:t>
      </w:r>
      <w:r>
        <w:rPr>
          <w:color w:val="231F20"/>
        </w:rPr>
        <w:t xml:space="preserve">реализоване су мно- гобројне активности на промоцији рада УЦ и </w:t>
      </w:r>
      <w:r>
        <w:rPr>
          <w:color w:val="231F20"/>
          <w:spacing w:val="-3"/>
        </w:rPr>
        <w:t xml:space="preserve">улоге </w:t>
      </w:r>
      <w:r>
        <w:rPr>
          <w:color w:val="231F20"/>
        </w:rPr>
        <w:t>царинске слу- жбе кроз свакодневно информисање јавности о значајнијим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резу</w:t>
      </w:r>
      <w:r>
        <w:rPr>
          <w:color w:val="231F20"/>
          <w:spacing w:val="-2"/>
        </w:rPr>
        <w:t xml:space="preserve">л- </w:t>
      </w:r>
      <w:r>
        <w:rPr>
          <w:color w:val="231F20"/>
        </w:rPr>
        <w:t>татима царинске службе, обрађивање значајних тема из царинске праксе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текстовима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штампане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електронске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медије,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учешће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 сајмовима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слично.</w:t>
      </w:r>
    </w:p>
    <w:p w:rsidR="005F4CB9" w:rsidRDefault="003D2634">
      <w:pPr>
        <w:pStyle w:val="BodyText"/>
        <w:spacing w:line="235" w:lineRule="auto"/>
        <w:ind w:left="109" w:right="38" w:firstLine="398"/>
        <w:jc w:val="both"/>
      </w:pPr>
      <w:r>
        <w:rPr>
          <w:color w:val="231F20"/>
        </w:rPr>
        <w:t>Циљеви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даље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разрађени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конкретне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 Акционог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спровођење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развоја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царинс</w:t>
      </w:r>
      <w:r>
        <w:rPr>
          <w:color w:val="231F20"/>
        </w:rPr>
        <w:t>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службе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3"/>
        </w:rPr>
        <w:t xml:space="preserve">публике </w:t>
      </w:r>
      <w:r>
        <w:rPr>
          <w:color w:val="231F20"/>
        </w:rPr>
        <w:t xml:space="preserve">Србије за период 2017–2020. године. Акционим планом су одређене организационе јединице и службеници/руководиоци одговорни за реализацију активности, индикатори за праћење ре- ализације активности, односно процену успешности реализације Плана, као и </w:t>
      </w:r>
      <w:r>
        <w:rPr>
          <w:color w:val="231F20"/>
          <w:spacing w:val="-2"/>
        </w:rPr>
        <w:t xml:space="preserve">рокови </w:t>
      </w:r>
      <w:r>
        <w:rPr>
          <w:color w:val="231F20"/>
        </w:rPr>
        <w:t>и процењени трошкови за реализацију наве- дених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активности.</w:t>
      </w:r>
    </w:p>
    <w:p w:rsidR="005F4CB9" w:rsidRDefault="003D2634">
      <w:pPr>
        <w:pStyle w:val="BodyText"/>
        <w:spacing w:line="235" w:lineRule="auto"/>
        <w:ind w:left="108" w:right="39" w:firstLine="397"/>
        <w:jc w:val="both"/>
      </w:pPr>
      <w:r>
        <w:rPr>
          <w:color w:val="231F20"/>
        </w:rPr>
        <w:t>Планом развоја царинске службе Републике Србије је пред- виђено да ће се утврђене мере и активности редовно пратити и оцењивати, као и да ће Управа царина подносити Влади годишњи извештај о испуњености циљева овог плана на годишњем нивоу.</w:t>
      </w:r>
    </w:p>
    <w:p w:rsidR="005F4CB9" w:rsidRDefault="003D2634">
      <w:pPr>
        <w:pStyle w:val="ListParagraph"/>
        <w:numPr>
          <w:ilvl w:val="0"/>
          <w:numId w:val="2"/>
        </w:numPr>
        <w:tabs>
          <w:tab w:val="left" w:pos="2170"/>
        </w:tabs>
        <w:spacing w:line="404" w:lineRule="exact"/>
        <w:ind w:right="1891" w:firstLine="1454"/>
        <w:jc w:val="left"/>
        <w:rPr>
          <w:sz w:val="18"/>
        </w:rPr>
      </w:pPr>
      <w:r>
        <w:rPr>
          <w:color w:val="231F20"/>
          <w:spacing w:val="-3"/>
          <w:sz w:val="18"/>
        </w:rPr>
        <w:t xml:space="preserve">СКРАЋЕНИЦЕ </w:t>
      </w:r>
      <w:r>
        <w:rPr>
          <w:color w:val="231F20"/>
          <w:sz w:val="18"/>
        </w:rPr>
        <w:t>ГП – г</w:t>
      </w:r>
      <w:r>
        <w:rPr>
          <w:color w:val="231F20"/>
          <w:sz w:val="18"/>
        </w:rPr>
        <w:t>ранични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прелаз</w:t>
      </w:r>
    </w:p>
    <w:p w:rsidR="005F4CB9" w:rsidRDefault="003D2634">
      <w:pPr>
        <w:pStyle w:val="BodyText"/>
        <w:spacing w:line="157" w:lineRule="exact"/>
        <w:ind w:left="505"/>
      </w:pPr>
      <w:r>
        <w:rPr>
          <w:color w:val="231F20"/>
        </w:rPr>
        <w:t>ДЕУ – делегација ЕУ у Републици Србији</w:t>
      </w:r>
    </w:p>
    <w:p w:rsidR="005F4CB9" w:rsidRDefault="003D2634">
      <w:pPr>
        <w:pStyle w:val="BodyText"/>
        <w:spacing w:line="235" w:lineRule="auto"/>
        <w:ind w:left="505" w:right="2708"/>
      </w:pPr>
      <w:r>
        <w:rPr>
          <w:color w:val="231F20"/>
        </w:rPr>
        <w:t>ЕК– Европска комисија ЕУ – Европска унија</w:t>
      </w:r>
    </w:p>
    <w:p w:rsidR="005F4CB9" w:rsidRDefault="003D2634">
      <w:pPr>
        <w:pStyle w:val="BodyText"/>
        <w:spacing w:line="235" w:lineRule="auto"/>
        <w:ind w:left="108" w:right="39" w:firstLine="396"/>
        <w:jc w:val="both"/>
      </w:pPr>
      <w:r>
        <w:rPr>
          <w:color w:val="231F20"/>
        </w:rPr>
        <w:t>ИБМ – интегрисано управљање границом (Integrated Border Management)</w:t>
      </w:r>
    </w:p>
    <w:p w:rsidR="005F4CB9" w:rsidRDefault="003D2634">
      <w:pPr>
        <w:pStyle w:val="BodyText"/>
        <w:spacing w:line="199" w:lineRule="exact"/>
        <w:ind w:left="505"/>
      </w:pPr>
      <w:r>
        <w:rPr>
          <w:color w:val="231F20"/>
        </w:rPr>
        <w:t>ИКТ систем – Информационо-комуникациони систем</w:t>
      </w:r>
    </w:p>
    <w:p w:rsidR="005F4CB9" w:rsidRDefault="003D2634">
      <w:pPr>
        <w:pStyle w:val="BodyText"/>
        <w:spacing w:line="235" w:lineRule="auto"/>
        <w:ind w:left="108" w:right="39" w:firstLine="396"/>
        <w:jc w:val="both"/>
      </w:pPr>
      <w:r>
        <w:rPr>
          <w:color w:val="231F20"/>
        </w:rPr>
        <w:t>ИПА – Инструмент за предприступну помоћ (Inst</w:t>
      </w:r>
      <w:r>
        <w:rPr>
          <w:color w:val="231F20"/>
        </w:rPr>
        <w:t>rument for Pre-Accession Assistance)</w:t>
      </w:r>
    </w:p>
    <w:p w:rsidR="005F4CB9" w:rsidRDefault="003D2634">
      <w:pPr>
        <w:pStyle w:val="BodyText"/>
        <w:spacing w:line="199" w:lineRule="exact"/>
        <w:ind w:left="505"/>
      </w:pPr>
      <w:r>
        <w:rPr>
          <w:color w:val="231F20"/>
        </w:rPr>
        <w:t>ИР – интерна ревизија</w:t>
      </w:r>
    </w:p>
    <w:p w:rsidR="005F4CB9" w:rsidRDefault="003D2634">
      <w:pPr>
        <w:pStyle w:val="BodyText"/>
        <w:spacing w:line="235" w:lineRule="auto"/>
        <w:ind w:left="505" w:right="730"/>
      </w:pPr>
      <w:r>
        <w:rPr>
          <w:color w:val="231F20"/>
        </w:rPr>
        <w:t>ИСЦС – Информациони систем царинске службе ИТ – информационе технологије</w:t>
      </w:r>
    </w:p>
    <w:p w:rsidR="005F4CB9" w:rsidRDefault="003D2634">
      <w:pPr>
        <w:pStyle w:val="BodyText"/>
        <w:spacing w:line="202" w:lineRule="exact"/>
        <w:ind w:left="505"/>
      </w:pPr>
      <w:r>
        <w:rPr>
          <w:color w:val="231F20"/>
        </w:rPr>
        <w:t>МФ – Министарство финансија</w:t>
      </w:r>
    </w:p>
    <w:p w:rsidR="005F4CB9" w:rsidRDefault="003D2634">
      <w:pPr>
        <w:pStyle w:val="BodyText"/>
        <w:spacing w:before="69" w:line="204" w:lineRule="exact"/>
        <w:ind w:left="505"/>
      </w:pPr>
      <w:r>
        <w:br w:type="column"/>
      </w:r>
      <w:r>
        <w:rPr>
          <w:color w:val="231F20"/>
        </w:rPr>
        <w:t>ООП – Обавезујућa обавештења о пореклу робе</w:t>
      </w:r>
    </w:p>
    <w:p w:rsidR="005F4CB9" w:rsidRDefault="003D2634">
      <w:pPr>
        <w:pStyle w:val="BodyText"/>
        <w:spacing w:before="2" w:line="232" w:lineRule="auto"/>
        <w:ind w:left="109" w:right="381" w:firstLine="396"/>
      </w:pPr>
      <w:r>
        <w:pict>
          <v:line id="_x0000_s1026" style="position:absolute;left:0;text-align:left;z-index:251658240;mso-position-horizontal-relative:page" from="304.7pt,-8.1pt" to="304.7pt,329.7pt" strokecolor="#231f20" strokeweight=".6pt">
            <w10:wrap anchorx="page"/>
          </v:line>
        </w:pict>
      </w:r>
      <w:r>
        <w:rPr>
          <w:color w:val="231F20"/>
        </w:rPr>
        <w:t xml:space="preserve">ООС – Обавезујућa обавештења о сврставању робе по </w:t>
      </w:r>
      <w:r>
        <w:rPr>
          <w:color w:val="231F20"/>
        </w:rPr>
        <w:t>Ца- ринској тарифи</w:t>
      </w:r>
    </w:p>
    <w:p w:rsidR="005F4CB9" w:rsidRDefault="003D2634">
      <w:pPr>
        <w:pStyle w:val="BodyText"/>
        <w:spacing w:line="232" w:lineRule="auto"/>
        <w:ind w:left="505" w:right="2161"/>
      </w:pPr>
      <w:r>
        <w:rPr>
          <w:color w:val="231F20"/>
        </w:rPr>
        <w:t>ОЦЛ – отворене царинске линије ОПС – овлашћени привредни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субјекат ПДВ – порез на </w:t>
      </w:r>
      <w:r>
        <w:rPr>
          <w:color w:val="231F20"/>
          <w:spacing w:val="-3"/>
        </w:rPr>
        <w:t>додату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вредност</w:t>
      </w:r>
    </w:p>
    <w:p w:rsidR="005F4CB9" w:rsidRDefault="003D2634">
      <w:pPr>
        <w:pStyle w:val="BodyText"/>
        <w:spacing w:line="199" w:lineRule="exact"/>
        <w:ind w:left="505"/>
      </w:pPr>
      <w:r>
        <w:rPr>
          <w:color w:val="231F20"/>
        </w:rPr>
        <w:t>ПП– Преговарачко поглавље</w:t>
      </w:r>
    </w:p>
    <w:p w:rsidR="005F4CB9" w:rsidRDefault="003D2634">
      <w:pPr>
        <w:pStyle w:val="BodyText"/>
        <w:spacing w:before="2" w:line="232" w:lineRule="auto"/>
        <w:ind w:left="505" w:right="648" w:hanging="1"/>
      </w:pPr>
      <w:r>
        <w:rPr>
          <w:color w:val="231F20"/>
        </w:rPr>
        <w:t>ПФЕ образац – образац за процену финансијских ефеката РС – Република Србија</w:t>
      </w:r>
    </w:p>
    <w:p w:rsidR="005F4CB9" w:rsidRDefault="003D2634">
      <w:pPr>
        <w:pStyle w:val="BodyText"/>
        <w:spacing w:before="1" w:line="232" w:lineRule="auto"/>
        <w:ind w:left="505" w:right="2123"/>
      </w:pPr>
      <w:r>
        <w:rPr>
          <w:color w:val="231F20"/>
        </w:rPr>
        <w:t>СЦО – Светска царинска организација УЦ – Управа царина</w:t>
      </w:r>
    </w:p>
    <w:p w:rsidR="005F4CB9" w:rsidRDefault="003D2634">
      <w:pPr>
        <w:pStyle w:val="BodyText"/>
        <w:spacing w:line="199" w:lineRule="exact"/>
        <w:ind w:left="505"/>
      </w:pPr>
      <w:r>
        <w:rPr>
          <w:color w:val="231F20"/>
        </w:rPr>
        <w:t>ФУК – финансијско управљање и контрола</w:t>
      </w:r>
    </w:p>
    <w:p w:rsidR="005F4CB9" w:rsidRDefault="003D2634">
      <w:pPr>
        <w:pStyle w:val="BodyText"/>
        <w:spacing w:before="2" w:line="232" w:lineRule="auto"/>
        <w:ind w:left="108" w:firstLine="396"/>
      </w:pPr>
      <w:r>
        <w:rPr>
          <w:color w:val="231F20"/>
        </w:rPr>
        <w:t>ХС комитет – Комитет за Хармонизовани систем Светске ца- ринске организације</w:t>
      </w:r>
    </w:p>
    <w:p w:rsidR="005F4CB9" w:rsidRDefault="003D2634">
      <w:pPr>
        <w:pStyle w:val="BodyText"/>
        <w:spacing w:line="199" w:lineRule="exact"/>
        <w:ind w:left="505"/>
      </w:pPr>
      <w:r>
        <w:rPr>
          <w:color w:val="231F20"/>
        </w:rPr>
        <w:t>ЦИ – царинска испостава</w:t>
      </w:r>
    </w:p>
    <w:p w:rsidR="005F4CB9" w:rsidRDefault="003D2634">
      <w:pPr>
        <w:pStyle w:val="BodyText"/>
        <w:spacing w:before="2" w:line="232" w:lineRule="auto"/>
        <w:ind w:left="108" w:firstLine="396"/>
      </w:pPr>
      <w:r>
        <w:rPr>
          <w:color w:val="231F20"/>
        </w:rPr>
        <w:t>AIS (ICS) – аутоматизовани увозни систем (Automated Import Sy</w:t>
      </w:r>
      <w:r>
        <w:rPr>
          <w:color w:val="231F20"/>
        </w:rPr>
        <w:t>stem/Import Computerised System)</w:t>
      </w:r>
    </w:p>
    <w:p w:rsidR="005F4CB9" w:rsidRDefault="003D2634">
      <w:pPr>
        <w:pStyle w:val="BodyText"/>
        <w:spacing w:line="232" w:lineRule="auto"/>
        <w:ind w:left="108" w:right="381" w:firstLine="396"/>
      </w:pPr>
      <w:r>
        <w:rPr>
          <w:color w:val="231F20"/>
        </w:rPr>
        <w:t>AES (ECS) – аутоматизовани извозни систем (Automated Ex- port System/Export Computerised System)</w:t>
      </w:r>
    </w:p>
    <w:p w:rsidR="005F4CB9" w:rsidRDefault="003D2634">
      <w:pPr>
        <w:pStyle w:val="BodyText"/>
        <w:spacing w:line="232" w:lineRule="auto"/>
        <w:ind w:left="108" w:right="381" w:firstLine="396"/>
      </w:pPr>
      <w:r>
        <w:rPr>
          <w:color w:val="231F20"/>
        </w:rPr>
        <w:t>CEFTA – Споразум о слободној трговини у централној Евро- пи (Central European Free Trade Agreement)</w:t>
      </w:r>
    </w:p>
    <w:p w:rsidR="005F4CB9" w:rsidRDefault="003D2634">
      <w:pPr>
        <w:pStyle w:val="BodyText"/>
        <w:spacing w:line="232" w:lineRule="auto"/>
        <w:ind w:left="108" w:right="388" w:firstLine="397"/>
      </w:pPr>
      <w:r>
        <w:rPr>
          <w:color w:val="231F20"/>
        </w:rPr>
        <w:t>CEN – мрежа за примену цар</w:t>
      </w:r>
      <w:r>
        <w:rPr>
          <w:color w:val="231F20"/>
        </w:rPr>
        <w:t>инских правила (Customs Enfor- cement Network)</w:t>
      </w:r>
    </w:p>
    <w:p w:rsidR="005F4CB9" w:rsidRDefault="003D2634">
      <w:pPr>
        <w:pStyle w:val="BodyText"/>
        <w:spacing w:before="1" w:line="232" w:lineRule="auto"/>
        <w:ind w:left="108" w:right="381" w:firstLine="396"/>
      </w:pPr>
      <w:r>
        <w:rPr>
          <w:color w:val="231F20"/>
        </w:rPr>
        <w:t>FAC – сертификат о финалном пријему робе (Final Acceptan- ce Certificate)</w:t>
      </w:r>
    </w:p>
    <w:p w:rsidR="005F4CB9" w:rsidRDefault="003D2634">
      <w:pPr>
        <w:pStyle w:val="BodyText"/>
        <w:spacing w:line="199" w:lineRule="exact"/>
        <w:ind w:left="505"/>
      </w:pPr>
      <w:r>
        <w:rPr>
          <w:color w:val="231F20"/>
        </w:rPr>
        <w:t>FR – финални извештај (Final Report)</w:t>
      </w:r>
    </w:p>
    <w:p w:rsidR="005F4CB9" w:rsidRDefault="003D2634">
      <w:pPr>
        <w:pStyle w:val="BodyText"/>
        <w:spacing w:before="1" w:line="232" w:lineRule="auto"/>
        <w:ind w:left="108" w:firstLine="396"/>
      </w:pPr>
      <w:r>
        <w:rPr>
          <w:color w:val="231F20"/>
        </w:rPr>
        <w:t>PAC – сертификат о привременом пријему робе (Provisional Acceptance Certificate)</w:t>
      </w:r>
    </w:p>
    <w:p w:rsidR="005F4CB9" w:rsidRDefault="003D2634">
      <w:pPr>
        <w:pStyle w:val="BodyText"/>
        <w:spacing w:before="1" w:line="232" w:lineRule="auto"/>
        <w:ind w:left="109" w:right="381" w:firstLine="396"/>
      </w:pPr>
      <w:r>
        <w:rPr>
          <w:color w:val="231F20"/>
        </w:rPr>
        <w:t>PAR – Извештај о привременом прихватању радова (Perma- nent Acceptance Report)</w:t>
      </w:r>
    </w:p>
    <w:p w:rsidR="005F4CB9" w:rsidRDefault="003D2634">
      <w:pPr>
        <w:pStyle w:val="BodyText"/>
        <w:spacing w:line="232" w:lineRule="auto"/>
        <w:ind w:left="109" w:right="83" w:firstLine="396"/>
      </w:pPr>
      <w:r>
        <w:rPr>
          <w:color w:val="231F20"/>
        </w:rPr>
        <w:t>SELEC – Центар за спровођење закона у југоисточној Европи (ЈИЕ Southeast Europea Law Enforcment Center)</w:t>
      </w:r>
    </w:p>
    <w:p w:rsidR="005F4CB9" w:rsidRDefault="003D2634">
      <w:pPr>
        <w:pStyle w:val="BodyText"/>
        <w:spacing w:line="232" w:lineRule="auto"/>
        <w:ind w:left="109" w:right="83" w:firstLine="396"/>
      </w:pPr>
      <w:r>
        <w:rPr>
          <w:color w:val="231F20"/>
        </w:rPr>
        <w:t>TAIEX – Инструмент за техничку помоћ и размену информа- ција (Technical A</w:t>
      </w:r>
      <w:r>
        <w:rPr>
          <w:color w:val="231F20"/>
        </w:rPr>
        <w:t>ssistance and Information Exchange Instrument)</w:t>
      </w:r>
    </w:p>
    <w:p w:rsidR="005F4CB9" w:rsidRDefault="005F4CB9">
      <w:pPr>
        <w:spacing w:line="232" w:lineRule="auto"/>
        <w:sectPr w:rsidR="005F4CB9">
          <w:pgSz w:w="12480" w:h="15690"/>
          <w:pgMar w:top="120" w:right="740" w:bottom="280" w:left="740" w:header="720" w:footer="720" w:gutter="0"/>
          <w:cols w:num="2" w:space="720" w:equalWidth="0">
            <w:col w:w="5253" w:space="132"/>
            <w:col w:w="5615"/>
          </w:cols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0"/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2" cy="513130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2" cy="51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5" cy="434721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2" cy="50032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2" cy="50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5" cy="538734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2" cy="55473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2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5" cy="531266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5" cy="53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2" cy="48859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2" cy="48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5" cy="428320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5" cy="42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2" cy="534466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2" cy="53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5" cy="528066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5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2" cy="526465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2" cy="52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33933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33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482727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62203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6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323240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33400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05129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05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16331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498195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498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05129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05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50468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26999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2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496062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49935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4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497128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49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410717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23798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23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61136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6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24332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2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443788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494020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489661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611368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6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28599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2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344668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3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20065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497662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497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200650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20065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549935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54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1"/>
        <w:rPr>
          <w:sz w:val="22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78" cy="5280660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78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9" w:rsidRDefault="005F4CB9">
      <w:pPr>
        <w:rPr>
          <w:sz w:val="20"/>
        </w:rPr>
        <w:sectPr w:rsidR="005F4CB9">
          <w:pgSz w:w="15690" w:h="12480" w:orient="landscape"/>
          <w:pgMar w:top="1160" w:right="720" w:bottom="280" w:left="1260" w:header="720" w:footer="720" w:gutter="0"/>
          <w:cols w:space="720"/>
        </w:sectPr>
      </w:pPr>
    </w:p>
    <w:p w:rsidR="005F4CB9" w:rsidRDefault="005F4CB9">
      <w:pPr>
        <w:pStyle w:val="BodyText"/>
        <w:rPr>
          <w:sz w:val="20"/>
        </w:rPr>
      </w:pPr>
    </w:p>
    <w:p w:rsidR="005F4CB9" w:rsidRDefault="005F4CB9">
      <w:pPr>
        <w:pStyle w:val="BodyText"/>
        <w:spacing w:before="5"/>
        <w:rPr>
          <w:sz w:val="17"/>
        </w:rPr>
      </w:pPr>
    </w:p>
    <w:p w:rsidR="005F4CB9" w:rsidRDefault="003D2634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4081" cy="1290827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129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CB9">
      <w:pgSz w:w="15690" w:h="12480" w:orient="landscape"/>
      <w:pgMar w:top="1160" w:right="72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5527E"/>
    <w:multiLevelType w:val="hybridMultilevel"/>
    <w:tmpl w:val="EF728A00"/>
    <w:lvl w:ilvl="0" w:tplc="9648B58C">
      <w:start w:val="1"/>
      <w:numFmt w:val="decimal"/>
      <w:lvlText w:val="%1."/>
      <w:lvlJc w:val="left"/>
      <w:pPr>
        <w:ind w:left="394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8"/>
        <w:szCs w:val="18"/>
      </w:rPr>
    </w:lvl>
    <w:lvl w:ilvl="1" w:tplc="5F12C4F8">
      <w:numFmt w:val="bullet"/>
      <w:lvlText w:val="•"/>
      <w:lvlJc w:val="left"/>
      <w:pPr>
        <w:ind w:left="909" w:hanging="180"/>
      </w:pPr>
      <w:rPr>
        <w:rFonts w:hint="default"/>
      </w:rPr>
    </w:lvl>
    <w:lvl w:ilvl="2" w:tplc="FBF6D228">
      <w:numFmt w:val="bullet"/>
      <w:lvlText w:val="•"/>
      <w:lvlJc w:val="left"/>
      <w:pPr>
        <w:ind w:left="1419" w:hanging="180"/>
      </w:pPr>
      <w:rPr>
        <w:rFonts w:hint="default"/>
      </w:rPr>
    </w:lvl>
    <w:lvl w:ilvl="3" w:tplc="EEB055C8">
      <w:numFmt w:val="bullet"/>
      <w:lvlText w:val="•"/>
      <w:lvlJc w:val="left"/>
      <w:pPr>
        <w:ind w:left="1929" w:hanging="180"/>
      </w:pPr>
      <w:rPr>
        <w:rFonts w:hint="default"/>
      </w:rPr>
    </w:lvl>
    <w:lvl w:ilvl="4" w:tplc="365AACE2">
      <w:numFmt w:val="bullet"/>
      <w:lvlText w:val="•"/>
      <w:lvlJc w:val="left"/>
      <w:pPr>
        <w:ind w:left="2438" w:hanging="180"/>
      </w:pPr>
      <w:rPr>
        <w:rFonts w:hint="default"/>
      </w:rPr>
    </w:lvl>
    <w:lvl w:ilvl="5" w:tplc="E676BEF6">
      <w:numFmt w:val="bullet"/>
      <w:lvlText w:val="•"/>
      <w:lvlJc w:val="left"/>
      <w:pPr>
        <w:ind w:left="2948" w:hanging="180"/>
      </w:pPr>
      <w:rPr>
        <w:rFonts w:hint="default"/>
      </w:rPr>
    </w:lvl>
    <w:lvl w:ilvl="6" w:tplc="61821D30">
      <w:numFmt w:val="bullet"/>
      <w:lvlText w:val="•"/>
      <w:lvlJc w:val="left"/>
      <w:pPr>
        <w:ind w:left="3458" w:hanging="180"/>
      </w:pPr>
      <w:rPr>
        <w:rFonts w:hint="default"/>
      </w:rPr>
    </w:lvl>
    <w:lvl w:ilvl="7" w:tplc="22DA8E9E">
      <w:numFmt w:val="bullet"/>
      <w:lvlText w:val="•"/>
      <w:lvlJc w:val="left"/>
      <w:pPr>
        <w:ind w:left="3967" w:hanging="180"/>
      </w:pPr>
      <w:rPr>
        <w:rFonts w:hint="default"/>
      </w:rPr>
    </w:lvl>
    <w:lvl w:ilvl="8" w:tplc="A5E48B66">
      <w:numFmt w:val="bullet"/>
      <w:lvlText w:val="•"/>
      <w:lvlJc w:val="left"/>
      <w:pPr>
        <w:ind w:left="4477" w:hanging="180"/>
      </w:pPr>
      <w:rPr>
        <w:rFonts w:hint="default"/>
      </w:rPr>
    </w:lvl>
  </w:abstractNum>
  <w:abstractNum w:abstractNumId="1" w15:restartNumberingAfterBreak="0">
    <w:nsid w:val="2DAB2FCB"/>
    <w:multiLevelType w:val="hybridMultilevel"/>
    <w:tmpl w:val="8DA6BE92"/>
    <w:lvl w:ilvl="0" w:tplc="6EC60ED0">
      <w:start w:val="1"/>
      <w:numFmt w:val="upperRoman"/>
      <w:lvlText w:val="%1."/>
      <w:lvlJc w:val="left"/>
      <w:pPr>
        <w:ind w:left="505" w:hanging="150"/>
        <w:jc w:val="right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8"/>
        <w:szCs w:val="18"/>
      </w:rPr>
    </w:lvl>
    <w:lvl w:ilvl="1" w:tplc="ADC6351E">
      <w:numFmt w:val="bullet"/>
      <w:lvlText w:val="•"/>
      <w:lvlJc w:val="left"/>
      <w:pPr>
        <w:ind w:left="999" w:hanging="150"/>
      </w:pPr>
      <w:rPr>
        <w:rFonts w:hint="default"/>
      </w:rPr>
    </w:lvl>
    <w:lvl w:ilvl="2" w:tplc="25C8EF16">
      <w:numFmt w:val="bullet"/>
      <w:lvlText w:val="•"/>
      <w:lvlJc w:val="left"/>
      <w:pPr>
        <w:ind w:left="1499" w:hanging="150"/>
      </w:pPr>
      <w:rPr>
        <w:rFonts w:hint="default"/>
      </w:rPr>
    </w:lvl>
    <w:lvl w:ilvl="3" w:tplc="BFCC6AF6">
      <w:numFmt w:val="bullet"/>
      <w:lvlText w:val="•"/>
      <w:lvlJc w:val="left"/>
      <w:pPr>
        <w:ind w:left="1999" w:hanging="150"/>
      </w:pPr>
      <w:rPr>
        <w:rFonts w:hint="default"/>
      </w:rPr>
    </w:lvl>
    <w:lvl w:ilvl="4" w:tplc="E4DC84D4">
      <w:numFmt w:val="bullet"/>
      <w:lvlText w:val="•"/>
      <w:lvlJc w:val="left"/>
      <w:pPr>
        <w:ind w:left="2498" w:hanging="150"/>
      </w:pPr>
      <w:rPr>
        <w:rFonts w:hint="default"/>
      </w:rPr>
    </w:lvl>
    <w:lvl w:ilvl="5" w:tplc="2730CD02">
      <w:numFmt w:val="bullet"/>
      <w:lvlText w:val="•"/>
      <w:lvlJc w:val="left"/>
      <w:pPr>
        <w:ind w:left="2998" w:hanging="150"/>
      </w:pPr>
      <w:rPr>
        <w:rFonts w:hint="default"/>
      </w:rPr>
    </w:lvl>
    <w:lvl w:ilvl="6" w:tplc="4E9C4EB6">
      <w:numFmt w:val="bullet"/>
      <w:lvlText w:val="•"/>
      <w:lvlJc w:val="left"/>
      <w:pPr>
        <w:ind w:left="3498" w:hanging="150"/>
      </w:pPr>
      <w:rPr>
        <w:rFonts w:hint="default"/>
      </w:rPr>
    </w:lvl>
    <w:lvl w:ilvl="7" w:tplc="0CC67EBA">
      <w:numFmt w:val="bullet"/>
      <w:lvlText w:val="•"/>
      <w:lvlJc w:val="left"/>
      <w:pPr>
        <w:ind w:left="3997" w:hanging="150"/>
      </w:pPr>
      <w:rPr>
        <w:rFonts w:hint="default"/>
      </w:rPr>
    </w:lvl>
    <w:lvl w:ilvl="8" w:tplc="079AD786">
      <w:numFmt w:val="bullet"/>
      <w:lvlText w:val="•"/>
      <w:lvlJc w:val="left"/>
      <w:pPr>
        <w:ind w:left="4497" w:hanging="15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F4CB9"/>
    <w:rsid w:val="003D2634"/>
    <w:rsid w:val="005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7D06C0F9-1760-404F-AF51-9E196A076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3" w:lineRule="exact"/>
      <w:ind w:left="394" w:firstLine="397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D263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D263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D263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D263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63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1438</Words>
  <Characters>8198</Characters>
  <Application>Microsoft Office Word</Application>
  <DocSecurity>0</DocSecurity>
  <Lines>68</Lines>
  <Paragraphs>19</Paragraphs>
  <ScaleCrop>false</ScaleCrop>
  <Company/>
  <LinksUpToDate>false</LinksUpToDate>
  <CharactersWithSpaces>9617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2023-12-08T16:43:00Z</dcterms:created>
  <dcterms:modified xsi:type="dcterms:W3CDTF">2023-12-08T16:44:00Z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2017-12-24T00:00:00Z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2023-12-08T00:00:00Z</vt:filetime>
  </property>
</Properties>
</file>