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2"/>
        <w:gridCol w:w="9808"/>
      </w:tblGrid>
      <w:tr w:rsidR="00B91970" w:rsidRPr="00932A9A" w:rsidTr="00CE6A1C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B91970" w:rsidRDefault="00B91970" w:rsidP="00CE6A1C">
            <w:pPr>
              <w:pStyle w:val="NASLOVZLATO"/>
            </w:pPr>
            <w:bookmarkStart w:id="0" w:name="_GoBack"/>
            <w:r>
              <w:rPr>
                <w:lang w:val="en-US" w:eastAsia="en-US"/>
              </w:rPr>
              <w:drawing>
                <wp:inline distT="0" distB="0" distL="0" distR="0" wp14:anchorId="2A6EAC0E" wp14:editId="72CB53A6">
                  <wp:extent cx="523875" cy="561975"/>
                  <wp:effectExtent l="0" t="0" r="0" b="0"/>
                  <wp:docPr id="1404883680" name="Picture 1404883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B91970" w:rsidRPr="00F04BB2" w:rsidRDefault="00B91970" w:rsidP="00CE6A1C">
            <w:pPr>
              <w:pStyle w:val="NASLOVZLATO"/>
              <w:rPr>
                <w:lang w:val="sr-Cyrl-RS"/>
              </w:rPr>
            </w:pPr>
            <w:r>
              <w:rPr>
                <w:lang w:val="sr-Cyrl-RS"/>
              </w:rPr>
              <w:t>СПОРАЗУМ</w:t>
            </w:r>
          </w:p>
          <w:p w:rsidR="00B91970" w:rsidRPr="00B91970" w:rsidRDefault="00B91970" w:rsidP="00B91970">
            <w:pPr>
              <w:pStyle w:val="NASLOVBELO"/>
              <w:rPr>
                <w:lang w:val="sr-Cyrl-RS"/>
              </w:rPr>
            </w:pPr>
            <w:r>
              <w:rPr>
                <w:lang w:val="sr-Cyrl-RS"/>
              </w:rPr>
              <w:t>ИЗМЕЂУ</w:t>
            </w:r>
            <w:r w:rsidRPr="00B9197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МИНИСТРА</w:t>
            </w:r>
            <w:r w:rsidRPr="00B9197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ОМЛАДИНЕ</w:t>
            </w:r>
            <w:r w:rsidRPr="00B9197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B9197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СПОРТА</w:t>
            </w:r>
            <w:r w:rsidRPr="00B9197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РЕПУБЛИКЕ</w:t>
            </w:r>
            <w:r w:rsidRPr="00B9197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СРБИЈЕ</w:t>
            </w:r>
            <w:r w:rsidRPr="00B9197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И</w:t>
            </w:r>
            <w:r w:rsidRPr="00B9197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МИНИСТАРКЕ</w:t>
            </w:r>
            <w:r w:rsidRPr="00B9197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СПОРТА</w:t>
            </w:r>
            <w:r w:rsidRPr="00B9197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РЕПУБЛИКЕ</w:t>
            </w:r>
            <w:r w:rsidRPr="00B9197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ФРАНЦУСКЕ</w:t>
            </w:r>
            <w:r w:rsidRPr="00B9197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</w:t>
            </w:r>
            <w:r w:rsidRPr="00B9197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ОБЛАСТИ</w:t>
            </w:r>
            <w:r w:rsidRPr="00B9197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СПОРТА</w:t>
            </w:r>
          </w:p>
          <w:p w:rsidR="00B91970" w:rsidRPr="00D70371" w:rsidRDefault="00B91970" w:rsidP="00B91970">
            <w:pPr>
              <w:pStyle w:val="podnaslovpropisa"/>
            </w:pPr>
            <w:r w:rsidRPr="00B91970">
              <w:rPr>
                <w:lang w:val="sr-Cyrl-RS"/>
              </w:rPr>
              <w:t>("</w:t>
            </w:r>
            <w:r>
              <w:rPr>
                <w:lang w:val="sr-Cyrl-RS"/>
              </w:rPr>
              <w:t>Сл</w:t>
            </w:r>
            <w:r w:rsidRPr="00B91970">
              <w:rPr>
                <w:lang w:val="sr-Cyrl-RS"/>
              </w:rPr>
              <w:t xml:space="preserve">. </w:t>
            </w:r>
            <w:r>
              <w:rPr>
                <w:lang w:val="sr-Cyrl-RS"/>
              </w:rPr>
              <w:t>гласник</w:t>
            </w:r>
            <w:r w:rsidRPr="00B9197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РС</w:t>
            </w:r>
            <w:r w:rsidRPr="00B91970">
              <w:rPr>
                <w:lang w:val="sr-Cyrl-RS"/>
              </w:rPr>
              <w:t xml:space="preserve"> - </w:t>
            </w:r>
            <w:r>
              <w:rPr>
                <w:lang w:val="sr-Cyrl-RS"/>
              </w:rPr>
              <w:t>Међународни</w:t>
            </w:r>
            <w:r w:rsidRPr="00B91970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уговори</w:t>
            </w:r>
            <w:r w:rsidRPr="00B91970">
              <w:rPr>
                <w:lang w:val="sr-Cyrl-RS"/>
              </w:rPr>
              <w:t xml:space="preserve">", </w:t>
            </w:r>
            <w:r>
              <w:rPr>
                <w:lang w:val="sr-Cyrl-RS"/>
              </w:rPr>
              <w:t>бр</w:t>
            </w:r>
            <w:r w:rsidRPr="00B91970">
              <w:rPr>
                <w:lang w:val="sr-Cyrl-RS"/>
              </w:rPr>
              <w:t>. 8/2019)</w:t>
            </w:r>
          </w:p>
        </w:tc>
      </w:tr>
    </w:tbl>
    <w:p w:rsidR="00B91970" w:rsidRDefault="00B91970" w:rsidP="00B91970">
      <w:pPr>
        <w:rPr>
          <w:noProof/>
          <w:sz w:val="20"/>
        </w:rPr>
      </w:pPr>
    </w:p>
    <w:bookmarkEnd w:id="0"/>
    <w:p w:rsidR="00B91970" w:rsidRDefault="00B91970" w:rsidP="00B91970">
      <w:pPr>
        <w:rPr>
          <w:noProof/>
          <w:sz w:val="20"/>
        </w:rPr>
      </w:pPr>
      <w:r>
        <w:rPr>
          <w:noProof/>
          <w:sz w:val="20"/>
        </w:rPr>
        <w:drawing>
          <wp:inline distT="0" distB="0" distL="0" distR="0" wp14:anchorId="7D54FAD7" wp14:editId="40280DE8">
            <wp:extent cx="6908800" cy="16865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titled-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1686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970" w:rsidRDefault="00B91970">
      <w:pPr>
        <w:rPr>
          <w:sz w:val="18"/>
          <w:szCs w:val="18"/>
        </w:rPr>
      </w:pPr>
      <w:r>
        <w:br w:type="page"/>
      </w:r>
    </w:p>
    <w:p w:rsidR="00A337CA" w:rsidRDefault="00B91970">
      <w:pPr>
        <w:pStyle w:val="BodyText"/>
        <w:spacing w:before="62"/>
        <w:ind w:left="5911"/>
      </w:pPr>
      <w:r>
        <w:lastRenderedPageBreak/>
        <w:t>Sont convenus de ce qui suit:</w:t>
      </w:r>
    </w:p>
    <w:p w:rsidR="00A337CA" w:rsidRDefault="00B91970">
      <w:pPr>
        <w:pStyle w:val="BodyText"/>
        <w:spacing w:before="166"/>
        <w:ind w:left="6235"/>
      </w:pPr>
      <w:r>
        <w:t>ARTICLE PREMIER – PRINCIPES GENERAUX</w:t>
      </w:r>
    </w:p>
    <w:p w:rsidR="00A337CA" w:rsidRDefault="00A337CA">
      <w:pPr>
        <w:pStyle w:val="BodyText"/>
        <w:spacing w:before="5"/>
        <w:ind w:left="0"/>
        <w:rPr>
          <w:sz w:val="17"/>
        </w:rPr>
      </w:pPr>
    </w:p>
    <w:p w:rsidR="00A337CA" w:rsidRDefault="00B91970">
      <w:pPr>
        <w:pStyle w:val="BodyText"/>
        <w:spacing w:line="235" w:lineRule="auto"/>
        <w:ind w:left="5514" w:right="118" w:firstLine="396"/>
        <w:jc w:val="both"/>
      </w:pPr>
      <w:r>
        <w:t>Les Parties reconnaissent que la coopération sportive bilatérale doit être réalisée dans un idéal d’avantage mutuel, d’égalité et de béné- fices réciproques.</w:t>
      </w:r>
    </w:p>
    <w:p w:rsidR="00A337CA" w:rsidRDefault="00B91970">
      <w:pPr>
        <w:pStyle w:val="BodyText"/>
        <w:spacing w:before="165"/>
        <w:ind w:left="6282"/>
      </w:pPr>
      <w:r>
        <w:t>ARTICLE 2 – DOMAINES DE COOPERATION</w:t>
      </w:r>
    </w:p>
    <w:p w:rsidR="00A337CA" w:rsidRDefault="00A337CA">
      <w:pPr>
        <w:pStyle w:val="BodyText"/>
        <w:spacing w:before="6"/>
        <w:ind w:left="0"/>
        <w:rPr>
          <w:sz w:val="17"/>
        </w:rPr>
      </w:pPr>
    </w:p>
    <w:p w:rsidR="00A337CA" w:rsidRDefault="00B91970">
      <w:pPr>
        <w:pStyle w:val="BodyText"/>
        <w:spacing w:line="235" w:lineRule="auto"/>
        <w:ind w:left="5514" w:right="117" w:firstLine="396"/>
        <w:jc w:val="both"/>
      </w:pPr>
      <w:r>
        <w:t>Dans le respect de leurs législations nationales respectives, les Parties renforcent leur coopération et échangent leur expérience dans les domaines suivants:</w:t>
      </w:r>
    </w:p>
    <w:p w:rsidR="00A337CA" w:rsidRDefault="00B91970">
      <w:pPr>
        <w:pStyle w:val="ListParagraph"/>
        <w:numPr>
          <w:ilvl w:val="0"/>
          <w:numId w:val="2"/>
        </w:numPr>
        <w:tabs>
          <w:tab w:val="left" w:pos="6046"/>
        </w:tabs>
        <w:spacing w:line="235" w:lineRule="auto"/>
        <w:ind w:right="118" w:firstLine="397"/>
        <w:rPr>
          <w:sz w:val="18"/>
        </w:rPr>
      </w:pPr>
      <w:r>
        <w:rPr>
          <w:sz w:val="18"/>
        </w:rPr>
        <w:t>Le sport de haut niveau et la formation des cadres et des</w:t>
      </w:r>
      <w:r>
        <w:rPr>
          <w:spacing w:val="-24"/>
          <w:sz w:val="18"/>
        </w:rPr>
        <w:t xml:space="preserve"> </w:t>
      </w:r>
      <w:r>
        <w:rPr>
          <w:sz w:val="18"/>
        </w:rPr>
        <w:t>ex</w:t>
      </w:r>
      <w:r>
        <w:rPr>
          <w:sz w:val="18"/>
        </w:rPr>
        <w:t>perts du sport et des experts en</w:t>
      </w:r>
      <w:r>
        <w:rPr>
          <w:spacing w:val="-2"/>
          <w:sz w:val="18"/>
        </w:rPr>
        <w:t xml:space="preserve"> </w:t>
      </w:r>
      <w:r>
        <w:rPr>
          <w:sz w:val="18"/>
        </w:rPr>
        <w:t>sport;</w:t>
      </w:r>
    </w:p>
    <w:p w:rsidR="00A337CA" w:rsidRDefault="00B91970">
      <w:pPr>
        <w:pStyle w:val="ListParagraph"/>
        <w:numPr>
          <w:ilvl w:val="0"/>
          <w:numId w:val="2"/>
        </w:numPr>
        <w:tabs>
          <w:tab w:val="left" w:pos="6045"/>
        </w:tabs>
        <w:spacing w:line="235" w:lineRule="auto"/>
        <w:ind w:right="118" w:firstLine="397"/>
        <w:rPr>
          <w:sz w:val="18"/>
        </w:rPr>
      </w:pPr>
      <w:r>
        <w:rPr>
          <w:sz w:val="18"/>
        </w:rPr>
        <w:t>La promotion de la pratique régulière de l’activité physique,</w:t>
      </w:r>
      <w:r>
        <w:rPr>
          <w:spacing w:val="-22"/>
          <w:sz w:val="18"/>
        </w:rPr>
        <w:t xml:space="preserve"> </w:t>
      </w:r>
      <w:r>
        <w:rPr>
          <w:sz w:val="18"/>
        </w:rPr>
        <w:t>no- tamment auprès des publics les plus éloignés;</w:t>
      </w:r>
    </w:p>
    <w:p w:rsidR="00A337CA" w:rsidRDefault="00B91970">
      <w:pPr>
        <w:pStyle w:val="ListParagraph"/>
        <w:numPr>
          <w:ilvl w:val="0"/>
          <w:numId w:val="2"/>
        </w:numPr>
        <w:tabs>
          <w:tab w:val="left" w:pos="6049"/>
        </w:tabs>
        <w:spacing w:line="235" w:lineRule="auto"/>
        <w:ind w:right="118" w:firstLine="397"/>
        <w:rPr>
          <w:sz w:val="18"/>
        </w:rPr>
      </w:pPr>
      <w:r>
        <w:rPr>
          <w:sz w:val="18"/>
        </w:rPr>
        <w:t>La prévention et la lutte contre les phénomènes négatifs dans le sport, notamment le dopage, ainsi que l</w:t>
      </w:r>
      <w:r>
        <w:rPr>
          <w:sz w:val="18"/>
        </w:rPr>
        <w:t>a médecine du</w:t>
      </w:r>
      <w:r>
        <w:rPr>
          <w:spacing w:val="-5"/>
          <w:sz w:val="18"/>
        </w:rPr>
        <w:t xml:space="preserve"> </w:t>
      </w:r>
      <w:r>
        <w:rPr>
          <w:sz w:val="18"/>
        </w:rPr>
        <w:t>sport;</w:t>
      </w:r>
    </w:p>
    <w:p w:rsidR="00A337CA" w:rsidRDefault="00B91970">
      <w:pPr>
        <w:pStyle w:val="ListParagraph"/>
        <w:numPr>
          <w:ilvl w:val="0"/>
          <w:numId w:val="2"/>
        </w:numPr>
        <w:tabs>
          <w:tab w:val="left" w:pos="6047"/>
        </w:tabs>
        <w:spacing w:line="200" w:lineRule="exact"/>
        <w:ind w:left="6046"/>
        <w:rPr>
          <w:sz w:val="18"/>
        </w:rPr>
      </w:pPr>
      <w:r>
        <w:rPr>
          <w:sz w:val="18"/>
        </w:rPr>
        <w:t>Les échanges sur les pôles d’excellence</w:t>
      </w:r>
      <w:r>
        <w:rPr>
          <w:spacing w:val="-3"/>
          <w:sz w:val="18"/>
        </w:rPr>
        <w:t xml:space="preserve"> </w:t>
      </w:r>
      <w:r>
        <w:rPr>
          <w:sz w:val="18"/>
        </w:rPr>
        <w:t>sportive;</w:t>
      </w:r>
    </w:p>
    <w:p w:rsidR="00A337CA" w:rsidRDefault="00B91970">
      <w:pPr>
        <w:pStyle w:val="ListParagraph"/>
        <w:numPr>
          <w:ilvl w:val="0"/>
          <w:numId w:val="2"/>
        </w:numPr>
        <w:tabs>
          <w:tab w:val="left" w:pos="6074"/>
        </w:tabs>
        <w:spacing w:line="235" w:lineRule="auto"/>
        <w:ind w:right="119" w:firstLine="397"/>
        <w:rPr>
          <w:sz w:val="18"/>
        </w:rPr>
      </w:pPr>
      <w:r>
        <w:rPr>
          <w:sz w:val="18"/>
        </w:rPr>
        <w:t>L’organisation et l’évaluation des grands événements sportifs internationaux;</w:t>
      </w:r>
    </w:p>
    <w:p w:rsidR="00A337CA" w:rsidRDefault="00B91970">
      <w:pPr>
        <w:pStyle w:val="ListParagraph"/>
        <w:numPr>
          <w:ilvl w:val="0"/>
          <w:numId w:val="2"/>
        </w:numPr>
        <w:tabs>
          <w:tab w:val="left" w:pos="6047"/>
        </w:tabs>
        <w:spacing w:line="200" w:lineRule="exact"/>
        <w:ind w:left="6046"/>
        <w:rPr>
          <w:sz w:val="18"/>
        </w:rPr>
      </w:pPr>
      <w:r>
        <w:rPr>
          <w:sz w:val="18"/>
        </w:rPr>
        <w:t>Le tourisme</w:t>
      </w:r>
      <w:r>
        <w:rPr>
          <w:spacing w:val="-1"/>
          <w:sz w:val="18"/>
        </w:rPr>
        <w:t xml:space="preserve"> </w:t>
      </w:r>
      <w:r>
        <w:rPr>
          <w:sz w:val="18"/>
        </w:rPr>
        <w:t>sportif;</w:t>
      </w:r>
    </w:p>
    <w:p w:rsidR="00A337CA" w:rsidRDefault="00B91970">
      <w:pPr>
        <w:pStyle w:val="ListParagraph"/>
        <w:numPr>
          <w:ilvl w:val="0"/>
          <w:numId w:val="2"/>
        </w:numPr>
        <w:tabs>
          <w:tab w:val="left" w:pos="6047"/>
        </w:tabs>
        <w:spacing w:line="202" w:lineRule="exact"/>
        <w:ind w:left="6046"/>
        <w:rPr>
          <w:sz w:val="18"/>
        </w:rPr>
      </w:pPr>
      <w:r>
        <w:rPr>
          <w:sz w:val="18"/>
        </w:rPr>
        <w:t>Les sciences et la recherche dans le domaine du</w:t>
      </w:r>
      <w:r>
        <w:rPr>
          <w:spacing w:val="-8"/>
          <w:sz w:val="18"/>
        </w:rPr>
        <w:t xml:space="preserve"> </w:t>
      </w:r>
      <w:r>
        <w:rPr>
          <w:sz w:val="18"/>
        </w:rPr>
        <w:t>sport;</w:t>
      </w:r>
    </w:p>
    <w:p w:rsidR="00A337CA" w:rsidRDefault="00B91970">
      <w:pPr>
        <w:pStyle w:val="ListParagraph"/>
        <w:numPr>
          <w:ilvl w:val="0"/>
          <w:numId w:val="2"/>
        </w:numPr>
        <w:tabs>
          <w:tab w:val="left" w:pos="6047"/>
        </w:tabs>
        <w:spacing w:line="202" w:lineRule="exact"/>
        <w:ind w:left="6046"/>
        <w:rPr>
          <w:sz w:val="18"/>
        </w:rPr>
      </w:pPr>
      <w:r>
        <w:rPr>
          <w:sz w:val="18"/>
        </w:rPr>
        <w:t>La gestion des infrastructures</w:t>
      </w:r>
      <w:r>
        <w:rPr>
          <w:spacing w:val="-1"/>
          <w:sz w:val="18"/>
        </w:rPr>
        <w:t xml:space="preserve"> </w:t>
      </w:r>
      <w:r>
        <w:rPr>
          <w:sz w:val="18"/>
        </w:rPr>
        <w:t>sportives;</w:t>
      </w:r>
    </w:p>
    <w:p w:rsidR="00A337CA" w:rsidRDefault="00B91970">
      <w:pPr>
        <w:pStyle w:val="ListParagraph"/>
        <w:numPr>
          <w:ilvl w:val="0"/>
          <w:numId w:val="2"/>
        </w:numPr>
        <w:tabs>
          <w:tab w:val="left" w:pos="6047"/>
        </w:tabs>
        <w:spacing w:line="202" w:lineRule="exact"/>
        <w:ind w:left="6046"/>
        <w:rPr>
          <w:sz w:val="18"/>
        </w:rPr>
      </w:pPr>
      <w:r>
        <w:rPr>
          <w:sz w:val="18"/>
        </w:rPr>
        <w:t>Le cadre réglementaire et législatif du</w:t>
      </w:r>
      <w:r>
        <w:rPr>
          <w:spacing w:val="-3"/>
          <w:sz w:val="18"/>
        </w:rPr>
        <w:t xml:space="preserve"> </w:t>
      </w:r>
      <w:r>
        <w:rPr>
          <w:sz w:val="18"/>
        </w:rPr>
        <w:t>sport.</w:t>
      </w:r>
    </w:p>
    <w:p w:rsidR="00A337CA" w:rsidRDefault="00B91970">
      <w:pPr>
        <w:pStyle w:val="BodyText"/>
        <w:spacing w:line="235" w:lineRule="auto"/>
        <w:ind w:left="5514" w:right="117" w:firstLine="396"/>
        <w:jc w:val="both"/>
      </w:pPr>
      <w:r>
        <w:t>Certaines disciplines sportives peuvent être valorisées en priorité dans le cadre du développement d’actions concrètes impliquant les fé- dérations françaises et serbes en charge du water-polo, du t</w:t>
      </w:r>
      <w:r>
        <w:t>aekwondo et du judo.</w:t>
      </w:r>
    </w:p>
    <w:p w:rsidR="00A337CA" w:rsidRDefault="00B91970">
      <w:pPr>
        <w:pStyle w:val="BodyText"/>
        <w:spacing w:before="163"/>
        <w:ind w:left="5914"/>
      </w:pPr>
      <w:r>
        <w:t>ARTICLE 3 – MISE EN ŒUVRE DE LA COOPERATION</w:t>
      </w:r>
    </w:p>
    <w:p w:rsidR="00A337CA" w:rsidRDefault="00A337CA">
      <w:pPr>
        <w:pStyle w:val="BodyText"/>
        <w:spacing w:before="5"/>
        <w:ind w:left="0"/>
        <w:rPr>
          <w:sz w:val="17"/>
        </w:rPr>
      </w:pPr>
    </w:p>
    <w:p w:rsidR="00A337CA" w:rsidRDefault="00B91970">
      <w:pPr>
        <w:pStyle w:val="BodyText"/>
        <w:spacing w:line="235" w:lineRule="auto"/>
        <w:ind w:left="5514" w:firstLine="396"/>
      </w:pPr>
      <w:r>
        <w:t>La coopération entre les Parties est mise en œuvre dans le respect des législations nationales des Parties, sous la forme notamment:</w:t>
      </w:r>
    </w:p>
    <w:p w:rsidR="00A337CA" w:rsidRDefault="00B91970">
      <w:pPr>
        <w:pStyle w:val="ListParagraph"/>
        <w:numPr>
          <w:ilvl w:val="0"/>
          <w:numId w:val="2"/>
        </w:numPr>
        <w:tabs>
          <w:tab w:val="left" w:pos="6047"/>
        </w:tabs>
        <w:spacing w:line="200" w:lineRule="exact"/>
        <w:ind w:left="6046"/>
        <w:rPr>
          <w:sz w:val="18"/>
        </w:rPr>
      </w:pPr>
      <w:r>
        <w:rPr>
          <w:sz w:val="18"/>
        </w:rPr>
        <w:t>d´échanges d’informations et d’expériences,</w:t>
      </w:r>
    </w:p>
    <w:p w:rsidR="00A337CA" w:rsidRDefault="00B91970">
      <w:pPr>
        <w:pStyle w:val="ListParagraph"/>
        <w:numPr>
          <w:ilvl w:val="0"/>
          <w:numId w:val="2"/>
        </w:numPr>
        <w:tabs>
          <w:tab w:val="left" w:pos="6047"/>
        </w:tabs>
        <w:spacing w:line="202" w:lineRule="exact"/>
        <w:ind w:left="6046"/>
        <w:rPr>
          <w:sz w:val="18"/>
        </w:rPr>
      </w:pPr>
      <w:r>
        <w:rPr>
          <w:sz w:val="18"/>
        </w:rPr>
        <w:t>d’échanges de</w:t>
      </w:r>
      <w:r>
        <w:rPr>
          <w:sz w:val="18"/>
        </w:rPr>
        <w:t xml:space="preserve"> publications et de documentation,</w:t>
      </w:r>
    </w:p>
    <w:p w:rsidR="00A337CA" w:rsidRDefault="00B91970">
      <w:pPr>
        <w:pStyle w:val="ListParagraph"/>
        <w:numPr>
          <w:ilvl w:val="0"/>
          <w:numId w:val="2"/>
        </w:numPr>
        <w:tabs>
          <w:tab w:val="left" w:pos="6056"/>
        </w:tabs>
        <w:spacing w:before="1" w:line="235" w:lineRule="auto"/>
        <w:ind w:right="118" w:firstLine="397"/>
        <w:rPr>
          <w:sz w:val="18"/>
        </w:rPr>
      </w:pPr>
      <w:r>
        <w:rPr>
          <w:sz w:val="18"/>
        </w:rPr>
        <w:t>de l’organisation conjointe de séminaires, de conférences et de toute autre initiative d’intérêt mutuel,</w:t>
      </w:r>
    </w:p>
    <w:p w:rsidR="00A337CA" w:rsidRDefault="00B91970">
      <w:pPr>
        <w:pStyle w:val="ListParagraph"/>
        <w:numPr>
          <w:ilvl w:val="0"/>
          <w:numId w:val="2"/>
        </w:numPr>
        <w:tabs>
          <w:tab w:val="left" w:pos="6062"/>
        </w:tabs>
        <w:spacing w:line="235" w:lineRule="auto"/>
        <w:ind w:right="118" w:firstLine="397"/>
        <w:rPr>
          <w:sz w:val="18"/>
        </w:rPr>
      </w:pPr>
      <w:r>
        <w:rPr>
          <w:sz w:val="18"/>
        </w:rPr>
        <w:t>d’encouragement à la coopération directe entre les fédérations sportives et d›autres organisations</w:t>
      </w:r>
      <w:r>
        <w:rPr>
          <w:spacing w:val="-3"/>
          <w:sz w:val="18"/>
        </w:rPr>
        <w:t xml:space="preserve"> </w:t>
      </w:r>
      <w:r>
        <w:rPr>
          <w:sz w:val="18"/>
        </w:rPr>
        <w:t>sportives.</w:t>
      </w:r>
    </w:p>
    <w:p w:rsidR="00A337CA" w:rsidRDefault="00B91970">
      <w:pPr>
        <w:pStyle w:val="ListParagraph"/>
        <w:numPr>
          <w:ilvl w:val="0"/>
          <w:numId w:val="2"/>
        </w:numPr>
        <w:tabs>
          <w:tab w:val="left" w:pos="6069"/>
        </w:tabs>
        <w:spacing w:line="235" w:lineRule="auto"/>
        <w:ind w:right="118" w:firstLine="397"/>
        <w:jc w:val="both"/>
        <w:rPr>
          <w:sz w:val="18"/>
        </w:rPr>
      </w:pPr>
      <w:r>
        <w:rPr>
          <w:sz w:val="18"/>
        </w:rPr>
        <w:t>d’échanges d’expertise entre le Serbian Institute of Sport and Sports Medecine (SISSM) et l’Institut National du Sport, de l’Exper- tise et de la Performance</w:t>
      </w:r>
      <w:r>
        <w:rPr>
          <w:spacing w:val="-2"/>
          <w:sz w:val="18"/>
        </w:rPr>
        <w:t xml:space="preserve"> </w:t>
      </w:r>
      <w:r>
        <w:rPr>
          <w:sz w:val="18"/>
        </w:rPr>
        <w:t>(INSEP).</w:t>
      </w:r>
    </w:p>
    <w:p w:rsidR="00A337CA" w:rsidRDefault="00B91970">
      <w:pPr>
        <w:pStyle w:val="BodyText"/>
        <w:spacing w:before="163"/>
        <w:ind w:left="6880" w:right="1484"/>
        <w:jc w:val="center"/>
      </w:pPr>
      <w:r>
        <w:t>ARTICLE 4 – FINANCEMENT</w:t>
      </w:r>
    </w:p>
    <w:p w:rsidR="00A337CA" w:rsidRDefault="00A337CA">
      <w:pPr>
        <w:pStyle w:val="BodyText"/>
        <w:spacing w:before="2"/>
        <w:ind w:left="0"/>
        <w:rPr>
          <w:sz w:val="9"/>
        </w:rPr>
      </w:pPr>
    </w:p>
    <w:p w:rsidR="00A337CA" w:rsidRDefault="00A337CA">
      <w:pPr>
        <w:rPr>
          <w:sz w:val="9"/>
        </w:rPr>
        <w:sectPr w:rsidR="00A337CA" w:rsidSect="00B91970">
          <w:footerReference w:type="default" r:id="rId9"/>
          <w:type w:val="continuous"/>
          <w:pgSz w:w="11910" w:h="15740"/>
          <w:pgMar w:top="80" w:right="560" w:bottom="280" w:left="580" w:header="720" w:footer="205" w:gutter="0"/>
          <w:cols w:space="720"/>
        </w:sectPr>
      </w:pPr>
    </w:p>
    <w:p w:rsidR="00A337CA" w:rsidRDefault="00A337CA">
      <w:pPr>
        <w:pStyle w:val="BodyText"/>
        <w:ind w:left="0"/>
        <w:rPr>
          <w:sz w:val="22"/>
        </w:rPr>
      </w:pPr>
    </w:p>
    <w:p w:rsidR="00A337CA" w:rsidRDefault="00A337CA">
      <w:pPr>
        <w:pStyle w:val="BodyText"/>
        <w:ind w:left="0"/>
        <w:rPr>
          <w:sz w:val="27"/>
        </w:rPr>
      </w:pPr>
    </w:p>
    <w:p w:rsidR="00A337CA" w:rsidRDefault="00B91970">
      <w:pPr>
        <w:pStyle w:val="Heading1"/>
        <w:ind w:left="1696" w:firstLine="0"/>
      </w:pPr>
      <w:r>
        <w:t xml:space="preserve">ARRANGEMENT </w:t>
      </w:r>
    </w:p>
    <w:p w:rsidR="00A337CA" w:rsidRDefault="00B91970">
      <w:pPr>
        <w:spacing w:before="183" w:line="254" w:lineRule="auto"/>
        <w:ind w:left="400" w:right="328" w:hanging="10"/>
        <w:jc w:val="center"/>
        <w:rPr>
          <w:b/>
          <w:sz w:val="20"/>
        </w:rPr>
      </w:pPr>
      <w:r>
        <w:rPr>
          <w:b/>
          <w:sz w:val="20"/>
        </w:rPr>
        <w:t>ENTRE LE MINISTRE DE LA JEUNESSE ET</w:t>
      </w:r>
      <w:r>
        <w:rPr>
          <w:b/>
          <w:spacing w:val="-20"/>
          <w:sz w:val="20"/>
        </w:rPr>
        <w:t xml:space="preserve"> </w:t>
      </w:r>
      <w:r>
        <w:rPr>
          <w:b/>
          <w:sz w:val="20"/>
        </w:rPr>
        <w:t>DES SPORTS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REPUBLIQUE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SERBIE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ET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LA MINISTRE DES SPORTS DE LA REPUBLIQUE FRANÇAISE DANS LE DOMAINE DU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SPORT</w:t>
      </w:r>
    </w:p>
    <w:p w:rsidR="00A337CA" w:rsidRDefault="00A337CA">
      <w:pPr>
        <w:pStyle w:val="BodyText"/>
        <w:spacing w:before="8"/>
        <w:ind w:left="0"/>
        <w:rPr>
          <w:b/>
          <w:sz w:val="25"/>
        </w:rPr>
      </w:pPr>
    </w:p>
    <w:p w:rsidR="00A337CA" w:rsidRDefault="00B91970">
      <w:pPr>
        <w:pStyle w:val="BodyText"/>
        <w:spacing w:line="235" w:lineRule="auto"/>
        <w:ind w:right="38" w:firstLine="396"/>
        <w:jc w:val="both"/>
      </w:pPr>
      <w:r>
        <w:t>Le Ministre de la Jeunesse et des Sports de la République de Ser- bie, d’une part,</w:t>
      </w:r>
    </w:p>
    <w:p w:rsidR="00A337CA" w:rsidRDefault="00B91970">
      <w:pPr>
        <w:pStyle w:val="BodyText"/>
        <w:spacing w:line="202" w:lineRule="exact"/>
        <w:ind w:left="497"/>
      </w:pPr>
      <w:r>
        <w:t>et</w:t>
      </w:r>
    </w:p>
    <w:p w:rsidR="00A337CA" w:rsidRDefault="00B91970">
      <w:pPr>
        <w:pStyle w:val="BodyText"/>
        <w:spacing w:before="2" w:line="235" w:lineRule="auto"/>
        <w:ind w:left="497" w:right="208"/>
      </w:pPr>
      <w:r>
        <w:t>La Ministre des Sports de la République française, d’autre part, Ci-après conjointement dénommés les « Parties »;</w:t>
      </w:r>
    </w:p>
    <w:p w:rsidR="00A337CA" w:rsidRDefault="00B91970">
      <w:pPr>
        <w:pStyle w:val="BodyText"/>
        <w:spacing w:line="235" w:lineRule="auto"/>
        <w:ind w:right="38" w:firstLine="396"/>
        <w:jc w:val="both"/>
      </w:pPr>
      <w:r>
        <w:t>Reconnaissant le rôle de la coopération sportive bilatérale</w:t>
      </w:r>
      <w:r>
        <w:rPr>
          <w:spacing w:val="-19"/>
        </w:rPr>
        <w:t xml:space="preserve"> </w:t>
      </w:r>
      <w:r>
        <w:t>comme facteur de renforcement des liens d’amitié et des valeurs</w:t>
      </w:r>
      <w:r>
        <w:rPr>
          <w:spacing w:val="-12"/>
        </w:rPr>
        <w:t xml:space="preserve"> </w:t>
      </w:r>
      <w:r>
        <w:t>communes;</w:t>
      </w:r>
    </w:p>
    <w:p w:rsidR="00A337CA" w:rsidRDefault="00B91970">
      <w:pPr>
        <w:pStyle w:val="BodyText"/>
        <w:spacing w:before="1" w:line="235" w:lineRule="auto"/>
        <w:ind w:right="38" w:firstLine="396"/>
        <w:jc w:val="both"/>
      </w:pPr>
      <w:r>
        <w:t>Souligna</w:t>
      </w:r>
      <w:r>
        <w:t>nt leur intérêt commun pour respecter les principes fon- damentaux reconnus dans la Charte Olympique et pour contribuer à la construction d’un monde meilleur et plus pacifique;</w:t>
      </w:r>
    </w:p>
    <w:p w:rsidR="00A337CA" w:rsidRDefault="00B91970">
      <w:pPr>
        <w:pStyle w:val="BodyText"/>
        <w:spacing w:line="235" w:lineRule="auto"/>
        <w:ind w:right="38" w:firstLine="396"/>
        <w:jc w:val="both"/>
      </w:pPr>
      <w:r>
        <w:t>Appuyant les organisations sportives homologues dans leurs pro- jets de coopéra</w:t>
      </w:r>
      <w:r>
        <w:t>tion et de développement;</w:t>
      </w:r>
    </w:p>
    <w:p w:rsidR="00A337CA" w:rsidRDefault="00B91970">
      <w:pPr>
        <w:pStyle w:val="BodyText"/>
        <w:spacing w:before="96" w:line="235" w:lineRule="auto"/>
        <w:ind w:right="118" w:firstLine="396"/>
        <w:jc w:val="both"/>
      </w:pPr>
      <w:r>
        <w:br w:type="column"/>
      </w:r>
      <w:r>
        <w:t>La coopération prévue dans le présent Arrangement s’effectue dans la limite des disponibilités budgétaires et des dotations de fonc- tionnement courant des administrations publiques impliquées.</w:t>
      </w:r>
    </w:p>
    <w:p w:rsidR="00A337CA" w:rsidRDefault="00B91970">
      <w:pPr>
        <w:pStyle w:val="BodyText"/>
        <w:spacing w:line="200" w:lineRule="exact"/>
        <w:ind w:left="497"/>
      </w:pPr>
      <w:r>
        <w:t>Cette coopération s’effectue dans l</w:t>
      </w:r>
      <w:r>
        <w:t>e respect des principes suivants:</w:t>
      </w:r>
    </w:p>
    <w:p w:rsidR="00A337CA" w:rsidRDefault="00B91970">
      <w:pPr>
        <w:pStyle w:val="ListParagraph"/>
        <w:numPr>
          <w:ilvl w:val="0"/>
          <w:numId w:val="1"/>
        </w:numPr>
        <w:tabs>
          <w:tab w:val="left" w:pos="627"/>
        </w:tabs>
        <w:spacing w:before="1" w:line="235" w:lineRule="auto"/>
        <w:ind w:right="116" w:firstLine="397"/>
        <w:jc w:val="both"/>
        <w:rPr>
          <w:sz w:val="18"/>
        </w:rPr>
      </w:pPr>
      <w:r>
        <w:rPr>
          <w:sz w:val="18"/>
        </w:rPr>
        <w:t>les</w:t>
      </w:r>
      <w:r>
        <w:rPr>
          <w:spacing w:val="-16"/>
          <w:sz w:val="18"/>
        </w:rPr>
        <w:t xml:space="preserve"> </w:t>
      </w:r>
      <w:r>
        <w:rPr>
          <w:sz w:val="18"/>
        </w:rPr>
        <w:t>frais</w:t>
      </w:r>
      <w:r>
        <w:rPr>
          <w:spacing w:val="-16"/>
          <w:sz w:val="18"/>
        </w:rPr>
        <w:t xml:space="preserve"> </w:t>
      </w:r>
      <w:r>
        <w:rPr>
          <w:sz w:val="18"/>
        </w:rPr>
        <w:t>de</w:t>
      </w:r>
      <w:r>
        <w:rPr>
          <w:spacing w:val="-16"/>
          <w:sz w:val="18"/>
        </w:rPr>
        <w:t xml:space="preserve"> </w:t>
      </w:r>
      <w:r>
        <w:rPr>
          <w:sz w:val="18"/>
        </w:rPr>
        <w:t>transport</w:t>
      </w:r>
      <w:r>
        <w:rPr>
          <w:spacing w:val="-16"/>
          <w:sz w:val="18"/>
        </w:rPr>
        <w:t xml:space="preserve"> </w:t>
      </w:r>
      <w:r>
        <w:rPr>
          <w:sz w:val="18"/>
        </w:rPr>
        <w:t>internationaux,</w:t>
      </w:r>
      <w:r>
        <w:rPr>
          <w:spacing w:val="-16"/>
          <w:sz w:val="18"/>
        </w:rPr>
        <w:t xml:space="preserve"> </w:t>
      </w:r>
      <w:r>
        <w:rPr>
          <w:sz w:val="18"/>
        </w:rPr>
        <w:t>aller</w:t>
      </w:r>
      <w:r>
        <w:rPr>
          <w:spacing w:val="-16"/>
          <w:sz w:val="18"/>
        </w:rPr>
        <w:t xml:space="preserve"> </w:t>
      </w:r>
      <w:r>
        <w:rPr>
          <w:sz w:val="18"/>
        </w:rPr>
        <w:t>et</w:t>
      </w:r>
      <w:r>
        <w:rPr>
          <w:spacing w:val="-16"/>
          <w:sz w:val="18"/>
        </w:rPr>
        <w:t xml:space="preserve"> </w:t>
      </w:r>
      <w:r>
        <w:rPr>
          <w:spacing w:val="-3"/>
          <w:sz w:val="18"/>
        </w:rPr>
        <w:t>retour,</w:t>
      </w:r>
      <w:r>
        <w:rPr>
          <w:spacing w:val="-16"/>
          <w:sz w:val="18"/>
        </w:rPr>
        <w:t xml:space="preserve"> </w:t>
      </w:r>
      <w:r>
        <w:rPr>
          <w:sz w:val="18"/>
        </w:rPr>
        <w:t>jusqu’à</w:t>
      </w:r>
      <w:r>
        <w:rPr>
          <w:spacing w:val="-16"/>
          <w:sz w:val="18"/>
        </w:rPr>
        <w:t xml:space="preserve"> </w:t>
      </w:r>
      <w:r>
        <w:rPr>
          <w:sz w:val="18"/>
        </w:rPr>
        <w:t>l’aéro- port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9"/>
          <w:sz w:val="18"/>
        </w:rPr>
        <w:t xml:space="preserve"> </w:t>
      </w:r>
      <w:r>
        <w:rPr>
          <w:sz w:val="18"/>
        </w:rPr>
        <w:t>plus</w:t>
      </w:r>
      <w:r>
        <w:rPr>
          <w:spacing w:val="-9"/>
          <w:sz w:val="18"/>
        </w:rPr>
        <w:t xml:space="preserve"> </w:t>
      </w:r>
      <w:r>
        <w:rPr>
          <w:sz w:val="18"/>
        </w:rPr>
        <w:t>proche</w:t>
      </w:r>
      <w:r>
        <w:rPr>
          <w:spacing w:val="-9"/>
          <w:sz w:val="18"/>
        </w:rPr>
        <w:t xml:space="preserve"> </w:t>
      </w:r>
      <w:r>
        <w:rPr>
          <w:sz w:val="18"/>
        </w:rPr>
        <w:t>sont</w:t>
      </w:r>
      <w:r>
        <w:rPr>
          <w:spacing w:val="-9"/>
          <w:sz w:val="18"/>
        </w:rPr>
        <w:t xml:space="preserve"> </w:t>
      </w:r>
      <w:r>
        <w:rPr>
          <w:sz w:val="18"/>
        </w:rPr>
        <w:t>à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pacing w:val="-3"/>
          <w:sz w:val="18"/>
        </w:rPr>
        <w:t>charge</w:t>
      </w:r>
      <w:r>
        <w:rPr>
          <w:spacing w:val="-9"/>
          <w:sz w:val="18"/>
        </w:rPr>
        <w:t xml:space="preserve"> </w:t>
      </w:r>
      <w:r>
        <w:rPr>
          <w:sz w:val="18"/>
        </w:rPr>
        <w:t>de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Partie</w:t>
      </w:r>
      <w:r>
        <w:rPr>
          <w:spacing w:val="-9"/>
          <w:sz w:val="18"/>
        </w:rPr>
        <w:t xml:space="preserve"> </w:t>
      </w:r>
      <w:r>
        <w:rPr>
          <w:sz w:val="18"/>
        </w:rPr>
        <w:t>qui</w:t>
      </w:r>
      <w:r>
        <w:rPr>
          <w:spacing w:val="-9"/>
          <w:sz w:val="18"/>
        </w:rPr>
        <w:t xml:space="preserve"> </w:t>
      </w:r>
      <w:r>
        <w:rPr>
          <w:sz w:val="18"/>
        </w:rPr>
        <w:t>envoie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délégation;</w:t>
      </w:r>
    </w:p>
    <w:p w:rsidR="00A337CA" w:rsidRDefault="00B91970">
      <w:pPr>
        <w:pStyle w:val="ListParagraph"/>
        <w:numPr>
          <w:ilvl w:val="0"/>
          <w:numId w:val="1"/>
        </w:numPr>
        <w:tabs>
          <w:tab w:val="left" w:pos="650"/>
        </w:tabs>
        <w:spacing w:line="235" w:lineRule="auto"/>
        <w:ind w:right="118" w:firstLine="397"/>
        <w:jc w:val="both"/>
        <w:rPr>
          <w:sz w:val="18"/>
        </w:rPr>
      </w:pPr>
      <w:r>
        <w:rPr>
          <w:sz w:val="18"/>
        </w:rPr>
        <w:t>les frais de séjour, d’hébergement, de restauration et de trans- ports intérieurs seront à la charge de la Partie</w:t>
      </w:r>
      <w:r>
        <w:rPr>
          <w:spacing w:val="-5"/>
          <w:sz w:val="18"/>
        </w:rPr>
        <w:t xml:space="preserve"> </w:t>
      </w:r>
      <w:r>
        <w:rPr>
          <w:sz w:val="18"/>
        </w:rPr>
        <w:t>hôte.</w:t>
      </w:r>
    </w:p>
    <w:p w:rsidR="00A337CA" w:rsidRDefault="00B91970">
      <w:pPr>
        <w:pStyle w:val="BodyText"/>
        <w:spacing w:before="165"/>
        <w:ind w:left="643"/>
      </w:pPr>
      <w:r>
        <w:t>ARTICLE 5 – PROGRAMMATION DES ECHANGES</w:t>
      </w:r>
    </w:p>
    <w:p w:rsidR="00A337CA" w:rsidRDefault="00A337CA">
      <w:pPr>
        <w:pStyle w:val="BodyText"/>
        <w:spacing w:before="5"/>
        <w:ind w:left="0"/>
        <w:rPr>
          <w:sz w:val="17"/>
        </w:rPr>
      </w:pPr>
    </w:p>
    <w:p w:rsidR="00A337CA" w:rsidRDefault="00B91970">
      <w:pPr>
        <w:pStyle w:val="BodyText"/>
        <w:spacing w:line="235" w:lineRule="auto"/>
        <w:ind w:right="118" w:firstLine="396"/>
        <w:jc w:val="both"/>
      </w:pPr>
      <w:r>
        <w:t xml:space="preserve">La coopération envisagée dans le cadre du présent Arrangement pourra être développée sous forme </w:t>
      </w:r>
      <w:r>
        <w:t>de programmes d’échanges portant sur une durée de deux ans, renouvelable par tacite reconduction pour des périodes successives de deux ans.</w:t>
      </w:r>
    </w:p>
    <w:p w:rsidR="00A337CA" w:rsidRDefault="00B91970">
      <w:pPr>
        <w:pStyle w:val="BodyText"/>
        <w:spacing w:before="168" w:line="235" w:lineRule="auto"/>
        <w:ind w:left="598" w:right="616"/>
        <w:jc w:val="center"/>
      </w:pPr>
      <w:r>
        <w:t>ARTICLE 6 – CONSULTATIONS, REGLEMENT DES DIFFERENDS ET RESPECT DES ENGAGEMENTS INTERNATIONAUX</w:t>
      </w:r>
    </w:p>
    <w:p w:rsidR="00A337CA" w:rsidRDefault="00A337CA">
      <w:pPr>
        <w:pStyle w:val="BodyText"/>
        <w:spacing w:before="5"/>
        <w:ind w:left="0"/>
        <w:rPr>
          <w:sz w:val="17"/>
        </w:rPr>
      </w:pPr>
    </w:p>
    <w:p w:rsidR="00A337CA" w:rsidRDefault="00B91970">
      <w:pPr>
        <w:pStyle w:val="BodyText"/>
        <w:spacing w:line="235" w:lineRule="auto"/>
        <w:ind w:right="118" w:firstLine="396"/>
        <w:jc w:val="both"/>
      </w:pPr>
      <w:r>
        <w:t>Si nécessaire, les Parties se consultent sur les principes et instru- ments de mise en œuvre de la coopération prévus par le présent Arran- gement.</w:t>
      </w:r>
    </w:p>
    <w:p w:rsidR="00A337CA" w:rsidRDefault="00A337CA">
      <w:pPr>
        <w:spacing w:line="235" w:lineRule="auto"/>
        <w:jc w:val="both"/>
        <w:sectPr w:rsidR="00A337CA">
          <w:type w:val="continuous"/>
          <w:pgSz w:w="11910" w:h="15740"/>
          <w:pgMar w:top="80" w:right="560" w:bottom="280" w:left="580" w:header="720" w:footer="720" w:gutter="0"/>
          <w:cols w:num="2" w:space="720" w:equalWidth="0">
            <w:col w:w="5272" w:space="142"/>
            <w:col w:w="5356"/>
          </w:cols>
        </w:sectPr>
      </w:pPr>
    </w:p>
    <w:p w:rsidR="00A337CA" w:rsidRDefault="00B91970">
      <w:pPr>
        <w:pStyle w:val="BodyText"/>
        <w:spacing w:before="68" w:line="232" w:lineRule="auto"/>
        <w:ind w:right="5531" w:firstLine="396"/>
        <w:jc w:val="both"/>
      </w:pPr>
      <w:bookmarkStart w:id="1" w:name="116_Меморандум_између_Владе_Републике_Ср"/>
      <w:bookmarkEnd w:id="1"/>
      <w:r>
        <w:lastRenderedPageBreak/>
        <w:t>Tout différend lié à l’interprétation ou à l’application du présent Arrangement e</w:t>
      </w:r>
      <w:r>
        <w:t>st réglé à l’amiable au moyen de négociations ou de consultations directes entre les Parties.</w:t>
      </w:r>
    </w:p>
    <w:p w:rsidR="00A337CA" w:rsidRDefault="00B91970">
      <w:pPr>
        <w:pStyle w:val="BodyText"/>
        <w:spacing w:before="1" w:line="232" w:lineRule="auto"/>
        <w:ind w:right="5533" w:firstLine="396"/>
        <w:jc w:val="both"/>
      </w:pPr>
      <w:r>
        <w:t>Les dispositions du présent Arrangement sont mises en œuvre dans le respect des engagements internationaux respectifs des Parties.</w:t>
      </w:r>
    </w:p>
    <w:p w:rsidR="00A337CA" w:rsidRDefault="00B91970">
      <w:pPr>
        <w:pStyle w:val="BodyText"/>
        <w:spacing w:before="166"/>
        <w:ind w:left="1135"/>
      </w:pPr>
      <w:r>
        <w:t>ARTICLE 7 – DISPOSITIONS FINALE</w:t>
      </w:r>
      <w:r>
        <w:t>S</w:t>
      </w:r>
    </w:p>
    <w:p w:rsidR="00A337CA" w:rsidRDefault="00A337CA">
      <w:pPr>
        <w:pStyle w:val="BodyText"/>
        <w:spacing w:before="5"/>
        <w:ind w:left="0"/>
        <w:rPr>
          <w:sz w:val="17"/>
        </w:rPr>
      </w:pPr>
    </w:p>
    <w:p w:rsidR="00A337CA" w:rsidRDefault="00B91970">
      <w:pPr>
        <w:pStyle w:val="BodyText"/>
        <w:spacing w:line="232" w:lineRule="auto"/>
        <w:ind w:right="5532" w:firstLine="396"/>
        <w:jc w:val="both"/>
      </w:pPr>
      <w:r>
        <w:t>Le présent Arrangement entre en vigueur le jour de sa signature. Il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durée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deux</w:t>
      </w:r>
      <w:r>
        <w:rPr>
          <w:spacing w:val="-3"/>
        </w:rPr>
        <w:t xml:space="preserve"> </w:t>
      </w:r>
      <w:r>
        <w:t>ans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peut</w:t>
      </w:r>
      <w:r>
        <w:rPr>
          <w:spacing w:val="-3"/>
        </w:rPr>
        <w:t xml:space="preserve"> </w:t>
      </w:r>
      <w:r>
        <w:t>être</w:t>
      </w:r>
      <w:r>
        <w:rPr>
          <w:spacing w:val="-3"/>
        </w:rPr>
        <w:t xml:space="preserve"> </w:t>
      </w:r>
      <w:r>
        <w:t>reconduit</w:t>
      </w:r>
      <w:r>
        <w:rPr>
          <w:spacing w:val="-4"/>
        </w:rPr>
        <w:t xml:space="preserve"> </w:t>
      </w:r>
      <w:r>
        <w:t>par</w:t>
      </w:r>
      <w:r>
        <w:rPr>
          <w:spacing w:val="-3"/>
        </w:rPr>
        <w:t xml:space="preserve"> </w:t>
      </w:r>
      <w:r>
        <w:t>tacite</w:t>
      </w:r>
      <w:r>
        <w:rPr>
          <w:spacing w:val="-4"/>
        </w:rPr>
        <w:t xml:space="preserve"> </w:t>
      </w:r>
      <w:r>
        <w:t>reconduction pour de nouvelles périodes de deux ans, à moins que l’une des Parties notifie à l’autre Partie par voie diplomatiq</w:t>
      </w:r>
      <w:r>
        <w:t>ue six mois avant l’expira- tion de l’Arrangement, son intention d’y mettre</w:t>
      </w:r>
      <w:r>
        <w:rPr>
          <w:spacing w:val="-2"/>
        </w:rPr>
        <w:t xml:space="preserve"> </w:t>
      </w:r>
      <w:r>
        <w:t>fin.</w:t>
      </w:r>
    </w:p>
    <w:p w:rsidR="00A337CA" w:rsidRDefault="00B91970">
      <w:pPr>
        <w:pStyle w:val="BodyText"/>
        <w:spacing w:before="2" w:line="232" w:lineRule="auto"/>
        <w:ind w:right="5531" w:firstLine="396"/>
        <w:jc w:val="both"/>
      </w:pPr>
      <w:r>
        <w:t>En outre, chacune des Parties peut dénoncer le présent Arrange- ment, à tout moment, par notification écrite transmise par voie diplo- matique. Dans ce cas, l’Arrangement cess</w:t>
      </w:r>
      <w:r>
        <w:t>e d’être valable dans un délai de six mois après la date de la réception de la notification.</w:t>
      </w:r>
    </w:p>
    <w:p w:rsidR="00A337CA" w:rsidRDefault="00B91970">
      <w:pPr>
        <w:pStyle w:val="BodyText"/>
        <w:spacing w:before="2" w:line="232" w:lineRule="auto"/>
        <w:ind w:right="5532" w:firstLine="396"/>
        <w:jc w:val="both"/>
      </w:pPr>
      <w:r>
        <w:t>Cette dénonciation ne remet pas en cause les droits et obligations des Parties liés aux projets engagés dans le cadre du présent Arrange- ment.</w:t>
      </w:r>
    </w:p>
    <w:p w:rsidR="00A337CA" w:rsidRDefault="00B91970">
      <w:pPr>
        <w:pStyle w:val="BodyText"/>
        <w:spacing w:before="2" w:line="232" w:lineRule="auto"/>
        <w:ind w:right="5531" w:firstLine="396"/>
        <w:jc w:val="both"/>
      </w:pPr>
      <w:r>
        <w:t>Le présent Arrangem</w:t>
      </w:r>
      <w:r>
        <w:t>ent peut être amendé à tout moment, par écrit, d’un commun accord entre les Parties. Ces modifications ou compléments feront partie intégrante du présent Arrangement.</w:t>
      </w:r>
    </w:p>
    <w:p w:rsidR="00A337CA" w:rsidRDefault="00B91970">
      <w:pPr>
        <w:pStyle w:val="BodyText"/>
        <w:spacing w:before="58" w:line="232" w:lineRule="auto"/>
        <w:ind w:right="5531" w:firstLine="396"/>
        <w:jc w:val="both"/>
      </w:pPr>
      <w:r>
        <w:t>Fait à Belgrade, 15/7/2019 en deux exemplaires originaux, cha- cun en langue serbe et en langue française, les deux textes faisant éga- lement foi.</w:t>
      </w:r>
    </w:p>
    <w:p w:rsidR="00A337CA" w:rsidRDefault="00A337CA">
      <w:pPr>
        <w:pStyle w:val="BodyText"/>
        <w:spacing w:before="5"/>
        <w:ind w:left="0"/>
        <w:rPr>
          <w:sz w:val="14"/>
        </w:rPr>
      </w:pPr>
    </w:p>
    <w:p w:rsidR="00A337CA" w:rsidRDefault="00A337CA">
      <w:pPr>
        <w:rPr>
          <w:sz w:val="14"/>
        </w:rPr>
        <w:sectPr w:rsidR="00A337CA">
          <w:pgSz w:w="11910" w:h="15740"/>
          <w:pgMar w:top="80" w:right="560" w:bottom="280" w:left="580" w:header="720" w:footer="720" w:gutter="0"/>
          <w:cols w:space="720"/>
        </w:sectPr>
      </w:pPr>
    </w:p>
    <w:p w:rsidR="00A337CA" w:rsidRDefault="00A337CA">
      <w:pPr>
        <w:pStyle w:val="BodyText"/>
        <w:spacing w:before="10"/>
        <w:ind w:left="0"/>
        <w:rPr>
          <w:sz w:val="25"/>
        </w:rPr>
      </w:pPr>
    </w:p>
    <w:p w:rsidR="00A337CA" w:rsidRDefault="00B91970">
      <w:pPr>
        <w:pStyle w:val="BodyText"/>
        <w:spacing w:line="232" w:lineRule="auto"/>
        <w:ind w:left="160" w:hanging="1"/>
        <w:jc w:val="center"/>
      </w:pPr>
      <w:r>
        <w:t>le Ministre de la Jeunesse et des Sports de la République de Serbie Vanja UDOVIČIĆ</w:t>
      </w:r>
    </w:p>
    <w:p w:rsidR="00A337CA" w:rsidRDefault="00B91970">
      <w:pPr>
        <w:pStyle w:val="BodyText"/>
        <w:spacing w:before="93" w:line="203" w:lineRule="exact"/>
        <w:ind w:left="1138"/>
      </w:pPr>
      <w:r>
        <w:br w:type="column"/>
      </w:r>
      <w:r>
        <w:t>pour</w:t>
      </w:r>
    </w:p>
    <w:p w:rsidR="00A337CA" w:rsidRDefault="00B91970">
      <w:pPr>
        <w:pStyle w:val="BodyText"/>
        <w:spacing w:before="1" w:line="232" w:lineRule="auto"/>
        <w:ind w:left="346" w:right="5857" w:firstLine="169"/>
      </w:pPr>
      <w:r>
        <w:t>la Ministre des Sports de la République française Frédéric</w:t>
      </w:r>
      <w:r>
        <w:rPr>
          <w:spacing w:val="-5"/>
        </w:rPr>
        <w:t xml:space="preserve"> </w:t>
      </w:r>
      <w:r>
        <w:t>MONDOLONI</w:t>
      </w:r>
    </w:p>
    <w:p w:rsidR="00A337CA" w:rsidRDefault="00B91970">
      <w:pPr>
        <w:pStyle w:val="BodyText"/>
        <w:spacing w:line="200" w:lineRule="exact"/>
        <w:ind w:left="61" w:right="5573"/>
        <w:jc w:val="center"/>
      </w:pPr>
      <w:r>
        <w:t>Ambassadeur de France en Serbie</w:t>
      </w:r>
    </w:p>
    <w:sectPr w:rsidR="00A337CA">
      <w:type w:val="continuous"/>
      <w:pgSz w:w="11910" w:h="15740"/>
      <w:pgMar w:top="80" w:right="560" w:bottom="280" w:left="580" w:header="720" w:footer="720" w:gutter="0"/>
      <w:cols w:num="2" w:space="720" w:equalWidth="0">
        <w:col w:w="2605" w:space="40"/>
        <w:col w:w="812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970" w:rsidRDefault="00B91970" w:rsidP="00B91970">
      <w:r>
        <w:separator/>
      </w:r>
    </w:p>
  </w:endnote>
  <w:endnote w:type="continuationSeparator" w:id="0">
    <w:p w:rsidR="00B91970" w:rsidRDefault="00B91970" w:rsidP="00B9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55505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1970" w:rsidRDefault="00B9197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1970" w:rsidRDefault="00B919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970" w:rsidRDefault="00B91970" w:rsidP="00B91970">
      <w:r>
        <w:separator/>
      </w:r>
    </w:p>
  </w:footnote>
  <w:footnote w:type="continuationSeparator" w:id="0">
    <w:p w:rsidR="00B91970" w:rsidRDefault="00B91970" w:rsidP="00B91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35504"/>
    <w:multiLevelType w:val="hybridMultilevel"/>
    <w:tmpl w:val="A8CC0434"/>
    <w:lvl w:ilvl="0" w:tplc="B3B6F2B0">
      <w:numFmt w:val="bullet"/>
      <w:lvlText w:val="–"/>
      <w:lvlJc w:val="left"/>
      <w:pPr>
        <w:ind w:left="100" w:hanging="130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B50409C">
      <w:numFmt w:val="bullet"/>
      <w:lvlText w:val="•"/>
      <w:lvlJc w:val="left"/>
      <w:pPr>
        <w:ind w:left="625" w:hanging="130"/>
      </w:pPr>
      <w:rPr>
        <w:rFonts w:hint="default"/>
      </w:rPr>
    </w:lvl>
    <w:lvl w:ilvl="2" w:tplc="0DA83A62">
      <w:numFmt w:val="bullet"/>
      <w:lvlText w:val="•"/>
      <w:lvlJc w:val="left"/>
      <w:pPr>
        <w:ind w:left="1150" w:hanging="130"/>
      </w:pPr>
      <w:rPr>
        <w:rFonts w:hint="default"/>
      </w:rPr>
    </w:lvl>
    <w:lvl w:ilvl="3" w:tplc="23109C72">
      <w:numFmt w:val="bullet"/>
      <w:lvlText w:val="•"/>
      <w:lvlJc w:val="left"/>
      <w:pPr>
        <w:ind w:left="1675" w:hanging="130"/>
      </w:pPr>
      <w:rPr>
        <w:rFonts w:hint="default"/>
      </w:rPr>
    </w:lvl>
    <w:lvl w:ilvl="4" w:tplc="52667922">
      <w:numFmt w:val="bullet"/>
      <w:lvlText w:val="•"/>
      <w:lvlJc w:val="left"/>
      <w:pPr>
        <w:ind w:left="2200" w:hanging="130"/>
      </w:pPr>
      <w:rPr>
        <w:rFonts w:hint="default"/>
      </w:rPr>
    </w:lvl>
    <w:lvl w:ilvl="5" w:tplc="A5A64FA4">
      <w:numFmt w:val="bullet"/>
      <w:lvlText w:val="•"/>
      <w:lvlJc w:val="left"/>
      <w:pPr>
        <w:ind w:left="2725" w:hanging="130"/>
      </w:pPr>
      <w:rPr>
        <w:rFonts w:hint="default"/>
      </w:rPr>
    </w:lvl>
    <w:lvl w:ilvl="6" w:tplc="C5C4762A">
      <w:numFmt w:val="bullet"/>
      <w:lvlText w:val="•"/>
      <w:lvlJc w:val="left"/>
      <w:pPr>
        <w:ind w:left="3250" w:hanging="130"/>
      </w:pPr>
      <w:rPr>
        <w:rFonts w:hint="default"/>
      </w:rPr>
    </w:lvl>
    <w:lvl w:ilvl="7" w:tplc="A2E008A6">
      <w:numFmt w:val="bullet"/>
      <w:lvlText w:val="•"/>
      <w:lvlJc w:val="left"/>
      <w:pPr>
        <w:ind w:left="3776" w:hanging="130"/>
      </w:pPr>
      <w:rPr>
        <w:rFonts w:hint="default"/>
      </w:rPr>
    </w:lvl>
    <w:lvl w:ilvl="8" w:tplc="37344618">
      <w:numFmt w:val="bullet"/>
      <w:lvlText w:val="•"/>
      <w:lvlJc w:val="left"/>
      <w:pPr>
        <w:ind w:left="4301" w:hanging="130"/>
      </w:pPr>
      <w:rPr>
        <w:rFonts w:hint="default"/>
      </w:rPr>
    </w:lvl>
  </w:abstractNum>
  <w:abstractNum w:abstractNumId="1" w15:restartNumberingAfterBreak="0">
    <w:nsid w:val="4CD13C29"/>
    <w:multiLevelType w:val="hybridMultilevel"/>
    <w:tmpl w:val="3D26454E"/>
    <w:lvl w:ilvl="0" w:tplc="3D6E3442">
      <w:numFmt w:val="bullet"/>
      <w:lvlText w:val="–"/>
      <w:lvlJc w:val="left"/>
      <w:pPr>
        <w:ind w:left="5514" w:hanging="135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438729C">
      <w:numFmt w:val="bullet"/>
      <w:lvlText w:val="•"/>
      <w:lvlJc w:val="left"/>
      <w:pPr>
        <w:ind w:left="6044" w:hanging="135"/>
      </w:pPr>
      <w:rPr>
        <w:rFonts w:hint="default"/>
      </w:rPr>
    </w:lvl>
    <w:lvl w:ilvl="2" w:tplc="52587E5C">
      <w:numFmt w:val="bullet"/>
      <w:lvlText w:val="•"/>
      <w:lvlJc w:val="left"/>
      <w:pPr>
        <w:ind w:left="6569" w:hanging="135"/>
      </w:pPr>
      <w:rPr>
        <w:rFonts w:hint="default"/>
      </w:rPr>
    </w:lvl>
    <w:lvl w:ilvl="3" w:tplc="FDDEEBA0">
      <w:numFmt w:val="bullet"/>
      <w:lvlText w:val="•"/>
      <w:lvlJc w:val="left"/>
      <w:pPr>
        <w:ind w:left="7093" w:hanging="135"/>
      </w:pPr>
      <w:rPr>
        <w:rFonts w:hint="default"/>
      </w:rPr>
    </w:lvl>
    <w:lvl w:ilvl="4" w:tplc="FCC6BBBC">
      <w:numFmt w:val="bullet"/>
      <w:lvlText w:val="•"/>
      <w:lvlJc w:val="left"/>
      <w:pPr>
        <w:ind w:left="7618" w:hanging="135"/>
      </w:pPr>
      <w:rPr>
        <w:rFonts w:hint="default"/>
      </w:rPr>
    </w:lvl>
    <w:lvl w:ilvl="5" w:tplc="C14E6AB8">
      <w:numFmt w:val="bullet"/>
      <w:lvlText w:val="•"/>
      <w:lvlJc w:val="left"/>
      <w:pPr>
        <w:ind w:left="8142" w:hanging="135"/>
      </w:pPr>
      <w:rPr>
        <w:rFonts w:hint="default"/>
      </w:rPr>
    </w:lvl>
    <w:lvl w:ilvl="6" w:tplc="7B782C80">
      <w:numFmt w:val="bullet"/>
      <w:lvlText w:val="•"/>
      <w:lvlJc w:val="left"/>
      <w:pPr>
        <w:ind w:left="8667" w:hanging="135"/>
      </w:pPr>
      <w:rPr>
        <w:rFonts w:hint="default"/>
      </w:rPr>
    </w:lvl>
    <w:lvl w:ilvl="7" w:tplc="AD5C461C">
      <w:numFmt w:val="bullet"/>
      <w:lvlText w:val="•"/>
      <w:lvlJc w:val="left"/>
      <w:pPr>
        <w:ind w:left="9191" w:hanging="135"/>
      </w:pPr>
      <w:rPr>
        <w:rFonts w:hint="default"/>
      </w:rPr>
    </w:lvl>
    <w:lvl w:ilvl="8" w:tplc="35AEB4E8">
      <w:numFmt w:val="bullet"/>
      <w:lvlText w:val="•"/>
      <w:lvlJc w:val="left"/>
      <w:pPr>
        <w:ind w:left="9716" w:hanging="1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2049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337CA"/>
    <w:rsid w:val="00A337CA"/>
    <w:rsid w:val="00B9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9E7C9AB7-6AF4-4869-A078-A4E8972E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00" w:hanging="1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ind w:left="5514" w:firstLine="39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B91970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B91970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B91970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B919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1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B91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19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919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97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833</Words>
  <Characters>4751</Characters>
  <Application>Microsoft Office Word</Application>
  <DocSecurity>0</DocSecurity>
  <Lines>39</Lines>
  <Paragraphs>11</Paragraphs>
  <ScaleCrop>false</ScaleCrop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2</cp:revision>
  <dcterms:created xsi:type="dcterms:W3CDTF">2023-12-18T17:08:00Z</dcterms:created>
  <dcterms:modified xsi:type="dcterms:W3CDTF">2023-12-18T17:09:00Z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2019-07-29T00:00:00Z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2023-12-18T00:00:00Z</vt:filetime>
  </property>
</Properties>
</file>