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782EF5" w:rsidTr="005D6DF1">
        <w:trPr>
          <w:tblCellSpacing w:w="15" w:type="dxa"/>
        </w:trPr>
        <w:tc>
          <w:tcPr>
            <w:tcW w:w="476" w:type="pct"/>
            <w:shd w:val="clear" w:color="auto" w:fill="A41E1C"/>
            <w:vAlign w:val="center"/>
          </w:tcPr>
          <w:p w:rsidR="00932A9A" w:rsidRPr="00782EF5" w:rsidRDefault="008A44FA" w:rsidP="00363DB9">
            <w:pPr>
              <w:pStyle w:val="NASLOVZLATO"/>
              <w:rPr>
                <w:sz w:val="20"/>
                <w:szCs w:val="20"/>
              </w:rPr>
            </w:pPr>
            <w:r w:rsidRPr="00782EF5">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782EF5" w:rsidRDefault="00715B49" w:rsidP="00363DB9">
            <w:pPr>
              <w:pStyle w:val="NASLOVBELO"/>
              <w:spacing w:line="360" w:lineRule="auto"/>
              <w:rPr>
                <w:color w:val="FFE599"/>
                <w:sz w:val="20"/>
                <w:szCs w:val="20"/>
                <w:lang w:val="sr-Cyrl-RS"/>
              </w:rPr>
            </w:pPr>
            <w:r w:rsidRPr="00782EF5">
              <w:rPr>
                <w:color w:val="FFE599"/>
                <w:sz w:val="20"/>
                <w:szCs w:val="20"/>
                <w:lang w:val="sr-Cyrl-RS"/>
              </w:rPr>
              <w:t>ОДЛУКА</w:t>
            </w:r>
          </w:p>
          <w:p w:rsidR="00932A9A" w:rsidRPr="00782EF5" w:rsidRDefault="00B15CFE" w:rsidP="00363DB9">
            <w:pPr>
              <w:pStyle w:val="NASLOVBELO"/>
              <w:rPr>
                <w:sz w:val="20"/>
                <w:szCs w:val="20"/>
              </w:rPr>
            </w:pPr>
            <w:r w:rsidRPr="00782EF5">
              <w:rPr>
                <w:sz w:val="20"/>
                <w:szCs w:val="20"/>
              </w:rPr>
              <w:t>БРОЈ 3/2022 ЗАЈЕДНИЧКОГ КОМИТЕТА ЕУ-ЗЗТ ОСНОВАНОГ КОНВЕНЦИЈОМ О ЗАЈЕДНИЧКОМ ТРАНЗИТНОМ ПОСТУПКУ ОД 20. МАЈА 1987. ГОДИНЕ ОД 29. СЕПТЕМБРА 2022. ГОДИНЕ КОЈОМ СЕ МЕЊА ТА КОНВЕНЦИЈА</w:t>
            </w:r>
          </w:p>
          <w:p w:rsidR="00932A9A" w:rsidRPr="00782EF5" w:rsidRDefault="00395566" w:rsidP="00363DB9">
            <w:pPr>
              <w:pStyle w:val="podnaslovpropisa"/>
            </w:pPr>
            <w:r w:rsidRPr="00782EF5">
              <w:t>("Сл. гласник РС - Међународни уговори", бр. 4/202</w:t>
            </w:r>
            <w:r w:rsidR="00DF6786" w:rsidRPr="00782EF5">
              <w:t>3</w:t>
            </w:r>
            <w:r w:rsidRPr="00782EF5">
              <w:t>)</w:t>
            </w:r>
          </w:p>
        </w:tc>
      </w:tr>
    </w:tbl>
    <w:p w:rsidR="005D6DF1" w:rsidRPr="00782EF5" w:rsidRDefault="005D6DF1" w:rsidP="00363DB9">
      <w:pPr>
        <w:jc w:val="center"/>
        <w:rPr>
          <w:rFonts w:ascii="Arial" w:hAnsi="Arial" w:cs="Arial"/>
          <w:sz w:val="20"/>
          <w:szCs w:val="20"/>
        </w:rPr>
      </w:pPr>
      <w:bookmarkStart w:id="0" w:name="str_1"/>
      <w:bookmarkEnd w:id="0"/>
    </w:p>
    <w:p w:rsidR="00782EF5" w:rsidRPr="00782EF5" w:rsidRDefault="00782EF5" w:rsidP="00782EF5">
      <w:pPr>
        <w:spacing w:after="120" w:line="276" w:lineRule="auto"/>
        <w:contextualSpacing w:val="0"/>
        <w:jc w:val="center"/>
        <w:rPr>
          <w:rFonts w:ascii="Arial" w:eastAsiaTheme="minorHAnsi" w:hAnsi="Arial" w:cs="Arial"/>
          <w:noProof w:val="0"/>
          <w:sz w:val="22"/>
          <w:szCs w:val="22"/>
          <w:lang w:val="en-US"/>
        </w:rPr>
      </w:pPr>
      <w:bookmarkStart w:id="1" w:name="_GoBack"/>
      <w:bookmarkEnd w:id="1"/>
      <w:r w:rsidRPr="00782EF5">
        <w:rPr>
          <w:rFonts w:ascii="Arial" w:eastAsiaTheme="minorHAnsi" w:hAnsi="Arial" w:cs="Arial"/>
          <w:b/>
          <w:noProof w:val="0"/>
          <w:color w:val="000000"/>
          <w:sz w:val="22"/>
          <w:szCs w:val="22"/>
          <w:lang w:val="en-US"/>
        </w:rPr>
        <w:t>ПРИЛОГ</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Додатак III Конвенције о заједничком транзитном поступку од 20. маја 1987. године мења се као у наставку:</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1. У Прилогу Б1, у рубрици</w:t>
      </w:r>
      <w:r w:rsidRPr="00782EF5">
        <w:rPr>
          <w:rFonts w:ascii="Arial" w:eastAsiaTheme="minorHAnsi" w:hAnsi="Arial" w:cs="Arial"/>
          <w:noProof w:val="0"/>
          <w:color w:val="000000"/>
          <w:sz w:val="22"/>
          <w:szCs w:val="22"/>
          <w:lang w:val="en-US"/>
        </w:rPr>
        <w:t xml:space="preserve"> </w:t>
      </w:r>
      <w:r w:rsidRPr="00782EF5">
        <w:rPr>
          <w:rFonts w:ascii="Arial" w:eastAsiaTheme="minorHAnsi" w:hAnsi="Arial" w:cs="Arial"/>
          <w:b/>
          <w:noProof w:val="0"/>
          <w:color w:val="000000"/>
          <w:sz w:val="22"/>
          <w:szCs w:val="22"/>
          <w:lang w:val="en-US"/>
        </w:rPr>
        <w:t>51 између Турска и Северна Ирска додаје се следећа алинеја: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Украјина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2. У Прилогу Б6, мења се Наслов III и гласи:</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2.1. У првом делу табеле „Важност ограничена – 99200” следећа алинеја се додаје после: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Дія обмежена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2.2. У другом делу табеле „Ослобођено – 99201”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Звільнення</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2.3. У трећем делу табеле „Алтернативни доказ – 99202”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Альтернативне підтвердження</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2.4. У четвртом делу табеле „Разлике: царинарнице у којима је предата роба...(назив и земља) – 99203”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Розбіжності: митниця, де товари були пред’явлені ...... (назва і країна)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2.5. У петом делу табеле „Излаз из...подлеже ограничењима или трошковима на основу Прописа/Директиве/Одлуке бр. ... – 99204”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Вибуття із ................ з урахуванням обмежень та зі сплатою зборів відповідно до Регламенту/Директиви/Рішення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2.6. У седмом делу табеле „Овлашћени пошиљалац – 99206”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Авторизований вантажовідправник</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2.7. У осмом делу табеле „Ослобођено потписа – 99207”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Звільнено від підпису</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2.8. У деветом делу табеле „Забрањена заједничка гаранција – 99208”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ЗАГАЛЬНА ГАРАНТІЯ ЗАБОРОНЕНА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2.9. У десетом делу табеле „Неограничена употреба – 99209”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ВИКОРИСТАННЯ БЕЗ ОБМЕЖЕНЬ</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2.10. У 11. делу табеле „Издато накнадно – 99210”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Видано згодом</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2.11. У 12. делу табеле „Разни – 99211”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Різне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2.12 У 13. делу табеле „Расуто – 99212”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lastRenderedPageBreak/>
        <w:t>– UA Навалювальний вантаж</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2.13. У 14. делу табеле „Пошиљалац – 99213” следећа алинеја се додаје после TR:</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UA Вантажовідправник</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3. Прилог В1 се замењује следећим текстом:</w:t>
      </w:r>
    </w:p>
    <w:p w:rsidR="00782EF5" w:rsidRPr="00782EF5" w:rsidRDefault="00782EF5" w:rsidP="00782EF5">
      <w:pPr>
        <w:spacing w:after="120" w:line="276" w:lineRule="auto"/>
        <w:contextualSpacing w:val="0"/>
        <w:jc w:val="center"/>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ПРИЛОГ В1</w:t>
      </w:r>
    </w:p>
    <w:p w:rsidR="00782EF5" w:rsidRPr="00782EF5" w:rsidRDefault="00782EF5" w:rsidP="00782EF5">
      <w:pPr>
        <w:spacing w:after="120" w:line="276" w:lineRule="auto"/>
        <w:contextualSpacing w:val="0"/>
        <w:jc w:val="center"/>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ГАРАНТНА ИСПРАВА – ПОЈЕДИНАЧНО ОБЕЗБЕЂЕЊЕ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I. Обавеза коју је преузео гарант</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1. Доле потписани </w:t>
      </w:r>
      <w:r w:rsidRPr="00782EF5">
        <w:rPr>
          <w:rFonts w:ascii="Arial" w:eastAsiaTheme="minorHAnsi" w:hAnsi="Arial" w:cs="Arial"/>
          <w:noProof w:val="0"/>
          <w:color w:val="000000"/>
          <w:sz w:val="22"/>
          <w:szCs w:val="22"/>
          <w:vertAlign w:val="superscript"/>
          <w:lang w:val="en-US"/>
        </w:rPr>
        <w:t>(1)</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са пребивалиштем у</w:t>
      </w:r>
      <w:r w:rsidRPr="00782EF5">
        <w:rPr>
          <w:rFonts w:ascii="Arial" w:eastAsiaTheme="minorHAnsi" w:hAnsi="Arial" w:cs="Arial"/>
          <w:noProof w:val="0"/>
          <w:color w:val="000000"/>
          <w:sz w:val="22"/>
          <w:szCs w:val="22"/>
          <w:vertAlign w:val="superscript"/>
          <w:lang w:val="en-US"/>
        </w:rPr>
        <w:t>(2)</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Овим заједнички и појединачно гарантује, у царинском органу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 максималног износа од</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за Европску унију (која обухвата Краљевину Белгију, Републику Бугарску, Чешку Републику, Краљевину Данску, Савезну Републику Немачку, Републику Естонију, Хеленску Републику, Републику Хрватску, Краљевину Шпанију, Француску Републику, Ирску,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 и Републику Исланд, Републику Северну Македонију, Краљевину Норвешку, Швајцарску Конфедерацију, Турску Републику, Украјину, Уједињено Краљевство Велике Британије и Северне Ирске </w:t>
      </w:r>
      <w:r w:rsidRPr="00782EF5">
        <w:rPr>
          <w:rFonts w:ascii="Arial" w:eastAsiaTheme="minorHAnsi" w:hAnsi="Arial" w:cs="Arial"/>
          <w:noProof w:val="0"/>
          <w:color w:val="000000"/>
          <w:sz w:val="22"/>
          <w:szCs w:val="22"/>
          <w:vertAlign w:val="superscript"/>
          <w:lang w:val="en-US"/>
        </w:rPr>
        <w:t>(3)</w:t>
      </w:r>
      <w:r w:rsidRPr="00782EF5">
        <w:rPr>
          <w:rFonts w:ascii="Arial" w:eastAsiaTheme="minorHAnsi" w:hAnsi="Arial" w:cs="Arial"/>
          <w:noProof w:val="0"/>
          <w:color w:val="000000"/>
          <w:sz w:val="22"/>
          <w:szCs w:val="22"/>
          <w:lang w:val="en-US"/>
        </w:rPr>
        <w:t xml:space="preserve"> </w:t>
      </w:r>
      <w:r w:rsidRPr="00782EF5">
        <w:rPr>
          <w:rFonts w:ascii="Arial" w:eastAsiaTheme="minorHAnsi" w:hAnsi="Arial" w:cs="Arial"/>
          <w:noProof w:val="0"/>
          <w:color w:val="000000"/>
          <w:sz w:val="22"/>
          <w:szCs w:val="22"/>
          <w:vertAlign w:val="superscript"/>
          <w:lang w:val="en-US"/>
        </w:rPr>
        <w:t>(4)</w:t>
      </w:r>
      <w:r w:rsidRPr="00782EF5">
        <w:rPr>
          <w:rFonts w:ascii="Arial" w:eastAsiaTheme="minorHAnsi" w:hAnsi="Arial" w:cs="Arial"/>
          <w:noProof w:val="0"/>
          <w:color w:val="000000"/>
          <w:sz w:val="22"/>
          <w:szCs w:val="22"/>
          <w:lang w:val="en-US"/>
        </w:rPr>
        <w:t xml:space="preserve"> Кнежевину Андору и Републику Сан Марино </w:t>
      </w:r>
      <w:r w:rsidRPr="00782EF5">
        <w:rPr>
          <w:rFonts w:ascii="Arial" w:eastAsiaTheme="minorHAnsi" w:hAnsi="Arial" w:cs="Arial"/>
          <w:noProof w:val="0"/>
          <w:color w:val="000000"/>
          <w:sz w:val="22"/>
          <w:szCs w:val="22"/>
          <w:vertAlign w:val="superscript"/>
          <w:lang w:val="en-US"/>
        </w:rPr>
        <w:t>(5)</w:t>
      </w:r>
      <w:r w:rsidRPr="00782EF5">
        <w:rPr>
          <w:rFonts w:ascii="Arial" w:eastAsiaTheme="minorHAnsi" w:hAnsi="Arial" w:cs="Arial"/>
          <w:noProof w:val="0"/>
          <w:color w:val="000000"/>
          <w:sz w:val="22"/>
          <w:szCs w:val="22"/>
          <w:lang w:val="en-US"/>
        </w:rPr>
        <w:t xml:space="preserve">, за све износе за које лице које полаже ово обезбеђење </w:t>
      </w:r>
      <w:r w:rsidRPr="00782EF5">
        <w:rPr>
          <w:rFonts w:ascii="Arial" w:eastAsiaTheme="minorHAnsi" w:hAnsi="Arial" w:cs="Arial"/>
          <w:noProof w:val="0"/>
          <w:color w:val="000000"/>
          <w:sz w:val="22"/>
          <w:szCs w:val="22"/>
          <w:vertAlign w:val="superscript"/>
          <w:lang w:val="en-US"/>
        </w:rPr>
        <w:t>(6)</w:t>
      </w: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јесте или може да постане одговорно горе наведеној земљи за дуг у виду царинских и других дажбина </w:t>
      </w:r>
      <w:r w:rsidRPr="00782EF5">
        <w:rPr>
          <w:rFonts w:ascii="Arial" w:eastAsiaTheme="minorHAnsi" w:hAnsi="Arial" w:cs="Arial"/>
          <w:noProof w:val="0"/>
          <w:color w:val="000000"/>
          <w:sz w:val="22"/>
          <w:szCs w:val="22"/>
          <w:vertAlign w:val="superscript"/>
          <w:lang w:val="en-US"/>
        </w:rPr>
        <w:t>(7)</w:t>
      </w:r>
      <w:r w:rsidRPr="00782EF5">
        <w:rPr>
          <w:rFonts w:ascii="Arial" w:eastAsiaTheme="minorHAnsi" w:hAnsi="Arial" w:cs="Arial"/>
          <w:noProof w:val="0"/>
          <w:color w:val="000000"/>
          <w:sz w:val="22"/>
          <w:szCs w:val="22"/>
          <w:lang w:val="en-US"/>
        </w:rPr>
        <w:t xml:space="preserve"> у вези са робом описаном у наставку која је обухваћена следећом царинском операцијом </w:t>
      </w:r>
      <w:r w:rsidRPr="00782EF5">
        <w:rPr>
          <w:rFonts w:ascii="Arial" w:eastAsiaTheme="minorHAnsi" w:hAnsi="Arial" w:cs="Arial"/>
          <w:noProof w:val="0"/>
          <w:color w:val="000000"/>
          <w:sz w:val="22"/>
          <w:szCs w:val="22"/>
          <w:vertAlign w:val="superscript"/>
          <w:lang w:val="en-US"/>
        </w:rPr>
        <w:t>(8)</w:t>
      </w: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Опис робе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 Доле потписани се обавезује да плати на први писани захтев надлежних органа земље из тачке 1. и без могућности одлагања плаћања тражених износа дуже од 30 дана од дана подношења захтева, осим ако он/она или било које друго заинтересовано лице, пре истека тог рока, не докаже надлежним органима да је окончан посебни поступак, осим поступка употребе у посебне сврхе, да је царински надзор робе за употребу у посебне сврхе или привремени смештај прописно завршен, односно, у случају операција које нису посебни поступци и привремени смештај, да је ситуација са робом регулисана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Надлежни орган, на захтев доле потписаног и из сваког разлога који се признаје као оправдан, може да продужи рок од 30 дана од датума подношења захтева за плаћање, у коме су он или она дужни да плате тражене износе. Трошкови настали као резултат одобрења овог додатног периода, а нарочито свака камата, морају се обрачунавати тако да износ буде еквивалентан оном који би био наплаћен под сличним околностима на тржишту новца или финансијском тржишту у датој земљи.</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3. Ова обавеза важи од дана када је одобри царински орган обезбеђења. Доле потписани остаје одговоран за плаћање сваког дуга насталог у току царинске операције обухваћене овом обавезом и која је започета пре ступања на снагу опозива или укидања обезбеђења, чак и ако је захтев за наплату поднет после тог датума.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4. За потребе ове гарантне исправе, потписник наводи своју адресу за доставу </w:t>
      </w:r>
      <w:r w:rsidRPr="00782EF5">
        <w:rPr>
          <w:rFonts w:ascii="Arial" w:eastAsiaTheme="minorHAnsi" w:hAnsi="Arial" w:cs="Arial"/>
          <w:noProof w:val="0"/>
          <w:color w:val="000000"/>
          <w:sz w:val="22"/>
          <w:szCs w:val="22"/>
          <w:vertAlign w:val="superscript"/>
          <w:lang w:val="en-US"/>
        </w:rPr>
        <w:t>(9)</w:t>
      </w:r>
      <w:r w:rsidRPr="00782EF5">
        <w:rPr>
          <w:rFonts w:ascii="Arial" w:eastAsiaTheme="minorHAnsi" w:hAnsi="Arial" w:cs="Arial"/>
          <w:noProof w:val="0"/>
          <w:color w:val="000000"/>
          <w:sz w:val="22"/>
          <w:szCs w:val="22"/>
          <w:lang w:val="en-US"/>
        </w:rPr>
        <w:t xml:space="preserve"> свакој од осталих земаља наведених у тачки 1. као</w:t>
      </w:r>
    </w:p>
    <w:tbl>
      <w:tblPr>
        <w:tblW w:w="0" w:type="auto"/>
        <w:tblCellSpacing w:w="0" w:type="auto"/>
        <w:tblLook w:val="04A0" w:firstRow="1" w:lastRow="0" w:firstColumn="1" w:lastColumn="0" w:noHBand="0" w:noVBand="1"/>
      </w:tblPr>
      <w:tblGrid>
        <w:gridCol w:w="1358"/>
        <w:gridCol w:w="9432"/>
      </w:tblGrid>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bookmarkStart w:id="2" w:name="table183"/>
            <w:r w:rsidRPr="00782EF5">
              <w:rPr>
                <w:rFonts w:ascii="Arial" w:eastAsiaTheme="minorHAnsi" w:hAnsi="Arial" w:cs="Arial"/>
                <w:noProof w:val="0"/>
                <w:color w:val="000000"/>
                <w:sz w:val="22"/>
                <w:szCs w:val="22"/>
                <w:lang w:val="en-US"/>
              </w:rPr>
              <w:t>Земља</w:t>
            </w: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Презиме и име, или назив фирме, и пуна адреса</w:t>
            </w:r>
          </w:p>
        </w:tc>
      </w:tr>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bl>
    <w:bookmarkEnd w:id="2"/>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потврђује да прихвата да су му била уредно достављена сва писма и обавештења, као и све формалности и поступци у вези са овом гарантном исправом упућени или извршени у писаном облику на једну од адреса за достављање.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признаје надлежност судова у местима где је њена/његова адреса за достављање.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се обавезује да неће мењати адресу за достављање или, ако мора да промени једну или више тих адреса, да ће о томе унапред обавестити царински орган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У ......................................... дана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(Потпис) </w:t>
      </w:r>
      <w:r w:rsidRPr="00782EF5">
        <w:rPr>
          <w:rFonts w:ascii="Arial" w:eastAsiaTheme="minorHAnsi" w:hAnsi="Arial" w:cs="Arial"/>
          <w:noProof w:val="0"/>
          <w:color w:val="000000"/>
          <w:sz w:val="22"/>
          <w:szCs w:val="22"/>
          <w:vertAlign w:val="superscript"/>
          <w:lang w:val="en-US"/>
        </w:rPr>
        <w:t>(10)</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II. Одобрење царинског органа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Царински орган обезбеђења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Обавеза гаранта прихваћена дана ............................ за покриће царинске операције која се спроводи по декларацији/декларацији за привремени смештај број ......................... од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r w:rsidRPr="00782EF5">
        <w:rPr>
          <w:rFonts w:ascii="Arial" w:eastAsiaTheme="minorHAnsi" w:hAnsi="Arial" w:cs="Arial"/>
          <w:noProof w:val="0"/>
          <w:color w:val="000000"/>
          <w:sz w:val="22"/>
          <w:szCs w:val="22"/>
          <w:vertAlign w:val="superscript"/>
          <w:lang w:val="en-US"/>
        </w:rPr>
        <w:t>(11)</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(Печат и потпис)</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(1)</w:t>
      </w:r>
      <w:r w:rsidRPr="00782EF5">
        <w:rPr>
          <w:rFonts w:ascii="Arial" w:eastAsiaTheme="minorHAnsi" w:hAnsi="Arial" w:cs="Arial"/>
          <w:i/>
          <w:noProof w:val="0"/>
          <w:color w:val="000000"/>
          <w:sz w:val="22"/>
          <w:szCs w:val="22"/>
          <w:lang w:val="en-US"/>
        </w:rPr>
        <w:t>Презиме и име или назив привредног субјекта.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(2)</w:t>
      </w:r>
      <w:r w:rsidRPr="00782EF5">
        <w:rPr>
          <w:rFonts w:ascii="Arial" w:eastAsiaTheme="minorHAnsi" w:hAnsi="Arial" w:cs="Arial"/>
          <w:i/>
          <w:noProof w:val="0"/>
          <w:color w:val="000000"/>
          <w:sz w:val="22"/>
          <w:szCs w:val="22"/>
          <w:lang w:val="en-US"/>
        </w:rPr>
        <w:t>Пуна адреса.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(3)</w:t>
      </w:r>
      <w:r w:rsidRPr="00782EF5">
        <w:rPr>
          <w:rFonts w:ascii="Arial" w:eastAsiaTheme="minorHAnsi" w:hAnsi="Arial" w:cs="Arial"/>
          <w:i/>
          <w:noProof w:val="0"/>
          <w:color w:val="000000"/>
          <w:sz w:val="22"/>
          <w:szCs w:val="22"/>
          <w:lang w:val="en-US"/>
        </w:rPr>
        <w:t>У складу с Протоколом за Ирску/Северну Ирску Споразума о повлачењу Уједињеног Краљевства Велике Британије и Северне Ирске из Европске уније и Европске заједнице за атомску енергију, Северна Ирска се сматра делом Европске уније у сврхе ове гаранције. Стога, гарант са седиштем на царинском подручју Европске уније наводи адресу за достављање или именује заступника у Северној Ирској ако гаранција може бити тамо употребљена. Међутим, ако је гаранција, у контексту заједничког транзита, важећа у Европској унији и у Уједињеном Краљевству, јединствена адреса за достављање или именовани заступник у Уједињеном Краљевству могу обухватити све делове Уједињеног Краљевства, укључујући Северну Ирску.</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(4)</w:t>
      </w:r>
      <w:r w:rsidRPr="00782EF5">
        <w:rPr>
          <w:rFonts w:ascii="Arial" w:eastAsiaTheme="minorHAnsi" w:hAnsi="Arial" w:cs="Arial"/>
          <w:i/>
          <w:noProof w:val="0"/>
          <w:color w:val="000000"/>
          <w:sz w:val="22"/>
          <w:szCs w:val="22"/>
          <w:lang w:val="en-US"/>
        </w:rPr>
        <w:t>Прецртати име/имена државе/држава на чијем подручју се не може употребити гаранција.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(5)</w:t>
      </w:r>
      <w:r w:rsidRPr="00782EF5">
        <w:rPr>
          <w:rFonts w:ascii="Arial" w:eastAsiaTheme="minorHAnsi" w:hAnsi="Arial" w:cs="Arial"/>
          <w:i/>
          <w:noProof w:val="0"/>
          <w:color w:val="000000"/>
          <w:sz w:val="22"/>
          <w:szCs w:val="22"/>
          <w:lang w:val="en-US"/>
        </w:rPr>
        <w:t>Упућивања на Кнежевину Андору и Републику Сан Марино примењује се само на транзитне поступке Уније.</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(6)</w:t>
      </w:r>
      <w:r w:rsidRPr="00782EF5">
        <w:rPr>
          <w:rFonts w:ascii="Arial" w:eastAsiaTheme="minorHAnsi" w:hAnsi="Arial" w:cs="Arial"/>
          <w:i/>
          <w:noProof w:val="0"/>
          <w:color w:val="000000"/>
          <w:sz w:val="22"/>
          <w:szCs w:val="22"/>
          <w:lang w:val="en-US"/>
        </w:rPr>
        <w:t>Презиме и име или назив фирме, и пуна адреса лица које полаже гаранцију.</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(7)</w:t>
      </w:r>
      <w:r w:rsidRPr="00782EF5">
        <w:rPr>
          <w:rFonts w:ascii="Arial" w:eastAsiaTheme="minorHAnsi" w:hAnsi="Arial" w:cs="Arial"/>
          <w:i/>
          <w:noProof w:val="0"/>
          <w:color w:val="000000"/>
          <w:sz w:val="22"/>
          <w:szCs w:val="22"/>
          <w:lang w:val="en-US"/>
        </w:rPr>
        <w:t>Примењује се у односу на друге накнаде настале у вези са увозом или извозом робе, када се гаранција користи за стављање робе у транзитни поступак Уније/заједнички транзитни поступак или се може користити у више од једне државе чланице.</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(8)</w:t>
      </w:r>
      <w:r w:rsidRPr="00782EF5">
        <w:rPr>
          <w:rFonts w:ascii="Arial" w:eastAsiaTheme="minorHAnsi" w:hAnsi="Arial" w:cs="Arial"/>
          <w:i/>
          <w:noProof w:val="0"/>
          <w:color w:val="000000"/>
          <w:sz w:val="22"/>
          <w:szCs w:val="22"/>
          <w:lang w:val="en-US"/>
        </w:rPr>
        <w:t>Уписати један од следећих царинских операција: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(а) привремени смештај,</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(б) поступак транзита Уније/поступак заједничког транзита,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(в) поступак царинског складиштења,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(г) привремени увоз са потпуним ослобођењем од плаћања увозних дажбина,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(д) активно оплемењивање,</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(ђ) поступак за употребу у посебне сврхе,</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(е) стављање робе у слободан промет по редовној царинској декларацији без одложеног плаћања,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(ж) стављање робе у слободан промет по редовној царинској декларацији са одложеним плаћањем,</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(з) стављање робе у слободан промет по царинској декларацији која је поднета у складу са чланом 166. Уредбе (ЕУ) број 952/2013 Европског парламента и Савета од 9. октобра 2013. године о утврђивању Царинског законика Уније,</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(и) стављање робе у слободан промет по царинској декларацији која је поднета у складу са чланом 182. Уредбе (ЕУ) број 952/2013 Европског парламента и Савета од 9. октобра 2013. године о утврђивању Царинског законика Уније,</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(ј) поступак привременог увоза са делимичним ослобођењем од увозних дажбина,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(к) ако се не примењује ништа од наведеног – навести другу врсту операције.</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(9)</w:t>
      </w:r>
      <w:r w:rsidRPr="00782EF5">
        <w:rPr>
          <w:rFonts w:ascii="Arial" w:eastAsiaTheme="minorHAnsi" w:hAnsi="Arial" w:cs="Arial"/>
          <w:i/>
          <w:noProof w:val="0"/>
          <w:color w:val="000000"/>
          <w:sz w:val="22"/>
          <w:szCs w:val="22"/>
          <w:lang w:val="en-US"/>
        </w:rPr>
        <w:t>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става 2. и исправа из става 4. тачке 4. састављају се на начин дат у тим ставовима. Судови у местима у којима се налазе адресе за достављање гаранта или његових заступника имају надлежност у споровима који се односе на ову гаранцију.</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(10)</w:t>
      </w:r>
      <w:r w:rsidRPr="00782EF5">
        <w:rPr>
          <w:rFonts w:ascii="Arial" w:eastAsiaTheme="minorHAnsi" w:hAnsi="Arial" w:cs="Arial"/>
          <w:i/>
          <w:noProof w:val="0"/>
          <w:color w:val="000000"/>
          <w:sz w:val="22"/>
          <w:szCs w:val="22"/>
          <w:lang w:val="en-US"/>
        </w:rPr>
        <w:t>Лице које потписује документ, мора пре свог потписа, руком уписати следеће „Обезбеђење за износ од …” (износ се уписује словима)</w:t>
      </w:r>
    </w:p>
    <w:p w:rsidR="00782EF5" w:rsidRPr="00782EF5" w:rsidRDefault="00782EF5" w:rsidP="00782EF5">
      <w:pPr>
        <w:spacing w:after="150" w:line="276" w:lineRule="auto"/>
        <w:contextualSpacing w:val="0"/>
        <w:jc w:val="both"/>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vertAlign w:val="superscript"/>
          <w:lang w:val="en-US"/>
        </w:rPr>
        <w:t>(11)</w:t>
      </w:r>
      <w:r w:rsidRPr="00782EF5">
        <w:rPr>
          <w:rFonts w:ascii="Arial" w:eastAsiaTheme="minorHAnsi" w:hAnsi="Arial" w:cs="Arial"/>
          <w:i/>
          <w:noProof w:val="0"/>
          <w:color w:val="000000"/>
          <w:sz w:val="22"/>
          <w:szCs w:val="22"/>
          <w:lang w:val="en-US"/>
        </w:rPr>
        <w:t>Попуњава царинарница у којој је роба стављена у поступак или се налазила у привременом смештаjу.</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4. Прилог В2 се мења и гласи:</w:t>
      </w:r>
    </w:p>
    <w:p w:rsidR="00782EF5" w:rsidRPr="00782EF5" w:rsidRDefault="00782EF5" w:rsidP="00782EF5">
      <w:pPr>
        <w:spacing w:after="120" w:line="276" w:lineRule="auto"/>
        <w:contextualSpacing w:val="0"/>
        <w:jc w:val="center"/>
        <w:rPr>
          <w:rFonts w:ascii="Arial" w:eastAsiaTheme="minorHAnsi" w:hAnsi="Arial" w:cs="Arial"/>
          <w:noProof w:val="0"/>
          <w:sz w:val="22"/>
          <w:szCs w:val="22"/>
          <w:lang w:val="en-US"/>
        </w:rPr>
      </w:pPr>
      <w:r w:rsidRPr="00782EF5">
        <w:rPr>
          <w:rFonts w:ascii="Arial" w:eastAsiaTheme="minorHAnsi" w:hAnsi="Arial" w:cs="Arial"/>
          <w:i/>
          <w:noProof w:val="0"/>
          <w:color w:val="000000"/>
          <w:sz w:val="22"/>
          <w:szCs w:val="22"/>
          <w:lang w:val="en-US"/>
        </w:rPr>
        <w:t>ПРИЛОГ В2</w:t>
      </w:r>
    </w:p>
    <w:p w:rsidR="00782EF5" w:rsidRPr="00782EF5" w:rsidRDefault="00782EF5" w:rsidP="00782EF5">
      <w:pPr>
        <w:spacing w:after="120" w:line="276" w:lineRule="auto"/>
        <w:contextualSpacing w:val="0"/>
        <w:jc w:val="center"/>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ГАРАНТНА ИСПРАВА – ПОЈЕДИНАЧНO OБЕЗБЕЂЕЊЕ У ОБЛИКУ КУПОНА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I. Обавеза коју је преузео гарант</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1. Доле потписани </w:t>
      </w:r>
      <w:r w:rsidRPr="00782EF5">
        <w:rPr>
          <w:rFonts w:ascii="Arial" w:eastAsiaTheme="minorHAnsi" w:hAnsi="Arial" w:cs="Arial"/>
          <w:noProof w:val="0"/>
          <w:color w:val="000000"/>
          <w:sz w:val="22"/>
          <w:szCs w:val="22"/>
          <w:vertAlign w:val="superscript"/>
          <w:lang w:val="en-US"/>
        </w:rPr>
        <w:t>(1)</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са пребивалиштем у </w:t>
      </w:r>
      <w:r w:rsidRPr="00782EF5">
        <w:rPr>
          <w:rFonts w:ascii="Arial" w:eastAsiaTheme="minorHAnsi" w:hAnsi="Arial" w:cs="Arial"/>
          <w:noProof w:val="0"/>
          <w:color w:val="000000"/>
          <w:sz w:val="22"/>
          <w:szCs w:val="22"/>
          <w:vertAlign w:val="superscript"/>
          <w:lang w:val="en-US"/>
        </w:rPr>
        <w:t>(2)</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oвим заједнички и појединачно гарантује, у царинском органу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за Европску унију (која обухвата Краљевину Белгију, Републику Бугарску, Чешку Републику, Краљевину Данску, Савезну Републику Немачку, Републику Естонију, Хеленску Републику, Републику Хрватску, Краљевину Шпанију, Француску Републику, Ирску, Републику Италију, Републику Кипар, Републику Летонију, Републику Литванију, Велико Војводство Луксембурга, Републику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 и Републику Исланд, Републику Северну Македонију, Краљевину Норвешку, Републику Србију, Швајцарску Конфедерацију, Републику Турску, Украјину, Уједињено Краљевство Велике Британије и Северне Ирске</w:t>
      </w:r>
      <w:r w:rsidRPr="00782EF5">
        <w:rPr>
          <w:rFonts w:ascii="Arial" w:eastAsiaTheme="minorHAnsi" w:hAnsi="Arial" w:cs="Arial"/>
          <w:noProof w:val="0"/>
          <w:color w:val="000000"/>
          <w:sz w:val="22"/>
          <w:szCs w:val="22"/>
          <w:vertAlign w:val="superscript"/>
          <w:lang w:val="en-US"/>
        </w:rPr>
        <w:t>(3)</w:t>
      </w:r>
      <w:r w:rsidRPr="00782EF5">
        <w:rPr>
          <w:rFonts w:ascii="Arial" w:eastAsiaTheme="minorHAnsi" w:hAnsi="Arial" w:cs="Arial"/>
          <w:noProof w:val="0"/>
          <w:color w:val="000000"/>
          <w:sz w:val="22"/>
          <w:szCs w:val="22"/>
          <w:lang w:val="en-US"/>
        </w:rPr>
        <w:t>, Кнежевину Андору и Републику Сан Марино</w:t>
      </w:r>
      <w:r w:rsidRPr="00782EF5">
        <w:rPr>
          <w:rFonts w:ascii="Arial" w:eastAsiaTheme="minorHAnsi" w:hAnsi="Arial" w:cs="Arial"/>
          <w:noProof w:val="0"/>
          <w:color w:val="000000"/>
          <w:sz w:val="22"/>
          <w:szCs w:val="22"/>
          <w:vertAlign w:val="superscript"/>
          <w:lang w:val="en-US"/>
        </w:rPr>
        <w:t>(4)</w:t>
      </w:r>
      <w:r w:rsidRPr="00782EF5">
        <w:rPr>
          <w:rFonts w:ascii="Arial" w:eastAsiaTheme="minorHAnsi" w:hAnsi="Arial" w:cs="Arial"/>
          <w:noProof w:val="0"/>
          <w:color w:val="000000"/>
          <w:sz w:val="22"/>
          <w:szCs w:val="22"/>
          <w:lang w:val="en-US"/>
        </w:rPr>
        <w:t>, за сваки износ за који носилац поступка јесте или може да постане одговоран горе наведеним земљама за дуг у виду дажбина и других приспелих накнада које се примењују на извоз или увоз робе која је стављена у заједнички транзитни поступак или транзитни поступак Уније, за које се доле потписани обавезао да ће издати купоне појединачне гаранције до највишег износа од 10.000 евра по купону.</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 Доле потписани се обавезује да ће извршити плаћање на први писани захтев надлежних органа земаља из тачке 1., а без могућности одлагања плаћања тражених износа дуже од 30 дана од дана подношења захтева, до 10.000 евра по купону појединачне гаранције, осим ако он или она или било које друго заинтересовано лице пре истека тог рока не докаже надлежним органима, да је радња на прописан начин окончана.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На захтев доле потписаног и из сваког разлога који се сматра оправданим, надлежни органи могу продужити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нарочито камате, морају се обрачунати тако да износ буде једнак оном који би био наплаћен под сличним условима на новчаном или финансијском тржишту у предметној земљи.</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3. Ова исправа важи од дана када је прихвати царински орган обезбеђења. Доле потписани остаје одговоран за плаћање сваког дуга који настане у току заједничког транзитног поступка или транзитног поступка Уније, који је обухваћен овом исправом и који је започео пре ступања на снагу било каквог отказивања или укидања гаранције, чак и ако је захтев за наплату поднет после тог датума.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4. За потребе ове гарантне исправе, доле потписани наводи своју адресу за достављање </w:t>
      </w:r>
      <w:r w:rsidRPr="00782EF5">
        <w:rPr>
          <w:rFonts w:ascii="Arial" w:eastAsiaTheme="minorHAnsi" w:hAnsi="Arial" w:cs="Arial"/>
          <w:noProof w:val="0"/>
          <w:color w:val="000000"/>
          <w:sz w:val="22"/>
          <w:szCs w:val="22"/>
          <w:vertAlign w:val="superscript"/>
          <w:lang w:val="en-US"/>
        </w:rPr>
        <w:t>(5)</w:t>
      </w:r>
      <w:r w:rsidRPr="00782EF5">
        <w:rPr>
          <w:rFonts w:ascii="Arial" w:eastAsiaTheme="minorHAnsi" w:hAnsi="Arial" w:cs="Arial"/>
          <w:noProof w:val="0"/>
          <w:color w:val="000000"/>
          <w:sz w:val="22"/>
          <w:szCs w:val="22"/>
          <w:lang w:val="en-US"/>
        </w:rPr>
        <w:t xml:space="preserve"> у свакој од осталих земаља наведених у тачки 1. као:</w:t>
      </w:r>
    </w:p>
    <w:tbl>
      <w:tblPr>
        <w:tblW w:w="0" w:type="auto"/>
        <w:tblCellSpacing w:w="0" w:type="auto"/>
        <w:tblLook w:val="04A0" w:firstRow="1" w:lastRow="0" w:firstColumn="1" w:lastColumn="0" w:noHBand="0" w:noVBand="1"/>
      </w:tblPr>
      <w:tblGrid>
        <w:gridCol w:w="1560"/>
        <w:gridCol w:w="9230"/>
      </w:tblGrid>
      <w:tr w:rsidR="00782EF5" w:rsidRPr="00782EF5" w:rsidTr="00FC0EFF">
        <w:trPr>
          <w:trHeight w:val="90"/>
          <w:tblCellSpacing w:w="0" w:type="auto"/>
        </w:trPr>
        <w:tc>
          <w:tcPr>
            <w:tcW w:w="181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bookmarkStart w:id="3" w:name="table184"/>
            <w:r w:rsidRPr="00782EF5">
              <w:rPr>
                <w:rFonts w:ascii="Arial" w:eastAsiaTheme="minorHAnsi" w:hAnsi="Arial" w:cs="Arial"/>
                <w:noProof w:val="0"/>
                <w:color w:val="000000"/>
                <w:sz w:val="22"/>
                <w:szCs w:val="22"/>
                <w:lang w:val="en-US"/>
              </w:rPr>
              <w:t>Земља</w:t>
            </w:r>
          </w:p>
        </w:tc>
        <w:tc>
          <w:tcPr>
            <w:tcW w:w="1258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Презиме и име или назив фирме и пуна адреса</w:t>
            </w:r>
          </w:p>
        </w:tc>
      </w:tr>
      <w:tr w:rsidR="00782EF5" w:rsidRPr="00782EF5" w:rsidTr="00FC0EFF">
        <w:trPr>
          <w:trHeight w:val="90"/>
          <w:tblCellSpacing w:w="0" w:type="auto"/>
        </w:trPr>
        <w:tc>
          <w:tcPr>
            <w:tcW w:w="1815"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58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815"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58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815"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58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815"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58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815"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58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815"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58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815"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585"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tc>
      </w:tr>
    </w:tbl>
    <w:bookmarkEnd w:id="3"/>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потврђује да прихвата да су му била уредно достављена сва писма и обавештења, као и све формалности и поступци у вези са овом обавезом, упућени или извршени у писаном облику на једну од адреса за достављање.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признаје надлежност судова у местима где је њена/његова адреса за достављање.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се обавезује да неће мењати адресу за достављање или, ако он или она мора да промени једну или више тих адреса, да ће о томе унапред обавестити царински орган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У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дана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(Потпис)</w:t>
      </w:r>
      <w:r w:rsidRPr="00782EF5">
        <w:rPr>
          <w:rFonts w:ascii="Arial" w:eastAsiaTheme="minorHAnsi" w:hAnsi="Arial" w:cs="Arial"/>
          <w:noProof w:val="0"/>
          <w:color w:val="000000"/>
          <w:sz w:val="22"/>
          <w:szCs w:val="22"/>
          <w:vertAlign w:val="superscript"/>
          <w:lang w:val="en-US"/>
        </w:rPr>
        <w:t>(6)</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II. Прихватање од стране царинског органа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Царински орган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Обавеза гаранта прихваћена дана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(Печат и потпис)</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(1)</w:t>
      </w:r>
      <w:r w:rsidRPr="00782EF5">
        <w:rPr>
          <w:rFonts w:ascii="Arial" w:eastAsiaTheme="minorHAnsi" w:hAnsi="Arial" w:cs="Arial"/>
          <w:noProof w:val="0"/>
          <w:color w:val="000000"/>
          <w:sz w:val="22"/>
          <w:szCs w:val="22"/>
          <w:lang w:val="en-US"/>
        </w:rPr>
        <w:t>Презиме и име или назив привредног субјекта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(2)</w:t>
      </w:r>
      <w:r w:rsidRPr="00782EF5">
        <w:rPr>
          <w:rFonts w:ascii="Arial" w:eastAsiaTheme="minorHAnsi" w:hAnsi="Arial" w:cs="Arial"/>
          <w:noProof w:val="0"/>
          <w:color w:val="000000"/>
          <w:sz w:val="22"/>
          <w:szCs w:val="22"/>
          <w:lang w:val="en-US"/>
        </w:rPr>
        <w:t>Пуна адреса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(3)</w:t>
      </w:r>
      <w:r w:rsidRPr="00782EF5">
        <w:rPr>
          <w:rFonts w:ascii="Arial" w:eastAsiaTheme="minorHAnsi" w:hAnsi="Arial" w:cs="Arial"/>
          <w:noProof w:val="0"/>
          <w:color w:val="000000"/>
          <w:sz w:val="22"/>
          <w:szCs w:val="22"/>
          <w:lang w:val="en-US"/>
        </w:rPr>
        <w:t>У складу с Протоколом за Ирску/Северну Ирску Споразума о повлачењу Уједињеног Краљевства Велике Британије и Северне Ирске из Европске уније и Европске заједнице за атомску енергију, Северна Ирска се сматра делом Европске уније у сврхе ове гаранције. Стога, гарант са седиштем на царинском подручју Европске уније наводи адресу за достављање или именује заступника у Северној Ирској ако гаранција може бити тамо употребљена. Међутим, ако је гаранција, у контексту заједничког транзита, важећа у Европској унији и у Уједињеном Краљевству, јединствена адреса за достављање или именовани заступник у Уједињеном Краљевству могу обухватити све делове Уједињеног Краљевства, укључујући Северну Ирску.</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(4)</w:t>
      </w:r>
      <w:r w:rsidRPr="00782EF5">
        <w:rPr>
          <w:rFonts w:ascii="Arial" w:eastAsiaTheme="minorHAnsi" w:hAnsi="Arial" w:cs="Arial"/>
          <w:noProof w:val="0"/>
          <w:color w:val="000000"/>
          <w:sz w:val="22"/>
          <w:szCs w:val="22"/>
          <w:lang w:val="en-US"/>
        </w:rPr>
        <w:t>Упућивање на Кнежевину Андору и Републику Сан Марино примењује се само на транзитне поступке Уније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(5)</w:t>
      </w:r>
      <w:r w:rsidRPr="00782EF5">
        <w:rPr>
          <w:rFonts w:ascii="Arial" w:eastAsiaTheme="minorHAnsi" w:hAnsi="Arial" w:cs="Arial"/>
          <w:noProof w:val="0"/>
          <w:color w:val="000000"/>
          <w:sz w:val="22"/>
          <w:szCs w:val="22"/>
          <w:lang w:val="en-US"/>
        </w:rPr>
        <w:t>Ако, по закону земље, нема одредби о адреси за достављање, гарант у тој земљи именује заступника овлашћеног за примање саопштења насловљених на њега тако да се потврда из подстава 2. и исправа из подстава 4. тачке 4. састављају на начин дат у тим подставовима. Судови у местима у којима се налазе адресе за доставу гаранта или адресе његових представника надлежни су за спорове везане уз ову гаранцију.</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(6)</w:t>
      </w:r>
      <w:r w:rsidRPr="00782EF5">
        <w:rPr>
          <w:rFonts w:ascii="Arial" w:eastAsiaTheme="minorHAnsi" w:hAnsi="Arial" w:cs="Arial"/>
          <w:noProof w:val="0"/>
          <w:color w:val="000000"/>
          <w:sz w:val="22"/>
          <w:szCs w:val="22"/>
          <w:lang w:val="en-US"/>
        </w:rPr>
        <w:t>Лице које потписује документ мора унети следеће податке пре свог потписа: „Важи као гарантни купон”.</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5. Прилог В4 мења се и гласи:</w:t>
      </w:r>
    </w:p>
    <w:p w:rsidR="00782EF5" w:rsidRPr="00782EF5" w:rsidRDefault="00782EF5" w:rsidP="00782EF5">
      <w:pPr>
        <w:spacing w:after="120" w:line="276" w:lineRule="auto"/>
        <w:contextualSpacing w:val="0"/>
        <w:jc w:val="center"/>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ПРИЛОГ В4</w:t>
      </w:r>
    </w:p>
    <w:p w:rsidR="00782EF5" w:rsidRPr="00782EF5" w:rsidRDefault="00782EF5" w:rsidP="00782EF5">
      <w:pPr>
        <w:spacing w:after="120" w:line="276" w:lineRule="auto"/>
        <w:contextualSpacing w:val="0"/>
        <w:jc w:val="center"/>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ГАРАНТНА ИСПРАВА – ЗАЈЕДНИЧКА ГАРАНЦИЈА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I. Обавеза коју је преузео гарант</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1. Доле потписани</w:t>
      </w:r>
      <w:r w:rsidRPr="00782EF5">
        <w:rPr>
          <w:rFonts w:ascii="Arial" w:eastAsiaTheme="minorHAnsi" w:hAnsi="Arial" w:cs="Arial"/>
          <w:noProof w:val="0"/>
          <w:color w:val="000000"/>
          <w:sz w:val="22"/>
          <w:szCs w:val="22"/>
          <w:vertAlign w:val="superscript"/>
          <w:lang w:val="en-US"/>
        </w:rPr>
        <w:t>(1)</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са пребивалиштем у</w:t>
      </w:r>
      <w:r w:rsidRPr="00782EF5">
        <w:rPr>
          <w:rFonts w:ascii="Arial" w:eastAsiaTheme="minorHAnsi" w:hAnsi="Arial" w:cs="Arial"/>
          <w:noProof w:val="0"/>
          <w:color w:val="000000"/>
          <w:sz w:val="22"/>
          <w:szCs w:val="22"/>
          <w:vertAlign w:val="superscript"/>
          <w:lang w:val="en-US"/>
        </w:rPr>
        <w:t>(2)</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овим заједнички и појединачно гарантује у царинском органу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 максималног износа од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за Европску унију (која обухвата Краљевину Белгију, Републику Бугарску, Чешку Републику, Краљевину Данску, Савезну Републику Немачку, Републику Естонију, Хеленску Републику, Републику Хрватску, Краљевину Шпанију, Француску Републику, Ирску, Републику Италију, Републику Кипар, Републику Летонију, Републику Литванију, Велико Војводство Луксембурга, Републику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 и Републику Исланд, Републику Северну Македонију, Краљевину Норвешку, Републику Србију, Швајцарску Конфедерацију, Републику Турску, Украјину, Уједињено Краљевство Велике Британије и Северне Ирске </w:t>
      </w:r>
      <w:r w:rsidRPr="00782EF5">
        <w:rPr>
          <w:rFonts w:ascii="Arial" w:eastAsiaTheme="minorHAnsi" w:hAnsi="Arial" w:cs="Arial"/>
          <w:noProof w:val="0"/>
          <w:color w:val="000000"/>
          <w:sz w:val="22"/>
          <w:szCs w:val="22"/>
          <w:vertAlign w:val="superscript"/>
          <w:lang w:val="en-US"/>
        </w:rPr>
        <w:t>(3) (4)</w:t>
      </w:r>
      <w:r w:rsidRPr="00782EF5">
        <w:rPr>
          <w:rFonts w:ascii="Arial" w:eastAsiaTheme="minorHAnsi" w:hAnsi="Arial" w:cs="Arial"/>
          <w:noProof w:val="0"/>
          <w:color w:val="000000"/>
          <w:sz w:val="22"/>
          <w:szCs w:val="22"/>
          <w:lang w:val="en-US"/>
        </w:rPr>
        <w:t xml:space="preserve">, Кнежевину Андору и Републику Сан Марино </w:t>
      </w:r>
      <w:r w:rsidRPr="00782EF5">
        <w:rPr>
          <w:rFonts w:ascii="Arial" w:eastAsiaTheme="minorHAnsi" w:hAnsi="Arial" w:cs="Arial"/>
          <w:noProof w:val="0"/>
          <w:color w:val="000000"/>
          <w:sz w:val="22"/>
          <w:szCs w:val="22"/>
          <w:vertAlign w:val="superscript"/>
          <w:lang w:val="en-US"/>
        </w:rPr>
        <w:t>(5)</w:t>
      </w:r>
      <w:r w:rsidRPr="00782EF5">
        <w:rPr>
          <w:rFonts w:ascii="Arial" w:eastAsiaTheme="minorHAnsi" w:hAnsi="Arial" w:cs="Arial"/>
          <w:noProof w:val="0"/>
          <w:color w:val="000000"/>
          <w:sz w:val="22"/>
          <w:szCs w:val="22"/>
          <w:lang w:val="en-US"/>
        </w:rPr>
        <w:t xml:space="preserve">, за сваки износ за који лице које обезбеђује ову гаранцију </w:t>
      </w:r>
      <w:r w:rsidRPr="00782EF5">
        <w:rPr>
          <w:rFonts w:ascii="Arial" w:eastAsiaTheme="minorHAnsi" w:hAnsi="Arial" w:cs="Arial"/>
          <w:noProof w:val="0"/>
          <w:color w:val="000000"/>
          <w:sz w:val="22"/>
          <w:szCs w:val="22"/>
          <w:vertAlign w:val="superscript"/>
          <w:lang w:val="en-US"/>
        </w:rPr>
        <w:t>(6)</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може бити или може постати одговорно горе наведеним земљама за дуг у виду дажбина и других накнада </w:t>
      </w:r>
      <w:r w:rsidRPr="00782EF5">
        <w:rPr>
          <w:rFonts w:ascii="Arial" w:eastAsiaTheme="minorHAnsi" w:hAnsi="Arial" w:cs="Arial"/>
          <w:noProof w:val="0"/>
          <w:color w:val="000000"/>
          <w:sz w:val="22"/>
          <w:szCs w:val="22"/>
          <w:vertAlign w:val="superscript"/>
          <w:lang w:val="en-US"/>
        </w:rPr>
        <w:t>(7)</w:t>
      </w:r>
      <w:r w:rsidRPr="00782EF5">
        <w:rPr>
          <w:rFonts w:ascii="Arial" w:eastAsiaTheme="minorHAnsi" w:hAnsi="Arial" w:cs="Arial"/>
          <w:noProof w:val="0"/>
          <w:color w:val="000000"/>
          <w:sz w:val="22"/>
          <w:szCs w:val="22"/>
          <w:lang w:val="en-US"/>
        </w:rPr>
        <w:t xml:space="preserve"> које могу настати или су настале за робу која је покривена царинским операцијама наведеним у тачки 1а односно тачки 1б.</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Максимални износ гаранције се састоји од износа од:</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(a) 100/50/30%</w:t>
      </w:r>
      <w:r w:rsidRPr="00782EF5">
        <w:rPr>
          <w:rFonts w:ascii="Arial" w:eastAsiaTheme="minorHAnsi" w:hAnsi="Arial" w:cs="Arial"/>
          <w:noProof w:val="0"/>
          <w:color w:val="000000"/>
          <w:sz w:val="22"/>
          <w:szCs w:val="22"/>
          <w:vertAlign w:val="superscript"/>
          <w:lang w:val="en-US"/>
        </w:rPr>
        <w:t>(8)</w:t>
      </w:r>
      <w:r w:rsidRPr="00782EF5">
        <w:rPr>
          <w:rFonts w:ascii="Arial" w:eastAsiaTheme="minorHAnsi" w:hAnsi="Arial" w:cs="Arial"/>
          <w:noProof w:val="0"/>
          <w:color w:val="000000"/>
          <w:sz w:val="22"/>
          <w:szCs w:val="22"/>
          <w:lang w:val="en-US"/>
        </w:rPr>
        <w:t xml:space="preserve"> дела референтног износа који одговара износу царинских дажбина и других накнада које могу настати, који је једнак износима из тачке 1а,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и</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(б) 100/30%</w:t>
      </w:r>
      <w:r w:rsidRPr="00782EF5">
        <w:rPr>
          <w:rFonts w:ascii="Arial" w:eastAsiaTheme="minorHAnsi" w:hAnsi="Arial" w:cs="Arial"/>
          <w:noProof w:val="0"/>
          <w:color w:val="000000"/>
          <w:sz w:val="22"/>
          <w:szCs w:val="22"/>
          <w:vertAlign w:val="superscript"/>
          <w:lang w:val="en-US"/>
        </w:rPr>
        <w:t>(8)</w:t>
      </w:r>
      <w:r w:rsidRPr="00782EF5">
        <w:rPr>
          <w:rFonts w:ascii="Arial" w:eastAsiaTheme="minorHAnsi" w:hAnsi="Arial" w:cs="Arial"/>
          <w:noProof w:val="0"/>
          <w:color w:val="000000"/>
          <w:sz w:val="22"/>
          <w:szCs w:val="22"/>
          <w:lang w:val="en-US"/>
        </w:rPr>
        <w:t xml:space="preserve"> дела референтног износа који одговара износу царинских дажбина и других накнада које су настале, који је једнак износима из тачке 1б,</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1a. Износи који чине део референтног износа који одговара износу царинског дуга и, по потреби, других дажбина које могу настати су следећи, за сваку од доле наведених потреба </w:t>
      </w:r>
      <w:r w:rsidRPr="00782EF5">
        <w:rPr>
          <w:rFonts w:ascii="Arial" w:eastAsiaTheme="minorHAnsi" w:hAnsi="Arial" w:cs="Arial"/>
          <w:noProof w:val="0"/>
          <w:color w:val="000000"/>
          <w:sz w:val="22"/>
          <w:szCs w:val="22"/>
          <w:vertAlign w:val="superscript"/>
          <w:lang w:val="en-US"/>
        </w:rPr>
        <w:t>(9)</w:t>
      </w: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(а) привремени смештај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(б) транзитни поступак Уније/заједнички транзитни поступак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(в) поступак царинског складиштења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(г) поступак привременог увоза са потпуним ослобођењем од увозних дажбина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 поступак активног оплемењивања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(ђ) поступак за употребу у посебне сврхе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(е) уколико се не примењује ништа од наведеног – навести другу врсту операције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1б. Износи који чине део референтног износа који одговара износу царинског дуга и, по потреби, других дажбина које су настале су следеће, за сваку од сврха наведених у наставку </w:t>
      </w:r>
      <w:r w:rsidRPr="00782EF5">
        <w:rPr>
          <w:rFonts w:ascii="Arial" w:eastAsiaTheme="minorHAnsi" w:hAnsi="Arial" w:cs="Arial"/>
          <w:noProof w:val="0"/>
          <w:color w:val="000000"/>
          <w:sz w:val="22"/>
          <w:szCs w:val="22"/>
          <w:vertAlign w:val="superscript"/>
          <w:lang w:val="en-US"/>
        </w:rPr>
        <w:t>(9)</w:t>
      </w: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(а) стављање у слободан промет по редовној царинској декларацији, без одложеног плаћања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(б) стављање у слободан промет по редовној царинској декларацији са одложеним плаћањем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(в) стављање у слободан промет по царинској декларацији која је поднета у складу са чланом 166. Уредбе (ЕУ) 952/2013 Европског парламента и Савета од 9. октобра 2013. о утврђивању Царинског законика Уније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(г) стављање у слободан промет по царинској декларацији која је поднета у складу са чланом 182. Уредбе (ЕУ) 952/2013 Европског парламента и Савета од 9. октобра 2013. о утврђивању Царинског законика Уније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 поступак привременог увоза са делимичним ослобођењем од увозних дажбина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(ђ) поступак за употребу у посебне сврхе - …</w:t>
      </w:r>
      <w:r w:rsidRPr="00782EF5">
        <w:rPr>
          <w:rFonts w:ascii="Arial" w:eastAsiaTheme="minorHAnsi" w:hAnsi="Arial" w:cs="Arial"/>
          <w:noProof w:val="0"/>
          <w:color w:val="000000"/>
          <w:sz w:val="22"/>
          <w:szCs w:val="22"/>
          <w:vertAlign w:val="superscript"/>
          <w:lang w:val="en-US"/>
        </w:rPr>
        <w:t>(10)</w:t>
      </w:r>
      <w:r w:rsidRPr="00782EF5">
        <w:rPr>
          <w:rFonts w:ascii="Arial" w:eastAsiaTheme="minorHAnsi" w:hAnsi="Arial" w:cs="Arial"/>
          <w:noProof w:val="0"/>
          <w:color w:val="000000"/>
          <w:sz w:val="22"/>
          <w:szCs w:val="22"/>
          <w:lang w:val="en-US"/>
        </w:rPr>
        <w:t xml:space="preserve">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(е) ако се не примењује ништа од наведеног – навести другу врсту операције -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2. Доле потписани се обавезује да ће извршити плаћање тражених износа на први писани захтев надлежних органа земаља из тачке 1, а без могућности одлагања плаћања тражених износа дуже од 30 дана од дана подношења захтева, осим ако он или она или било које друго заинтересовано лице пре истека тог рока не докаже царинским органима, да је посебан поступак који није поступак за употребу у посебне сврхе окончан, да је царински надзор робе за употребу у посебне сврхе или привремени смештај правилно завршен или да је, у случају поступака који нису посебни поступци, ситуација са робом регулисана.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Надлежни органи, на захтев доле потписаног и из разлога који се сматра оправданим, могу да продуже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а нарочито камате, морају се обрачунати тако да износ буде једнак оном који би био наплаћен под сличним условима на новчаном или финансијском тржишту у датој земљи.</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Овај износ се не може умањити за износ који је већ плаћен под условима ове исправе, осим ако се од доле потписаног затражи да плати дуг који се појави у току царинске операције која је започета пре пријема претходног захтева или у року од 30 дана после тога.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3. Ова обавеза важи од дана када је прихвати царински орган обезбеђења. Доле потписани остаје одговоран за плаћање сваког дуга који настане у току царинске операције која је обухваћена овом исправом и која је започета пре ступања на снагу било каквог отказивања или укидања гаранције, чак и ако је захтев за наплату поднет после тог датума.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 xml:space="preserve">4. За потребе ове исправе, потписник наводи своју адресу за достављање </w:t>
      </w:r>
      <w:r w:rsidRPr="00782EF5">
        <w:rPr>
          <w:rFonts w:ascii="Arial" w:eastAsiaTheme="minorHAnsi" w:hAnsi="Arial" w:cs="Arial"/>
          <w:noProof w:val="0"/>
          <w:color w:val="000000"/>
          <w:sz w:val="22"/>
          <w:szCs w:val="22"/>
          <w:vertAlign w:val="superscript"/>
          <w:lang w:val="en-US"/>
        </w:rPr>
        <w:t>(11)</w:t>
      </w:r>
      <w:r w:rsidRPr="00782EF5">
        <w:rPr>
          <w:rFonts w:ascii="Arial" w:eastAsiaTheme="minorHAnsi" w:hAnsi="Arial" w:cs="Arial"/>
          <w:noProof w:val="0"/>
          <w:color w:val="000000"/>
          <w:sz w:val="22"/>
          <w:szCs w:val="22"/>
          <w:lang w:val="en-US"/>
        </w:rPr>
        <w:t xml:space="preserve"> у свакој од осталих земаља наведених у тачки 1. као:</w:t>
      </w:r>
    </w:p>
    <w:tbl>
      <w:tblPr>
        <w:tblW w:w="0" w:type="auto"/>
        <w:tblCellSpacing w:w="0" w:type="auto"/>
        <w:tblLook w:val="04A0" w:firstRow="1" w:lastRow="0" w:firstColumn="1" w:lastColumn="0" w:noHBand="0" w:noVBand="1"/>
      </w:tblPr>
      <w:tblGrid>
        <w:gridCol w:w="1358"/>
        <w:gridCol w:w="9432"/>
      </w:tblGrid>
      <w:tr w:rsidR="00782EF5" w:rsidRPr="00782EF5" w:rsidTr="00FC0EFF">
        <w:trPr>
          <w:trHeight w:val="90"/>
          <w:tblCellSpacing w:w="0" w:type="auto"/>
        </w:trPr>
        <w:tc>
          <w:tcPr>
            <w:tcW w:w="1529"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bookmarkStart w:id="4" w:name="table185"/>
            <w:r w:rsidRPr="00782EF5">
              <w:rPr>
                <w:rFonts w:ascii="Arial" w:eastAsiaTheme="minorHAnsi" w:hAnsi="Arial" w:cs="Arial"/>
                <w:noProof w:val="0"/>
                <w:color w:val="000000"/>
                <w:sz w:val="22"/>
                <w:szCs w:val="22"/>
                <w:lang w:val="en-US"/>
              </w:rPr>
              <w:t>Земља</w:t>
            </w:r>
          </w:p>
        </w:tc>
        <w:tc>
          <w:tcPr>
            <w:tcW w:w="12871" w:type="dxa"/>
            <w:vAlign w:val="center"/>
          </w:tcPr>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Презиме и име, или назив фирме, и пуна адреса</w:t>
            </w:r>
          </w:p>
        </w:tc>
      </w:tr>
      <w:tr w:rsidR="00782EF5" w:rsidRPr="00782EF5" w:rsidTr="00FC0EFF">
        <w:trPr>
          <w:trHeight w:val="90"/>
          <w:tblCellSpacing w:w="0" w:type="auto"/>
        </w:trPr>
        <w:tc>
          <w:tcPr>
            <w:tcW w:w="1529"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r>
      <w:tr w:rsidR="00782EF5" w:rsidRPr="00782EF5" w:rsidTr="00FC0EFF">
        <w:trPr>
          <w:trHeight w:val="90"/>
          <w:tblCellSpacing w:w="0" w:type="auto"/>
        </w:trPr>
        <w:tc>
          <w:tcPr>
            <w:tcW w:w="1529"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c>
          <w:tcPr>
            <w:tcW w:w="12871" w:type="dxa"/>
            <w:vAlign w:val="center"/>
          </w:tcPr>
          <w:p w:rsidR="00782EF5" w:rsidRPr="00782EF5" w:rsidRDefault="00782EF5" w:rsidP="00782EF5">
            <w:pPr>
              <w:spacing w:after="200" w:line="276" w:lineRule="auto"/>
              <w:contextualSpacing w:val="0"/>
              <w:rPr>
                <w:rFonts w:ascii="Arial" w:eastAsiaTheme="minorHAnsi" w:hAnsi="Arial" w:cs="Arial"/>
                <w:noProof w:val="0"/>
                <w:sz w:val="22"/>
                <w:szCs w:val="22"/>
                <w:lang w:val="en-US"/>
              </w:rPr>
            </w:pPr>
          </w:p>
        </w:tc>
      </w:tr>
    </w:tbl>
    <w:bookmarkEnd w:id="4"/>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потврђује да прихватa да су му била уредно достављена сва писма и обавештења, као и све формалности и поступци у вези са овом исправом, упућени или извршени у писаном облику на једну од његових или њених адреса за достављање.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признаје надлежност судова у местима где је њена/његова адреса за достављање.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Доле потписани се обавезује да неће мењати адресу за достављање или, ако он или она мора да промени једну или више тих адреса, да ће о томе унапред обавестити царински орган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Сачињено у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дана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(Потпис)</w:t>
      </w:r>
      <w:r w:rsidRPr="00782EF5">
        <w:rPr>
          <w:rFonts w:ascii="Arial" w:eastAsiaTheme="minorHAnsi" w:hAnsi="Arial" w:cs="Arial"/>
          <w:noProof w:val="0"/>
          <w:color w:val="000000"/>
          <w:sz w:val="22"/>
          <w:szCs w:val="22"/>
          <w:vertAlign w:val="superscript"/>
          <w:lang w:val="en-US"/>
        </w:rPr>
        <w:t>(12)</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b/>
          <w:noProof w:val="0"/>
          <w:color w:val="000000"/>
          <w:sz w:val="22"/>
          <w:szCs w:val="22"/>
          <w:lang w:val="en-US"/>
        </w:rPr>
        <w:t>II. Прихватање од стране царинског органа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Царински орган обезбеђења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Обавеза гаранта је прихваћена дана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(Печат и потпис)</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(1)</w:t>
      </w:r>
      <w:r w:rsidRPr="00782EF5">
        <w:rPr>
          <w:rFonts w:ascii="Arial" w:eastAsiaTheme="minorHAnsi" w:hAnsi="Arial" w:cs="Arial"/>
          <w:noProof w:val="0"/>
          <w:color w:val="000000"/>
          <w:sz w:val="22"/>
          <w:szCs w:val="22"/>
          <w:lang w:val="en-US"/>
        </w:rPr>
        <w:t>Презиме и име, назив фирме.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(2)</w:t>
      </w:r>
      <w:r w:rsidRPr="00782EF5">
        <w:rPr>
          <w:rFonts w:ascii="Arial" w:eastAsiaTheme="minorHAnsi" w:hAnsi="Arial" w:cs="Arial"/>
          <w:noProof w:val="0"/>
          <w:color w:val="000000"/>
          <w:sz w:val="22"/>
          <w:szCs w:val="22"/>
          <w:lang w:val="en-US"/>
        </w:rPr>
        <w:t>Пуна адреса.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(3)</w:t>
      </w:r>
      <w:r w:rsidRPr="00782EF5">
        <w:rPr>
          <w:rFonts w:ascii="Arial" w:eastAsiaTheme="minorHAnsi" w:hAnsi="Arial" w:cs="Arial"/>
          <w:noProof w:val="0"/>
          <w:color w:val="000000"/>
          <w:sz w:val="22"/>
          <w:szCs w:val="22"/>
          <w:lang w:val="en-US"/>
        </w:rPr>
        <w:t>У складу с Протоколом за Ирску/Северну Ирску Споразума о повлачењу Уједињеног Краљевства Велике Британије и Северне Ирске из Европске уније и Европске заједнице за атомску енергију, Северна Ирска се сматра делом Европске уније у сврхе ове гаранције. Стога, гарант са седиштем на царинском подручју Европске уније наводи адресу за достављање или именује заступника у Северној Ирској ако гаранција може бити тамо употребљена. Међутим, ако је гаранција, у контексту заједничког транзита, важећа у Европској унији и у Уједињеном Краљевству, јединствена адреса за достављање или именовани заступник у Уједињеном Краљевству могу обухватити све делове Уједињеног Краљевства, укључујући Северну Ирску .</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(4)</w:t>
      </w:r>
      <w:r w:rsidRPr="00782EF5">
        <w:rPr>
          <w:rFonts w:ascii="Arial" w:eastAsiaTheme="minorHAnsi" w:hAnsi="Arial" w:cs="Arial"/>
          <w:noProof w:val="0"/>
          <w:color w:val="000000"/>
          <w:sz w:val="22"/>
          <w:szCs w:val="22"/>
          <w:lang w:val="en-US"/>
        </w:rPr>
        <w:t>Прецртати име/имена земље/земаља на чијем подручју се гаранција не може користити.</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(5)</w:t>
      </w:r>
      <w:r w:rsidRPr="00782EF5">
        <w:rPr>
          <w:rFonts w:ascii="Arial" w:eastAsiaTheme="minorHAnsi" w:hAnsi="Arial" w:cs="Arial"/>
          <w:noProof w:val="0"/>
          <w:color w:val="000000"/>
          <w:sz w:val="22"/>
          <w:szCs w:val="22"/>
          <w:lang w:val="en-US"/>
        </w:rPr>
        <w:t>Упућивање на Кнежевину Андору и Републику Сан Марино примењује се само на транзитне поступке Уније.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(6)</w:t>
      </w:r>
      <w:r w:rsidRPr="00782EF5">
        <w:rPr>
          <w:rFonts w:ascii="Arial" w:eastAsiaTheme="minorHAnsi" w:hAnsi="Arial" w:cs="Arial"/>
          <w:noProof w:val="0"/>
          <w:color w:val="000000"/>
          <w:sz w:val="22"/>
          <w:szCs w:val="22"/>
          <w:lang w:val="en-US"/>
        </w:rPr>
        <w:t>Презиме и име или назив фирме, и пуна адреса лица које обезбеђује гаранцију.</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(7)</w:t>
      </w:r>
      <w:r w:rsidRPr="00782EF5">
        <w:rPr>
          <w:rFonts w:ascii="Arial" w:eastAsiaTheme="minorHAnsi" w:hAnsi="Arial" w:cs="Arial"/>
          <w:noProof w:val="0"/>
          <w:color w:val="000000"/>
          <w:sz w:val="22"/>
          <w:szCs w:val="22"/>
          <w:lang w:val="en-US"/>
        </w:rPr>
        <w:t>Примењује се у односу на друге накнаде настале у вези са увозом или извозом робе, када се гаранција користи за стављање робе у транзитни поступак Уније/заједнички транзитни поступак или се може користити у више од једне државе чланице или једне уговорне стране.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(8)</w:t>
      </w:r>
      <w:r w:rsidRPr="00782EF5">
        <w:rPr>
          <w:rFonts w:ascii="Arial" w:eastAsiaTheme="minorHAnsi" w:hAnsi="Arial" w:cs="Arial"/>
          <w:noProof w:val="0"/>
          <w:color w:val="000000"/>
          <w:sz w:val="22"/>
          <w:szCs w:val="22"/>
          <w:lang w:val="en-US"/>
        </w:rPr>
        <w:t>Прецртати непотребно.</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(9)</w:t>
      </w:r>
      <w:r w:rsidRPr="00782EF5">
        <w:rPr>
          <w:rFonts w:ascii="Arial" w:eastAsiaTheme="minorHAnsi" w:hAnsi="Arial" w:cs="Arial"/>
          <w:noProof w:val="0"/>
          <w:color w:val="000000"/>
          <w:sz w:val="22"/>
          <w:szCs w:val="22"/>
          <w:lang w:val="en-US"/>
        </w:rPr>
        <w:t>Поступци који нису заједнички транзит се примењују само у Европској унији.</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(10)</w:t>
      </w:r>
      <w:r w:rsidRPr="00782EF5">
        <w:rPr>
          <w:rFonts w:ascii="Arial" w:eastAsiaTheme="minorHAnsi" w:hAnsi="Arial" w:cs="Arial"/>
          <w:noProof w:val="0"/>
          <w:color w:val="000000"/>
          <w:sz w:val="22"/>
          <w:szCs w:val="22"/>
          <w:lang w:val="en-US"/>
        </w:rPr>
        <w:t>За износе из царинске декларације за поступак употребе у посебне сврхе.</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(11)</w:t>
      </w:r>
      <w:r w:rsidRPr="00782EF5">
        <w:rPr>
          <w:rFonts w:ascii="Arial" w:eastAsiaTheme="minorHAnsi" w:hAnsi="Arial" w:cs="Arial"/>
          <w:noProof w:val="0"/>
          <w:color w:val="000000"/>
          <w:sz w:val="22"/>
          <w:szCs w:val="22"/>
          <w:lang w:val="en-US"/>
        </w:rPr>
        <w:t>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става 2. и исправа из става 4. тачке 4. састављају се на начин дат у тим подставовима. Судови у местима у којима се налазе адресе за достављање гаранта или његових заступника имају надлежност у споровима који се односе на ову гаранцију.</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vertAlign w:val="superscript"/>
          <w:lang w:val="en-US"/>
        </w:rPr>
        <w:t>(12)</w:t>
      </w:r>
      <w:r w:rsidRPr="00782EF5">
        <w:rPr>
          <w:rFonts w:ascii="Arial" w:eastAsiaTheme="minorHAnsi" w:hAnsi="Arial" w:cs="Arial"/>
          <w:noProof w:val="0"/>
          <w:color w:val="000000"/>
          <w:sz w:val="22"/>
          <w:szCs w:val="22"/>
          <w:lang w:val="en-US"/>
        </w:rPr>
        <w:t>Лице које потписује документ мора пре свог потписа руком уписати следеће: „Обезбеђење за износ од …” (износ се уписује словима).”;</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6) У рубрици 7 Прилога В5, речи: „УКРАЈИНА” додају се између речи „ТУРСКА” и „УЈЕДИЊЕНО КРАЉЕВСТВО”;</w:t>
      </w:r>
    </w:p>
    <w:p w:rsidR="00782EF5" w:rsidRPr="00782EF5" w:rsidRDefault="00782EF5" w:rsidP="00782EF5">
      <w:pPr>
        <w:spacing w:after="150" w:line="276" w:lineRule="auto"/>
        <w:contextualSpacing w:val="0"/>
        <w:rPr>
          <w:rFonts w:ascii="Arial" w:eastAsiaTheme="minorHAnsi" w:hAnsi="Arial" w:cs="Arial"/>
          <w:noProof w:val="0"/>
          <w:sz w:val="22"/>
          <w:szCs w:val="22"/>
          <w:lang w:val="en-US"/>
        </w:rPr>
      </w:pPr>
      <w:r w:rsidRPr="00782EF5">
        <w:rPr>
          <w:rFonts w:ascii="Arial" w:eastAsiaTheme="minorHAnsi" w:hAnsi="Arial" w:cs="Arial"/>
          <w:noProof w:val="0"/>
          <w:color w:val="000000"/>
          <w:sz w:val="22"/>
          <w:szCs w:val="22"/>
          <w:lang w:val="en-US"/>
        </w:rPr>
        <w:t>7) У рубрици 6 Прилога В6, речи: „УКРАЈИНА” додају се између речи „ТУРСКА” и „УЈЕДИЊЕНО КРАЉЕВСТВО”.</w:t>
      </w:r>
    </w:p>
    <w:p w:rsidR="00782EF5" w:rsidRPr="00782EF5" w:rsidRDefault="00782EF5" w:rsidP="00363DB9">
      <w:pPr>
        <w:jc w:val="center"/>
        <w:rPr>
          <w:rFonts w:ascii="Arial" w:hAnsi="Arial" w:cs="Arial"/>
          <w:sz w:val="20"/>
          <w:szCs w:val="20"/>
        </w:rPr>
      </w:pPr>
    </w:p>
    <w:sectPr w:rsidR="00782EF5" w:rsidRPr="00782EF5"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8B" w:rsidRDefault="002C308B" w:rsidP="00517A41">
      <w:r>
        <w:separator/>
      </w:r>
    </w:p>
  </w:endnote>
  <w:endnote w:type="continuationSeparator" w:id="0">
    <w:p w:rsidR="002C308B" w:rsidRDefault="002C308B"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2C308B">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8B" w:rsidRDefault="002C308B" w:rsidP="00517A41">
      <w:r>
        <w:separator/>
      </w:r>
    </w:p>
  </w:footnote>
  <w:footnote w:type="continuationSeparator" w:id="0">
    <w:p w:rsidR="002C308B" w:rsidRDefault="002C308B"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242FF"/>
    <w:rsid w:val="000540A1"/>
    <w:rsid w:val="000831BD"/>
    <w:rsid w:val="00192081"/>
    <w:rsid w:val="001C11FA"/>
    <w:rsid w:val="00251BA3"/>
    <w:rsid w:val="002C308B"/>
    <w:rsid w:val="003142B5"/>
    <w:rsid w:val="00363DB9"/>
    <w:rsid w:val="00395566"/>
    <w:rsid w:val="003960C1"/>
    <w:rsid w:val="003C4BB6"/>
    <w:rsid w:val="003D018B"/>
    <w:rsid w:val="0041601C"/>
    <w:rsid w:val="0044547E"/>
    <w:rsid w:val="004F4265"/>
    <w:rsid w:val="005029F7"/>
    <w:rsid w:val="00517A41"/>
    <w:rsid w:val="00596ED1"/>
    <w:rsid w:val="005D6DF1"/>
    <w:rsid w:val="005F6DF4"/>
    <w:rsid w:val="00606197"/>
    <w:rsid w:val="00643E74"/>
    <w:rsid w:val="00672FD2"/>
    <w:rsid w:val="006C26FD"/>
    <w:rsid w:val="00715B49"/>
    <w:rsid w:val="0076634F"/>
    <w:rsid w:val="00782EF5"/>
    <w:rsid w:val="007D039B"/>
    <w:rsid w:val="00836F7E"/>
    <w:rsid w:val="008455B7"/>
    <w:rsid w:val="008A44FA"/>
    <w:rsid w:val="00905917"/>
    <w:rsid w:val="009076F3"/>
    <w:rsid w:val="00932A9A"/>
    <w:rsid w:val="00944E3C"/>
    <w:rsid w:val="009B2C9C"/>
    <w:rsid w:val="00A25B8A"/>
    <w:rsid w:val="00A31AF5"/>
    <w:rsid w:val="00A43155"/>
    <w:rsid w:val="00A6692B"/>
    <w:rsid w:val="00A729B8"/>
    <w:rsid w:val="00AB01F0"/>
    <w:rsid w:val="00B142A1"/>
    <w:rsid w:val="00B15CFE"/>
    <w:rsid w:val="00C40AD5"/>
    <w:rsid w:val="00D4332F"/>
    <w:rsid w:val="00D70371"/>
    <w:rsid w:val="00D971BB"/>
    <w:rsid w:val="00DF6786"/>
    <w:rsid w:val="00E25874"/>
    <w:rsid w:val="00FA5510"/>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042DF8AC"/>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D039B"/>
  </w:style>
  <w:style w:type="table" w:customStyle="1" w:styleId="TableGrid4">
    <w:name w:val="Table Grid4"/>
    <w:basedOn w:val="TableNormal"/>
    <w:next w:val="TableGrid0"/>
    <w:uiPriority w:val="59"/>
    <w:rsid w:val="007D039B"/>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87367-1684-40C8-8A52-16438807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1</TotalTime>
  <Pages>10</Pages>
  <Words>4030</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2023-11-10T17:39:00Z</dcterms:created>
  <dcterms:modified xsi:type="dcterms:W3CDTF">2023-11-10T17:41:00Z</dcterms:modified>
</cp:coreProperties>
</file>