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43"/>
        <w:gridCol w:w="9443"/>
      </w:tblGrid>
      <w:tr w:rsidR="00932A9A" w:rsidRPr="00726A9D" w:rsidTr="00801FF1">
        <w:trPr>
          <w:tblCellSpacing w:w="15" w:type="dxa"/>
        </w:trPr>
        <w:tc>
          <w:tcPr>
            <w:tcW w:w="476" w:type="pct"/>
            <w:shd w:val="clear" w:color="auto" w:fill="A41E1C"/>
            <w:vAlign w:val="center"/>
          </w:tcPr>
          <w:p w:rsidR="00932A9A" w:rsidRPr="00726A9D" w:rsidRDefault="00E72AD7" w:rsidP="00D70371">
            <w:pPr>
              <w:pStyle w:val="NASLOVZLATO"/>
              <w:rPr>
                <w:sz w:val="20"/>
                <w:szCs w:val="20"/>
              </w:rPr>
            </w:pPr>
            <w:r w:rsidRPr="00726A9D">
              <w:rPr>
                <w:sz w:val="20"/>
                <w:szCs w:val="20"/>
                <w:lang w:val="en-US" w:eastAsia="en-US"/>
              </w:rPr>
              <w:drawing>
                <wp:inline distT="0" distB="0" distL="0" distR="0" wp14:anchorId="377D52C0" wp14:editId="5DDC694A">
                  <wp:extent cx="526415" cy="560705"/>
                  <wp:effectExtent l="0" t="0" r="6985"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560705"/>
                          </a:xfrm>
                          <a:prstGeom prst="rect">
                            <a:avLst/>
                          </a:prstGeom>
                          <a:noFill/>
                          <a:ln>
                            <a:noFill/>
                          </a:ln>
                        </pic:spPr>
                      </pic:pic>
                    </a:graphicData>
                  </a:graphic>
                </wp:inline>
              </w:drawing>
            </w:r>
          </w:p>
        </w:tc>
        <w:tc>
          <w:tcPr>
            <w:tcW w:w="4481" w:type="pct"/>
            <w:shd w:val="clear" w:color="auto" w:fill="A41E1C"/>
            <w:vAlign w:val="center"/>
            <w:hideMark/>
          </w:tcPr>
          <w:p w:rsidR="006E10C5" w:rsidRPr="00726A9D" w:rsidRDefault="00DD00E6" w:rsidP="0056155A">
            <w:pPr>
              <w:pStyle w:val="NASLOVBELO"/>
              <w:spacing w:line="360" w:lineRule="auto"/>
              <w:rPr>
                <w:color w:val="FFE599"/>
                <w:sz w:val="20"/>
                <w:szCs w:val="20"/>
              </w:rPr>
            </w:pPr>
            <w:r>
              <w:rPr>
                <w:color w:val="FFE599"/>
                <w:sz w:val="20"/>
                <w:szCs w:val="20"/>
              </w:rPr>
              <w:t>ЗАКОН</w:t>
            </w:r>
            <w:r w:rsidR="005613EC" w:rsidRPr="00726A9D">
              <w:rPr>
                <w:color w:val="FFE599"/>
                <w:sz w:val="20"/>
                <w:szCs w:val="20"/>
              </w:rPr>
              <w:t xml:space="preserve"> </w:t>
            </w:r>
          </w:p>
          <w:p w:rsidR="00932A9A" w:rsidRPr="00726A9D" w:rsidRDefault="00DD00E6" w:rsidP="00DD00E6">
            <w:pPr>
              <w:pStyle w:val="NASLOVBELO"/>
              <w:rPr>
                <w:sz w:val="20"/>
                <w:szCs w:val="20"/>
              </w:rPr>
            </w:pPr>
            <w:bookmarkStart w:id="0" w:name="_GoBack"/>
            <w:r w:rsidRPr="00DD00E6">
              <w:rPr>
                <w:sz w:val="20"/>
                <w:szCs w:val="20"/>
              </w:rPr>
              <w:t xml:space="preserve">О ПОТВРЂИВАЊУ ИЗМЕНЕ И ДОПУНЕ БР. 2 УГОВОРА О ЗАЈМУ ПОТПИСАНОГ ИЗМЕЂУ ФОНДА ЗА РАЗВОЈ АБУ ДАБИЈА И ВЛАДЕ РЕПУБЛИКЕ </w:t>
            </w:r>
            <w:r>
              <w:rPr>
                <w:sz w:val="20"/>
                <w:szCs w:val="20"/>
              </w:rPr>
              <w:t xml:space="preserve"> </w:t>
            </w:r>
            <w:r w:rsidRPr="00DD00E6">
              <w:rPr>
                <w:sz w:val="20"/>
                <w:szCs w:val="20"/>
              </w:rPr>
              <w:t>СРБИЈЕ ЗА ФИНАНСИРАЊЕ ПОДРШКЕ БУЏЕТУ РЕПУБЛИКЕ СРБИЈЕ</w:t>
            </w:r>
          </w:p>
          <w:bookmarkEnd w:id="0"/>
          <w:p w:rsidR="00932A9A" w:rsidRPr="00726A9D" w:rsidRDefault="005613EC" w:rsidP="00726A9D">
            <w:pPr>
              <w:pStyle w:val="podnaslovpropisa"/>
            </w:pPr>
            <w:r w:rsidRPr="00726A9D">
              <w:t xml:space="preserve">("Сл. гласник РС - Међународни уговори", бр. </w:t>
            </w:r>
            <w:r w:rsidR="00726A9D" w:rsidRPr="00726A9D">
              <w:t>5</w:t>
            </w:r>
            <w:r w:rsidRPr="00726A9D">
              <w:t>/202</w:t>
            </w:r>
            <w:r w:rsidR="006958F5" w:rsidRPr="00726A9D">
              <w:t>6</w:t>
            </w:r>
            <w:r w:rsidRPr="00726A9D">
              <w:t>)</w:t>
            </w:r>
          </w:p>
        </w:tc>
      </w:tr>
    </w:tbl>
    <w:p w:rsidR="00726A9D" w:rsidRPr="00726A9D" w:rsidRDefault="00726A9D" w:rsidP="00DD00E6">
      <w:pPr>
        <w:pStyle w:val="normal0"/>
        <w:jc w:val="center"/>
        <w:rPr>
          <w:sz w:val="20"/>
          <w:szCs w:val="20"/>
          <w:lang w:val="en-US"/>
        </w:rPr>
      </w:pPr>
      <w:bookmarkStart w:id="1" w:name="str_1"/>
      <w:bookmarkStart w:id="2" w:name="clan_1"/>
      <w:bookmarkEnd w:id="1"/>
      <w:bookmarkEnd w:id="2"/>
      <w:r w:rsidRPr="00726A9D">
        <w:rPr>
          <w:noProof/>
          <w:sz w:val="20"/>
          <w:szCs w:val="20"/>
          <w:lang w:val="en-US" w:eastAsia="en-US"/>
        </w:rPr>
        <w:drawing>
          <wp:inline distT="0" distB="0" distL="0" distR="0" wp14:anchorId="6BC0180B" wp14:editId="436747DF">
            <wp:extent cx="5592445" cy="8016875"/>
            <wp:effectExtent l="0" t="0" r="8255"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2445" cy="8016875"/>
                    </a:xfrm>
                    <a:prstGeom prst="rect">
                      <a:avLst/>
                    </a:prstGeom>
                    <a:noFill/>
                    <a:ln>
                      <a:noFill/>
                    </a:ln>
                  </pic:spPr>
                </pic:pic>
              </a:graphicData>
            </a:graphic>
          </wp:inline>
        </w:drawing>
      </w:r>
    </w:p>
    <w:p w:rsidR="00726A9D" w:rsidRPr="00726A9D" w:rsidRDefault="00726A9D" w:rsidP="00DD00E6">
      <w:pPr>
        <w:pStyle w:val="normal0"/>
        <w:jc w:val="center"/>
        <w:rPr>
          <w:sz w:val="20"/>
          <w:szCs w:val="20"/>
          <w:lang w:val="en-US"/>
        </w:rPr>
      </w:pPr>
      <w:r w:rsidRPr="00726A9D">
        <w:rPr>
          <w:noProof/>
          <w:sz w:val="20"/>
          <w:szCs w:val="20"/>
          <w:lang w:val="en-US" w:eastAsia="en-US"/>
        </w:rPr>
        <w:lastRenderedPageBreak/>
        <w:drawing>
          <wp:inline distT="0" distB="0" distL="0" distR="0" wp14:anchorId="182DAE39" wp14:editId="2B81778E">
            <wp:extent cx="6124575" cy="8729345"/>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4575" cy="8729345"/>
                    </a:xfrm>
                    <a:prstGeom prst="rect">
                      <a:avLst/>
                    </a:prstGeom>
                    <a:noFill/>
                    <a:ln>
                      <a:noFill/>
                    </a:ln>
                  </pic:spPr>
                </pic:pic>
              </a:graphicData>
            </a:graphic>
          </wp:inline>
        </w:drawing>
      </w:r>
    </w:p>
    <w:p w:rsidR="00726A9D" w:rsidRPr="00726A9D" w:rsidRDefault="00726A9D" w:rsidP="00DD00E6">
      <w:pPr>
        <w:pStyle w:val="normal0"/>
        <w:jc w:val="center"/>
        <w:rPr>
          <w:sz w:val="20"/>
          <w:szCs w:val="20"/>
          <w:lang w:val="en-US"/>
        </w:rPr>
      </w:pPr>
      <w:r w:rsidRPr="00726A9D">
        <w:rPr>
          <w:noProof/>
          <w:sz w:val="20"/>
          <w:szCs w:val="20"/>
          <w:lang w:val="en-US" w:eastAsia="en-US"/>
        </w:rPr>
        <w:lastRenderedPageBreak/>
        <w:drawing>
          <wp:inline distT="0" distB="0" distL="0" distR="0" wp14:anchorId="20D45AEE" wp14:editId="0DB115DC">
            <wp:extent cx="5964555" cy="23069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4555" cy="2306955"/>
                    </a:xfrm>
                    <a:prstGeom prst="rect">
                      <a:avLst/>
                    </a:prstGeom>
                    <a:noFill/>
                    <a:ln>
                      <a:noFill/>
                    </a:ln>
                  </pic:spPr>
                </pic:pic>
              </a:graphicData>
            </a:graphic>
          </wp:inline>
        </w:drawing>
      </w:r>
    </w:p>
    <w:p w:rsidR="00726A9D" w:rsidRPr="00726A9D" w:rsidRDefault="00726A9D" w:rsidP="00726A9D">
      <w:pPr>
        <w:pStyle w:val="wyq050---odeljak"/>
        <w:rPr>
          <w:sz w:val="20"/>
          <w:szCs w:val="20"/>
          <w:lang w:val="en-US"/>
        </w:rPr>
      </w:pPr>
      <w:r w:rsidRPr="00726A9D">
        <w:rPr>
          <w:sz w:val="20"/>
          <w:szCs w:val="20"/>
          <w:lang w:val="en-US"/>
        </w:rPr>
        <w:t xml:space="preserve">ADDENDUM NO (2) </w:t>
      </w:r>
      <w:r w:rsidRPr="00726A9D">
        <w:rPr>
          <w:sz w:val="20"/>
          <w:szCs w:val="20"/>
          <w:lang w:val="en-US"/>
        </w:rPr>
        <w:br/>
        <w:t>EXTENSION OF THE DATE OF DUE INSTALLMENTS OF THE LOAN TO SUPPORT THE GENERAL BUDGET OF THE REPUBLIC OF SERBIA - LOAN 3051</w:t>
      </w:r>
    </w:p>
    <w:p w:rsidR="00726A9D" w:rsidRPr="00726A9D" w:rsidRDefault="00726A9D" w:rsidP="00726A9D">
      <w:pPr>
        <w:pStyle w:val="normal0"/>
        <w:rPr>
          <w:sz w:val="20"/>
          <w:szCs w:val="20"/>
          <w:lang w:val="en-US"/>
        </w:rPr>
      </w:pPr>
      <w:r w:rsidRPr="00726A9D">
        <w:rPr>
          <w:sz w:val="20"/>
          <w:szCs w:val="20"/>
          <w:lang w:val="en-US"/>
        </w:rPr>
        <w:t>On this day the Friday</w:t>
      </w:r>
      <w:proofErr w:type="gramStart"/>
      <w:r w:rsidRPr="00726A9D">
        <w:rPr>
          <w:sz w:val="20"/>
          <w:szCs w:val="20"/>
          <w:lang w:val="en-US"/>
        </w:rPr>
        <w:t>,13</w:t>
      </w:r>
      <w:proofErr w:type="gramEnd"/>
      <w:r w:rsidRPr="00726A9D">
        <w:rPr>
          <w:sz w:val="20"/>
          <w:szCs w:val="20"/>
          <w:lang w:val="en-US"/>
        </w:rPr>
        <w:t>/02/2026, this Addendum has been entered By &amp; Between:</w:t>
      </w:r>
    </w:p>
    <w:p w:rsidR="00726A9D" w:rsidRPr="00726A9D" w:rsidRDefault="00726A9D" w:rsidP="00726A9D">
      <w:pPr>
        <w:pStyle w:val="normal0"/>
        <w:rPr>
          <w:sz w:val="20"/>
          <w:szCs w:val="20"/>
          <w:lang w:val="en-US"/>
        </w:rPr>
      </w:pPr>
      <w:r w:rsidRPr="00726A9D">
        <w:rPr>
          <w:b/>
          <w:sz w:val="20"/>
          <w:szCs w:val="20"/>
          <w:lang w:val="en-US"/>
        </w:rPr>
        <w:t xml:space="preserve">Abu Dhabi Fund for Development, </w:t>
      </w:r>
      <w:r w:rsidRPr="00726A9D">
        <w:rPr>
          <w:sz w:val="20"/>
          <w:szCs w:val="20"/>
          <w:lang w:val="en-US"/>
        </w:rPr>
        <w:t xml:space="preserve">hereinafter shall be referred to as the </w:t>
      </w:r>
      <w:r w:rsidRPr="00726A9D">
        <w:rPr>
          <w:b/>
          <w:sz w:val="20"/>
          <w:szCs w:val="20"/>
          <w:lang w:val="en-US"/>
        </w:rPr>
        <w:t xml:space="preserve">"Fund", </w:t>
      </w:r>
      <w:r w:rsidRPr="00726A9D">
        <w:rPr>
          <w:sz w:val="20"/>
          <w:szCs w:val="20"/>
          <w:lang w:val="en-US"/>
        </w:rPr>
        <w:t>and</w:t>
      </w:r>
    </w:p>
    <w:p w:rsidR="00726A9D" w:rsidRPr="00726A9D" w:rsidRDefault="00726A9D" w:rsidP="00726A9D">
      <w:pPr>
        <w:pStyle w:val="normal0"/>
        <w:rPr>
          <w:sz w:val="20"/>
          <w:szCs w:val="20"/>
          <w:lang w:val="en-US"/>
        </w:rPr>
      </w:pPr>
      <w:r w:rsidRPr="00726A9D">
        <w:rPr>
          <w:b/>
          <w:sz w:val="20"/>
          <w:szCs w:val="20"/>
          <w:lang w:val="en-US"/>
        </w:rPr>
        <w:t xml:space="preserve">The Government of the Republic of Serbia, </w:t>
      </w:r>
      <w:r w:rsidRPr="00726A9D">
        <w:rPr>
          <w:sz w:val="20"/>
          <w:szCs w:val="20"/>
          <w:lang w:val="en-US"/>
        </w:rPr>
        <w:t xml:space="preserve">hereinafter shall be referred to as the </w:t>
      </w:r>
      <w:r w:rsidRPr="00726A9D">
        <w:rPr>
          <w:b/>
          <w:sz w:val="20"/>
          <w:szCs w:val="20"/>
          <w:lang w:val="en-US"/>
        </w:rPr>
        <w:t xml:space="preserve">"Borrower", </w:t>
      </w:r>
      <w:r w:rsidRPr="00726A9D">
        <w:rPr>
          <w:sz w:val="20"/>
          <w:szCs w:val="20"/>
          <w:lang w:val="en-US"/>
        </w:rPr>
        <w:t>and</w:t>
      </w:r>
    </w:p>
    <w:p w:rsidR="00726A9D" w:rsidRPr="00726A9D" w:rsidRDefault="00726A9D" w:rsidP="00726A9D">
      <w:pPr>
        <w:pStyle w:val="normal0"/>
        <w:rPr>
          <w:sz w:val="20"/>
          <w:szCs w:val="20"/>
          <w:lang w:val="en-US"/>
        </w:rPr>
      </w:pPr>
      <w:r w:rsidRPr="00726A9D">
        <w:rPr>
          <w:b/>
          <w:sz w:val="20"/>
          <w:szCs w:val="20"/>
          <w:lang w:val="en-US"/>
        </w:rPr>
        <w:t>Preamble</w:t>
      </w:r>
    </w:p>
    <w:p w:rsidR="00726A9D" w:rsidRPr="00726A9D" w:rsidRDefault="00726A9D" w:rsidP="00726A9D">
      <w:pPr>
        <w:pStyle w:val="normal0"/>
        <w:rPr>
          <w:sz w:val="20"/>
          <w:szCs w:val="20"/>
          <w:lang w:val="en-US"/>
        </w:rPr>
      </w:pPr>
      <w:proofErr w:type="gramStart"/>
      <w:r w:rsidRPr="00726A9D">
        <w:rPr>
          <w:b/>
          <w:sz w:val="20"/>
          <w:szCs w:val="20"/>
          <w:lang w:val="en-US"/>
        </w:rPr>
        <w:t xml:space="preserve">Whereas, </w:t>
      </w:r>
      <w:r w:rsidRPr="00726A9D">
        <w:rPr>
          <w:sz w:val="20"/>
          <w:szCs w:val="20"/>
          <w:lang w:val="en-US"/>
        </w:rPr>
        <w:t>the Borrower and the Fund entered on the 11th of September 2022 into a Loan Agreement in the amount of USD.</w:t>
      </w:r>
      <w:proofErr w:type="gramEnd"/>
      <w:r w:rsidRPr="00726A9D">
        <w:rPr>
          <w:sz w:val="20"/>
          <w:szCs w:val="20"/>
          <w:lang w:val="en-US"/>
        </w:rPr>
        <w:t xml:space="preserve"> 1,000,000,000 as per the conditions listed in it,</w:t>
      </w:r>
    </w:p>
    <w:p w:rsidR="00726A9D" w:rsidRPr="00726A9D" w:rsidRDefault="00726A9D" w:rsidP="00726A9D">
      <w:pPr>
        <w:pStyle w:val="normal0"/>
        <w:rPr>
          <w:sz w:val="20"/>
          <w:szCs w:val="20"/>
          <w:lang w:val="en-US"/>
        </w:rPr>
      </w:pPr>
      <w:r w:rsidRPr="00726A9D">
        <w:rPr>
          <w:b/>
          <w:sz w:val="20"/>
          <w:szCs w:val="20"/>
          <w:lang w:val="en-US"/>
        </w:rPr>
        <w:t xml:space="preserve">Whereas, </w:t>
      </w:r>
      <w:r w:rsidRPr="00726A9D">
        <w:rPr>
          <w:sz w:val="20"/>
          <w:szCs w:val="20"/>
          <w:lang w:val="en-US"/>
        </w:rPr>
        <w:t>the Borrower has requested in their letter No. 000038796 2026 10520 001 003 000 001 from The Ministry of Finance dated 08 January 2026 to extend the Date of due Installments of the Loan to Support the General Budget of the Republic of Serbia from 9 December 2026 to 9 December 2027,</w:t>
      </w:r>
    </w:p>
    <w:p w:rsidR="00726A9D" w:rsidRPr="00726A9D" w:rsidRDefault="00726A9D" w:rsidP="00726A9D">
      <w:pPr>
        <w:pStyle w:val="normal0"/>
        <w:rPr>
          <w:sz w:val="20"/>
          <w:szCs w:val="20"/>
          <w:lang w:val="en-US"/>
        </w:rPr>
      </w:pPr>
      <w:r w:rsidRPr="00726A9D">
        <w:rPr>
          <w:b/>
          <w:sz w:val="20"/>
          <w:szCs w:val="20"/>
          <w:lang w:val="en-US"/>
        </w:rPr>
        <w:t xml:space="preserve">Whereas, </w:t>
      </w:r>
      <w:r w:rsidRPr="00726A9D">
        <w:rPr>
          <w:sz w:val="20"/>
          <w:szCs w:val="20"/>
          <w:lang w:val="en-US"/>
        </w:rPr>
        <w:t>the Fund has agreed on the borrower request,</w:t>
      </w:r>
    </w:p>
    <w:p w:rsidR="00726A9D" w:rsidRPr="00726A9D" w:rsidRDefault="00726A9D" w:rsidP="00726A9D">
      <w:pPr>
        <w:pStyle w:val="normal0"/>
        <w:rPr>
          <w:sz w:val="20"/>
          <w:szCs w:val="20"/>
          <w:lang w:val="en-US"/>
        </w:rPr>
      </w:pPr>
      <w:r w:rsidRPr="00726A9D">
        <w:rPr>
          <w:b/>
          <w:sz w:val="20"/>
          <w:szCs w:val="20"/>
          <w:lang w:val="en-US"/>
        </w:rPr>
        <w:t>Therefore, both parties agree to the following:</w:t>
      </w:r>
    </w:p>
    <w:p w:rsidR="00726A9D" w:rsidRPr="00726A9D" w:rsidRDefault="00726A9D" w:rsidP="00726A9D">
      <w:pPr>
        <w:pStyle w:val="normal0"/>
        <w:rPr>
          <w:sz w:val="20"/>
          <w:szCs w:val="20"/>
          <w:lang w:val="en-US"/>
        </w:rPr>
      </w:pPr>
      <w:r w:rsidRPr="00726A9D">
        <w:rPr>
          <w:sz w:val="20"/>
          <w:szCs w:val="20"/>
          <w:lang w:val="en-US"/>
        </w:rPr>
        <w:t>1. The preamble shall be considered an integral part of this Addendum.</w:t>
      </w:r>
    </w:p>
    <w:p w:rsidR="00726A9D" w:rsidRPr="00726A9D" w:rsidRDefault="00726A9D" w:rsidP="00726A9D">
      <w:pPr>
        <w:pStyle w:val="normal0"/>
        <w:rPr>
          <w:sz w:val="20"/>
          <w:szCs w:val="20"/>
          <w:lang w:val="en-US"/>
        </w:rPr>
      </w:pPr>
      <w:r w:rsidRPr="00726A9D">
        <w:rPr>
          <w:sz w:val="20"/>
          <w:szCs w:val="20"/>
          <w:lang w:val="en-US"/>
        </w:rPr>
        <w:t xml:space="preserve">2. Extension of the Date of due Installments of the loan to Support the General Budget of Republic of Serbia to 09 December 2027, as stated in the amended repayment schedule for Loan No. (1) </w:t>
      </w:r>
      <w:proofErr w:type="gramStart"/>
      <w:r w:rsidRPr="00726A9D">
        <w:rPr>
          <w:sz w:val="20"/>
          <w:szCs w:val="20"/>
          <w:lang w:val="en-US"/>
        </w:rPr>
        <w:t>attached</w:t>
      </w:r>
      <w:proofErr w:type="gramEnd"/>
      <w:r w:rsidRPr="00726A9D">
        <w:rPr>
          <w:sz w:val="20"/>
          <w:szCs w:val="20"/>
          <w:lang w:val="en-US"/>
        </w:rPr>
        <w:t xml:space="preserve"> to this Addendum.</w:t>
      </w:r>
    </w:p>
    <w:p w:rsidR="00726A9D" w:rsidRPr="00726A9D" w:rsidRDefault="00726A9D" w:rsidP="00726A9D">
      <w:pPr>
        <w:pStyle w:val="normal0"/>
        <w:rPr>
          <w:sz w:val="20"/>
          <w:szCs w:val="20"/>
          <w:lang w:val="en-US"/>
        </w:rPr>
      </w:pPr>
      <w:r w:rsidRPr="00726A9D">
        <w:rPr>
          <w:sz w:val="20"/>
          <w:szCs w:val="20"/>
          <w:lang w:val="en-US"/>
        </w:rPr>
        <w:t>3. All other terms, conditions and schedules in the said Loan Agreement of the 11</w:t>
      </w:r>
      <w:r w:rsidRPr="00726A9D">
        <w:rPr>
          <w:sz w:val="20"/>
          <w:szCs w:val="20"/>
          <w:vertAlign w:val="superscript"/>
          <w:lang w:val="en-US"/>
        </w:rPr>
        <w:t>th</w:t>
      </w:r>
      <w:r w:rsidRPr="00726A9D">
        <w:rPr>
          <w:sz w:val="20"/>
          <w:szCs w:val="20"/>
          <w:lang w:val="en-US"/>
        </w:rPr>
        <w:t xml:space="preserve"> of September 2022 and addendum no. 1 of the 3rd of July 2024 shall remain applicable and in force.</w:t>
      </w:r>
    </w:p>
    <w:p w:rsidR="00726A9D" w:rsidRPr="00726A9D" w:rsidRDefault="00726A9D" w:rsidP="00726A9D">
      <w:pPr>
        <w:pStyle w:val="normal0"/>
        <w:rPr>
          <w:sz w:val="20"/>
          <w:szCs w:val="20"/>
          <w:lang w:val="en-US"/>
        </w:rPr>
      </w:pPr>
      <w:r w:rsidRPr="00726A9D">
        <w:rPr>
          <w:b/>
          <w:sz w:val="20"/>
          <w:szCs w:val="20"/>
          <w:lang w:val="en-US"/>
        </w:rPr>
        <w:t>In Witness Whereof, this Addendum has been signed in 2 original copies at counterparts.</w:t>
      </w:r>
    </w:p>
    <w:tbl>
      <w:tblPr>
        <w:tblW w:w="5000" w:type="pct"/>
        <w:tblLook w:val="04A0" w:firstRow="1" w:lastRow="0" w:firstColumn="1" w:lastColumn="0" w:noHBand="0" w:noVBand="1"/>
      </w:tblPr>
      <w:tblGrid>
        <w:gridCol w:w="5616"/>
        <w:gridCol w:w="289"/>
        <w:gridCol w:w="4677"/>
      </w:tblGrid>
      <w:tr w:rsidR="00726A9D" w:rsidRPr="00726A9D" w:rsidTr="00DD00E6">
        <w:tc>
          <w:tcPr>
            <w:tcW w:w="0" w:type="auto"/>
            <w:shd w:val="clear" w:color="auto" w:fill="auto"/>
            <w:hideMark/>
          </w:tcPr>
          <w:p w:rsidR="00726A9D" w:rsidRPr="00726A9D" w:rsidRDefault="00726A9D" w:rsidP="009E67DC">
            <w:pPr>
              <w:pStyle w:val="normalcentar"/>
              <w:rPr>
                <w:sz w:val="20"/>
                <w:szCs w:val="20"/>
                <w:lang w:val="en-US"/>
              </w:rPr>
            </w:pPr>
            <w:r w:rsidRPr="00726A9D">
              <w:rPr>
                <w:sz w:val="20"/>
                <w:szCs w:val="20"/>
                <w:lang w:val="en-US"/>
              </w:rPr>
              <w:t xml:space="preserve">For/ The Government </w:t>
            </w:r>
            <w:proofErr w:type="spellStart"/>
            <w:r w:rsidRPr="00726A9D">
              <w:rPr>
                <w:sz w:val="20"/>
                <w:szCs w:val="20"/>
                <w:lang w:val="en-US"/>
              </w:rPr>
              <w:t>ofthe</w:t>
            </w:r>
            <w:proofErr w:type="spellEnd"/>
            <w:r w:rsidRPr="00726A9D">
              <w:rPr>
                <w:sz w:val="20"/>
                <w:szCs w:val="20"/>
                <w:lang w:val="en-US"/>
              </w:rPr>
              <w:t xml:space="preserve"> Republic of Serbia</w:t>
            </w:r>
            <w:r w:rsidRPr="00726A9D">
              <w:rPr>
                <w:sz w:val="20"/>
                <w:szCs w:val="20"/>
                <w:lang w:val="en-US"/>
              </w:rPr>
              <w:br/>
            </w:r>
            <w:proofErr w:type="spellStart"/>
            <w:r w:rsidRPr="00726A9D">
              <w:rPr>
                <w:sz w:val="20"/>
                <w:szCs w:val="20"/>
                <w:lang w:val="en-US"/>
              </w:rPr>
              <w:t>Siniša</w:t>
            </w:r>
            <w:proofErr w:type="spellEnd"/>
            <w:r w:rsidRPr="00726A9D">
              <w:rPr>
                <w:sz w:val="20"/>
                <w:szCs w:val="20"/>
                <w:lang w:val="en-US"/>
              </w:rPr>
              <w:t xml:space="preserve"> Mali</w:t>
            </w:r>
            <w:r w:rsidRPr="00726A9D">
              <w:rPr>
                <w:sz w:val="20"/>
                <w:szCs w:val="20"/>
                <w:lang w:val="en-US"/>
              </w:rPr>
              <w:br/>
              <w:t>Minister of Finance</w:t>
            </w:r>
          </w:p>
        </w:tc>
        <w:tc>
          <w:tcPr>
            <w:tcW w:w="0" w:type="auto"/>
            <w:shd w:val="clear" w:color="auto" w:fill="auto"/>
          </w:tcPr>
          <w:p w:rsidR="00726A9D" w:rsidRPr="00726A9D" w:rsidRDefault="00726A9D" w:rsidP="009E67DC">
            <w:pPr>
              <w:pStyle w:val="normalcentar"/>
              <w:rPr>
                <w:sz w:val="20"/>
                <w:szCs w:val="20"/>
                <w:lang w:val="en-US"/>
              </w:rPr>
            </w:pPr>
          </w:p>
        </w:tc>
        <w:tc>
          <w:tcPr>
            <w:tcW w:w="0" w:type="auto"/>
            <w:shd w:val="clear" w:color="auto" w:fill="auto"/>
            <w:hideMark/>
          </w:tcPr>
          <w:p w:rsidR="00726A9D" w:rsidRPr="00726A9D" w:rsidRDefault="00726A9D" w:rsidP="009E67DC">
            <w:pPr>
              <w:pStyle w:val="normalcentar"/>
              <w:rPr>
                <w:sz w:val="20"/>
                <w:szCs w:val="20"/>
                <w:lang w:val="en-US"/>
              </w:rPr>
            </w:pPr>
            <w:r w:rsidRPr="00726A9D">
              <w:rPr>
                <w:sz w:val="20"/>
                <w:szCs w:val="20"/>
                <w:lang w:val="en-US"/>
              </w:rPr>
              <w:t>For/ Abu Dhabi Fund for Development</w:t>
            </w:r>
            <w:r w:rsidRPr="00726A9D">
              <w:rPr>
                <w:sz w:val="20"/>
                <w:szCs w:val="20"/>
                <w:lang w:val="en-US"/>
              </w:rPr>
              <w:br/>
              <w:t xml:space="preserve">Mohammed </w:t>
            </w:r>
            <w:proofErr w:type="spellStart"/>
            <w:r w:rsidRPr="00726A9D">
              <w:rPr>
                <w:sz w:val="20"/>
                <w:szCs w:val="20"/>
                <w:lang w:val="en-US"/>
              </w:rPr>
              <w:t>Saif</w:t>
            </w:r>
            <w:proofErr w:type="spellEnd"/>
            <w:r w:rsidRPr="00726A9D">
              <w:rPr>
                <w:sz w:val="20"/>
                <w:szCs w:val="20"/>
                <w:lang w:val="en-US"/>
              </w:rPr>
              <w:t xml:space="preserve"> Al </w:t>
            </w:r>
            <w:proofErr w:type="spellStart"/>
            <w:r w:rsidRPr="00726A9D">
              <w:rPr>
                <w:sz w:val="20"/>
                <w:szCs w:val="20"/>
                <w:lang w:val="en-US"/>
              </w:rPr>
              <w:t>Suwaidi</w:t>
            </w:r>
            <w:proofErr w:type="spellEnd"/>
            <w:r w:rsidRPr="00726A9D">
              <w:rPr>
                <w:sz w:val="20"/>
                <w:szCs w:val="20"/>
                <w:lang w:val="en-US"/>
              </w:rPr>
              <w:br/>
              <w:t>Director General</w:t>
            </w:r>
          </w:p>
        </w:tc>
      </w:tr>
    </w:tbl>
    <w:p w:rsidR="00726A9D" w:rsidRPr="00726A9D" w:rsidRDefault="00726A9D" w:rsidP="00726A9D">
      <w:pPr>
        <w:pStyle w:val="normal0"/>
        <w:rPr>
          <w:sz w:val="20"/>
          <w:szCs w:val="20"/>
          <w:lang w:val="en-US"/>
        </w:rPr>
      </w:pPr>
      <w:r w:rsidRPr="00726A9D">
        <w:rPr>
          <w:sz w:val="20"/>
          <w:szCs w:val="20"/>
          <w:lang w:val="en-US"/>
        </w:rPr>
        <w:t>DATE: 11.03.2026.</w:t>
      </w:r>
    </w:p>
    <w:p w:rsidR="00726A9D" w:rsidRPr="00726A9D" w:rsidRDefault="00726A9D" w:rsidP="00726A9D">
      <w:pPr>
        <w:pStyle w:val="normalcentar"/>
        <w:rPr>
          <w:sz w:val="20"/>
          <w:szCs w:val="20"/>
          <w:lang w:val="en-US"/>
        </w:rPr>
      </w:pPr>
      <w:r w:rsidRPr="00726A9D">
        <w:rPr>
          <w:sz w:val="20"/>
          <w:szCs w:val="20"/>
          <w:lang w:val="en-US"/>
        </w:rPr>
        <w:t>Addendum Schedule (I)</w:t>
      </w:r>
    </w:p>
    <w:p w:rsidR="00726A9D" w:rsidRPr="00726A9D" w:rsidRDefault="00726A9D" w:rsidP="00726A9D">
      <w:pPr>
        <w:pStyle w:val="normalboldcentar"/>
        <w:rPr>
          <w:sz w:val="20"/>
          <w:szCs w:val="20"/>
          <w:lang w:val="en-US"/>
        </w:rPr>
      </w:pPr>
      <w:r w:rsidRPr="00726A9D">
        <w:rPr>
          <w:sz w:val="20"/>
          <w:szCs w:val="20"/>
          <w:lang w:val="en-US"/>
        </w:rPr>
        <w:t>Schedule of Amortization</w:t>
      </w:r>
      <w:r w:rsidRPr="00726A9D">
        <w:rPr>
          <w:sz w:val="20"/>
          <w:szCs w:val="20"/>
          <w:lang w:val="en-US"/>
        </w:rPr>
        <w:br/>
        <w:t xml:space="preserve">Support </w:t>
      </w:r>
      <w:proofErr w:type="gramStart"/>
      <w:r w:rsidRPr="00726A9D">
        <w:rPr>
          <w:sz w:val="20"/>
          <w:szCs w:val="20"/>
          <w:lang w:val="en-US"/>
        </w:rPr>
        <w:t>The</w:t>
      </w:r>
      <w:proofErr w:type="gramEnd"/>
      <w:r w:rsidRPr="00726A9D">
        <w:rPr>
          <w:sz w:val="20"/>
          <w:szCs w:val="20"/>
          <w:lang w:val="en-US"/>
        </w:rPr>
        <w:t xml:space="preserve"> General Budget of the Republic of Serbia</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3393"/>
        <w:gridCol w:w="4541"/>
      </w:tblGrid>
      <w:tr w:rsidR="00726A9D" w:rsidRPr="00726A9D" w:rsidTr="009E67DC">
        <w:tc>
          <w:tcPr>
            <w:tcW w:w="0" w:type="auto"/>
            <w:shd w:val="clear" w:color="auto" w:fill="D9D9D9"/>
            <w:hideMark/>
          </w:tcPr>
          <w:p w:rsidR="00726A9D" w:rsidRPr="00726A9D" w:rsidRDefault="00726A9D" w:rsidP="009E67DC">
            <w:pPr>
              <w:pStyle w:val="normalboldcentar"/>
              <w:rPr>
                <w:sz w:val="20"/>
                <w:szCs w:val="20"/>
                <w:lang w:val="en-US"/>
              </w:rPr>
            </w:pPr>
            <w:r w:rsidRPr="00726A9D">
              <w:rPr>
                <w:sz w:val="20"/>
                <w:szCs w:val="20"/>
                <w:lang w:val="en-US"/>
              </w:rPr>
              <w:lastRenderedPageBreak/>
              <w:t>No. of Installment</w:t>
            </w:r>
          </w:p>
        </w:tc>
        <w:tc>
          <w:tcPr>
            <w:tcW w:w="0" w:type="auto"/>
            <w:shd w:val="clear" w:color="auto" w:fill="D9D9D9"/>
            <w:hideMark/>
          </w:tcPr>
          <w:p w:rsidR="00726A9D" w:rsidRPr="00726A9D" w:rsidRDefault="00726A9D" w:rsidP="009E67DC">
            <w:pPr>
              <w:pStyle w:val="normalboldcentar"/>
              <w:rPr>
                <w:sz w:val="20"/>
                <w:szCs w:val="20"/>
                <w:lang w:val="en-US"/>
              </w:rPr>
            </w:pPr>
            <w:r w:rsidRPr="00726A9D">
              <w:rPr>
                <w:sz w:val="20"/>
                <w:szCs w:val="20"/>
                <w:lang w:val="en-US"/>
              </w:rPr>
              <w:t>Date of due Installments</w:t>
            </w:r>
          </w:p>
        </w:tc>
        <w:tc>
          <w:tcPr>
            <w:tcW w:w="0" w:type="auto"/>
            <w:shd w:val="clear" w:color="auto" w:fill="D9D9D9"/>
            <w:hideMark/>
          </w:tcPr>
          <w:p w:rsidR="00726A9D" w:rsidRPr="00726A9D" w:rsidRDefault="00726A9D" w:rsidP="009E67DC">
            <w:pPr>
              <w:pStyle w:val="normalboldcentar"/>
              <w:rPr>
                <w:sz w:val="20"/>
                <w:szCs w:val="20"/>
                <w:lang w:val="en-US"/>
              </w:rPr>
            </w:pPr>
            <w:r w:rsidRPr="00726A9D">
              <w:rPr>
                <w:sz w:val="20"/>
                <w:szCs w:val="20"/>
                <w:lang w:val="en-US"/>
              </w:rPr>
              <w:t>Total Amount of due Installments</w:t>
            </w:r>
            <w:r w:rsidRPr="00726A9D">
              <w:rPr>
                <w:sz w:val="20"/>
                <w:szCs w:val="20"/>
                <w:lang w:val="en-US"/>
              </w:rPr>
              <w:br/>
              <w:t>(excluding interest)</w:t>
            </w:r>
          </w:p>
        </w:tc>
      </w:tr>
      <w:tr w:rsidR="00726A9D" w:rsidRPr="00726A9D" w:rsidTr="009E67DC">
        <w:tc>
          <w:tcPr>
            <w:tcW w:w="0" w:type="auto"/>
            <w:shd w:val="clear" w:color="auto" w:fill="auto"/>
            <w:hideMark/>
          </w:tcPr>
          <w:p w:rsidR="00726A9D" w:rsidRPr="00726A9D" w:rsidRDefault="00726A9D" w:rsidP="009E67DC">
            <w:pPr>
              <w:pStyle w:val="normalcentar"/>
              <w:rPr>
                <w:sz w:val="20"/>
                <w:szCs w:val="20"/>
                <w:lang w:val="en-US"/>
              </w:rPr>
            </w:pPr>
            <w:r w:rsidRPr="00726A9D">
              <w:rPr>
                <w:sz w:val="20"/>
                <w:szCs w:val="20"/>
                <w:lang w:val="en-US"/>
              </w:rPr>
              <w:t>1</w:t>
            </w:r>
          </w:p>
        </w:tc>
        <w:tc>
          <w:tcPr>
            <w:tcW w:w="0" w:type="auto"/>
            <w:shd w:val="clear" w:color="auto" w:fill="auto"/>
            <w:hideMark/>
          </w:tcPr>
          <w:p w:rsidR="00726A9D" w:rsidRPr="00726A9D" w:rsidRDefault="00726A9D" w:rsidP="009E67DC">
            <w:pPr>
              <w:pStyle w:val="normalcentar"/>
              <w:rPr>
                <w:sz w:val="20"/>
                <w:szCs w:val="20"/>
                <w:lang w:val="en-US"/>
              </w:rPr>
            </w:pPr>
            <w:r w:rsidRPr="00726A9D">
              <w:rPr>
                <w:sz w:val="20"/>
                <w:szCs w:val="20"/>
                <w:lang w:val="en-US"/>
              </w:rPr>
              <w:t>09/12/2027</w:t>
            </w:r>
          </w:p>
        </w:tc>
        <w:tc>
          <w:tcPr>
            <w:tcW w:w="0" w:type="auto"/>
            <w:shd w:val="clear" w:color="auto" w:fill="auto"/>
            <w:hideMark/>
          </w:tcPr>
          <w:p w:rsidR="00726A9D" w:rsidRPr="00726A9D" w:rsidRDefault="00726A9D" w:rsidP="009E67DC">
            <w:pPr>
              <w:pStyle w:val="normalcentar"/>
              <w:rPr>
                <w:sz w:val="20"/>
                <w:szCs w:val="20"/>
                <w:lang w:val="en-US"/>
              </w:rPr>
            </w:pPr>
            <w:r w:rsidRPr="00726A9D">
              <w:rPr>
                <w:sz w:val="20"/>
                <w:szCs w:val="20"/>
                <w:lang w:val="en-US"/>
              </w:rPr>
              <w:t>1,000,000,000</w:t>
            </w:r>
          </w:p>
        </w:tc>
      </w:tr>
      <w:tr w:rsidR="00726A9D" w:rsidRPr="00726A9D" w:rsidTr="009E67DC">
        <w:tc>
          <w:tcPr>
            <w:tcW w:w="0" w:type="auto"/>
            <w:gridSpan w:val="2"/>
            <w:shd w:val="clear" w:color="auto" w:fill="D9D9D9"/>
            <w:hideMark/>
          </w:tcPr>
          <w:p w:rsidR="00726A9D" w:rsidRPr="00726A9D" w:rsidRDefault="00726A9D" w:rsidP="009E67DC">
            <w:pPr>
              <w:pStyle w:val="normalbold"/>
              <w:rPr>
                <w:sz w:val="20"/>
                <w:szCs w:val="20"/>
                <w:lang w:val="en-US"/>
              </w:rPr>
            </w:pPr>
            <w:r w:rsidRPr="00726A9D">
              <w:rPr>
                <w:sz w:val="20"/>
                <w:szCs w:val="20"/>
                <w:lang w:val="en-US"/>
              </w:rPr>
              <w:t>Total in USD (One Billion US$)</w:t>
            </w:r>
          </w:p>
        </w:tc>
        <w:tc>
          <w:tcPr>
            <w:tcW w:w="0" w:type="auto"/>
            <w:shd w:val="clear" w:color="auto" w:fill="D9D9D9"/>
            <w:hideMark/>
          </w:tcPr>
          <w:p w:rsidR="00726A9D" w:rsidRPr="00726A9D" w:rsidRDefault="00726A9D" w:rsidP="009E67DC">
            <w:pPr>
              <w:pStyle w:val="normalboldcentar"/>
              <w:rPr>
                <w:sz w:val="20"/>
                <w:szCs w:val="20"/>
                <w:lang w:val="en-US"/>
              </w:rPr>
            </w:pPr>
            <w:r w:rsidRPr="00726A9D">
              <w:rPr>
                <w:sz w:val="20"/>
                <w:szCs w:val="20"/>
                <w:lang w:val="en-US"/>
              </w:rPr>
              <w:t>1,000,000,000</w:t>
            </w:r>
          </w:p>
        </w:tc>
      </w:tr>
    </w:tbl>
    <w:p w:rsidR="00726A9D" w:rsidRPr="00726A9D" w:rsidRDefault="00726A9D" w:rsidP="00726A9D">
      <w:pPr>
        <w:pStyle w:val="normal0"/>
        <w:rPr>
          <w:sz w:val="20"/>
          <w:szCs w:val="20"/>
          <w:lang w:val="en-US"/>
        </w:rPr>
      </w:pPr>
    </w:p>
    <w:p w:rsidR="005D2893" w:rsidRPr="00726A9D" w:rsidRDefault="005D2893" w:rsidP="005D2893">
      <w:pPr>
        <w:pStyle w:val="Normal10"/>
        <w:jc w:val="center"/>
        <w:rPr>
          <w:sz w:val="20"/>
          <w:szCs w:val="20"/>
          <w:lang w:val="sr-Latn-RS"/>
        </w:rPr>
      </w:pPr>
    </w:p>
    <w:sectPr w:rsidR="005D2893" w:rsidRPr="00726A9D" w:rsidSect="00FD359D">
      <w:footerReference w:type="default" r:id="rId12"/>
      <w:type w:val="continuous"/>
      <w:pgSz w:w="11906" w:h="16838" w:code="9"/>
      <w:pgMar w:top="426" w:right="780" w:bottom="280" w:left="76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32" w:rsidRDefault="008A7B32" w:rsidP="00517A41">
      <w:r>
        <w:separator/>
      </w:r>
    </w:p>
  </w:endnote>
  <w:endnote w:type="continuationSeparator" w:id="0">
    <w:p w:rsidR="008A7B32" w:rsidRDefault="008A7B32" w:rsidP="0051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32" w:rsidRPr="00932A9A" w:rsidRDefault="008A7B32">
    <w:pPr>
      <w:pStyle w:val="Footer"/>
      <w:rPr>
        <w:caps/>
        <w:noProof/>
        <w:color w:val="5B9BD5"/>
      </w:rPr>
    </w:pPr>
    <w:r w:rsidRPr="00932A9A">
      <w:rPr>
        <w:caps/>
        <w:color w:val="5B9BD5"/>
      </w:rPr>
      <w:fldChar w:fldCharType="begin"/>
    </w:r>
    <w:r w:rsidRPr="00932A9A">
      <w:rPr>
        <w:caps/>
        <w:color w:val="5B9BD5"/>
      </w:rPr>
      <w:instrText xml:space="preserve"> PAGE   \* MERGEFORMAT </w:instrText>
    </w:r>
    <w:r w:rsidRPr="00932A9A">
      <w:rPr>
        <w:caps/>
        <w:color w:val="5B9BD5"/>
      </w:rPr>
      <w:fldChar w:fldCharType="separate"/>
    </w:r>
    <w:r w:rsidR="00DD00E6">
      <w:rPr>
        <w:caps/>
        <w:noProof/>
        <w:color w:val="5B9BD5"/>
      </w:rPr>
      <w:t>1</w:t>
    </w:r>
    <w:r w:rsidRPr="00932A9A">
      <w:rPr>
        <w:caps/>
        <w:noProof/>
        <w:color w:val="5B9BD5"/>
      </w:rPr>
      <w:fldChar w:fldCharType="end"/>
    </w:r>
  </w:p>
  <w:p w:rsidR="008A7B32" w:rsidRDefault="008A7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32" w:rsidRDefault="008A7B32" w:rsidP="00517A41">
      <w:r>
        <w:separator/>
      </w:r>
    </w:p>
  </w:footnote>
  <w:footnote w:type="continuationSeparator" w:id="0">
    <w:p w:rsidR="008A7B32" w:rsidRDefault="008A7B32" w:rsidP="00517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28AF0"/>
    <w:lvl w:ilvl="0">
      <w:start w:val="1"/>
      <w:numFmt w:val="decimal"/>
      <w:lvlText w:val="%1."/>
      <w:lvlJc w:val="left"/>
      <w:pPr>
        <w:tabs>
          <w:tab w:val="num" w:pos="1800"/>
        </w:tabs>
        <w:ind w:left="1800" w:hanging="360"/>
      </w:pPr>
    </w:lvl>
  </w:abstractNum>
  <w:abstractNum w:abstractNumId="1">
    <w:nsid w:val="FFFFFF7D"/>
    <w:multiLevelType w:val="singleLevel"/>
    <w:tmpl w:val="AC3638A2"/>
    <w:lvl w:ilvl="0">
      <w:start w:val="1"/>
      <w:numFmt w:val="decimal"/>
      <w:lvlText w:val="%1."/>
      <w:lvlJc w:val="left"/>
      <w:pPr>
        <w:tabs>
          <w:tab w:val="num" w:pos="1440"/>
        </w:tabs>
        <w:ind w:left="1440" w:hanging="360"/>
      </w:pPr>
    </w:lvl>
  </w:abstractNum>
  <w:abstractNum w:abstractNumId="2">
    <w:nsid w:val="FFFFFF7E"/>
    <w:multiLevelType w:val="singleLevel"/>
    <w:tmpl w:val="FDD0E024"/>
    <w:lvl w:ilvl="0">
      <w:start w:val="1"/>
      <w:numFmt w:val="decimal"/>
      <w:lvlText w:val="%1."/>
      <w:lvlJc w:val="left"/>
      <w:pPr>
        <w:tabs>
          <w:tab w:val="num" w:pos="1080"/>
        </w:tabs>
        <w:ind w:left="1080" w:hanging="360"/>
      </w:pPr>
    </w:lvl>
  </w:abstractNum>
  <w:abstractNum w:abstractNumId="3">
    <w:nsid w:val="FFFFFF7F"/>
    <w:multiLevelType w:val="singleLevel"/>
    <w:tmpl w:val="28386C34"/>
    <w:lvl w:ilvl="0">
      <w:start w:val="1"/>
      <w:numFmt w:val="decimal"/>
      <w:lvlText w:val="%1."/>
      <w:lvlJc w:val="left"/>
      <w:pPr>
        <w:tabs>
          <w:tab w:val="num" w:pos="720"/>
        </w:tabs>
        <w:ind w:left="720" w:hanging="360"/>
      </w:pPr>
    </w:lvl>
  </w:abstractNum>
  <w:abstractNum w:abstractNumId="4">
    <w:nsid w:val="FFFFFF80"/>
    <w:multiLevelType w:val="singleLevel"/>
    <w:tmpl w:val="DCC06A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1E58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EC0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C9C165C"/>
    <w:lvl w:ilvl="0">
      <w:start w:val="1"/>
      <w:numFmt w:val="bullet"/>
      <w:lvlText w:val=""/>
      <w:lvlJc w:val="left"/>
      <w:pPr>
        <w:tabs>
          <w:tab w:val="num" w:pos="720"/>
        </w:tabs>
        <w:ind w:left="720" w:hanging="360"/>
      </w:pPr>
      <w:rPr>
        <w:rFonts w:ascii="Symbol" w:hAnsi="Symbol" w:hint="default"/>
      </w:rPr>
    </w:lvl>
  </w:abstractNum>
  <w:abstractNum w:abstractNumId="8">
    <w:nsid w:val="FFFFFF89"/>
    <w:multiLevelType w:val="singleLevel"/>
    <w:tmpl w:val="B1C42EAC"/>
    <w:lvl w:ilvl="0">
      <w:start w:val="1"/>
      <w:numFmt w:val="bullet"/>
      <w:lvlText w:val=""/>
      <w:lvlJc w:val="left"/>
      <w:pPr>
        <w:tabs>
          <w:tab w:val="num" w:pos="360"/>
        </w:tabs>
        <w:ind w:left="360" w:hanging="360"/>
      </w:pPr>
      <w:rPr>
        <w:rFonts w:ascii="Symbol" w:hAnsi="Symbol" w:hint="default"/>
      </w:rPr>
    </w:lvl>
  </w:abstractNum>
  <w:abstractNum w:abstractNumId="9">
    <w:nsid w:val="2096632C"/>
    <w:multiLevelType w:val="multilevel"/>
    <w:tmpl w:val="97A2C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C92FAD"/>
    <w:multiLevelType w:val="multilevel"/>
    <w:tmpl w:val="61EABE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0E1CE0"/>
    <w:multiLevelType w:val="multilevel"/>
    <w:tmpl w:val="D520B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6B114381"/>
    <w:multiLevelType w:val="multilevel"/>
    <w:tmpl w:val="E3A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9"/>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53249" style="mso-position-horizontal-relative:page;mso-position-vertical-relative:page;mso-width-relative:margin;mso-height-relative:margin" fill="f" fillcolor="white" stroke="f">
      <v:fill color="white" on="f"/>
      <v:stroke on="f"/>
      <o:colormru v:ext="edit" colors="#d6f9fe,#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9A"/>
    <w:rsid w:val="0003305F"/>
    <w:rsid w:val="00044975"/>
    <w:rsid w:val="000540A1"/>
    <w:rsid w:val="000831BD"/>
    <w:rsid w:val="000C5867"/>
    <w:rsid w:val="0018073B"/>
    <w:rsid w:val="00192081"/>
    <w:rsid w:val="001C11FA"/>
    <w:rsid w:val="001E48E4"/>
    <w:rsid w:val="00226BFB"/>
    <w:rsid w:val="00251BA3"/>
    <w:rsid w:val="002A17CE"/>
    <w:rsid w:val="002E01DB"/>
    <w:rsid w:val="002E5B4F"/>
    <w:rsid w:val="002E610A"/>
    <w:rsid w:val="00352BAB"/>
    <w:rsid w:val="003629AD"/>
    <w:rsid w:val="003678AF"/>
    <w:rsid w:val="00380192"/>
    <w:rsid w:val="003858A6"/>
    <w:rsid w:val="003960C1"/>
    <w:rsid w:val="003C4BB6"/>
    <w:rsid w:val="003D018B"/>
    <w:rsid w:val="0042287B"/>
    <w:rsid w:val="00432518"/>
    <w:rsid w:val="0044547E"/>
    <w:rsid w:val="004777E6"/>
    <w:rsid w:val="004F4265"/>
    <w:rsid w:val="005029F7"/>
    <w:rsid w:val="00517A41"/>
    <w:rsid w:val="005602B7"/>
    <w:rsid w:val="005613EC"/>
    <w:rsid w:val="0056155A"/>
    <w:rsid w:val="00596ED1"/>
    <w:rsid w:val="005C3FD7"/>
    <w:rsid w:val="005D2893"/>
    <w:rsid w:val="005D6DF1"/>
    <w:rsid w:val="005F099A"/>
    <w:rsid w:val="005F6DF4"/>
    <w:rsid w:val="00606197"/>
    <w:rsid w:val="00643E74"/>
    <w:rsid w:val="006551AE"/>
    <w:rsid w:val="00665421"/>
    <w:rsid w:val="006958F5"/>
    <w:rsid w:val="006C26FD"/>
    <w:rsid w:val="006E10C5"/>
    <w:rsid w:val="00726A9D"/>
    <w:rsid w:val="0073071D"/>
    <w:rsid w:val="007A3331"/>
    <w:rsid w:val="007A55AE"/>
    <w:rsid w:val="00801FF1"/>
    <w:rsid w:val="008050DD"/>
    <w:rsid w:val="0081111A"/>
    <w:rsid w:val="008216AB"/>
    <w:rsid w:val="00824D13"/>
    <w:rsid w:val="008A7B32"/>
    <w:rsid w:val="00905917"/>
    <w:rsid w:val="009238C2"/>
    <w:rsid w:val="00932A9A"/>
    <w:rsid w:val="00944E3C"/>
    <w:rsid w:val="009769B5"/>
    <w:rsid w:val="009A1B18"/>
    <w:rsid w:val="009B37BC"/>
    <w:rsid w:val="009B5A12"/>
    <w:rsid w:val="009B7D5A"/>
    <w:rsid w:val="009D4583"/>
    <w:rsid w:val="00A31AF5"/>
    <w:rsid w:val="00A43155"/>
    <w:rsid w:val="00A62947"/>
    <w:rsid w:val="00A9266F"/>
    <w:rsid w:val="00B11EDB"/>
    <w:rsid w:val="00B75805"/>
    <w:rsid w:val="00BD7FB1"/>
    <w:rsid w:val="00C11014"/>
    <w:rsid w:val="00C15517"/>
    <w:rsid w:val="00C40AD5"/>
    <w:rsid w:val="00C532B5"/>
    <w:rsid w:val="00D70371"/>
    <w:rsid w:val="00DA3096"/>
    <w:rsid w:val="00DB1263"/>
    <w:rsid w:val="00DD00E6"/>
    <w:rsid w:val="00DD75D6"/>
    <w:rsid w:val="00DE7ABE"/>
    <w:rsid w:val="00DF72E5"/>
    <w:rsid w:val="00DF789D"/>
    <w:rsid w:val="00E110B2"/>
    <w:rsid w:val="00E25874"/>
    <w:rsid w:val="00E72AD7"/>
    <w:rsid w:val="00EA69B2"/>
    <w:rsid w:val="00F058FC"/>
    <w:rsid w:val="00F0659D"/>
    <w:rsid w:val="00F80650"/>
    <w:rsid w:val="00FA6A61"/>
    <w:rsid w:val="00FD359D"/>
    <w:rsid w:val="00FE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style="mso-position-horizontal-relative:page;mso-position-vertical-relative:page;mso-width-relative:margin;mso-height-relative:margin" fill="f" fillcolor="white" stroke="f">
      <v:fill color="white" on="f"/>
      <v:stroke on="f"/>
      <o:colormru v:ext="edit" colors="#d6f9fe,#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nhideWhenUsed/>
    <w:rsid w:val="00517A41"/>
    <w:pPr>
      <w:tabs>
        <w:tab w:val="center" w:pos="4536"/>
        <w:tab w:val="right" w:pos="9072"/>
      </w:tabs>
    </w:pPr>
  </w:style>
  <w:style w:type="character" w:customStyle="1" w:styleId="HeaderChar">
    <w:name w:val="Header Char"/>
    <w:link w:val="Header"/>
    <w:rsid w:val="00517A41"/>
    <w:rPr>
      <w:rFonts w:ascii="Garamond" w:hAnsi="Garamond"/>
      <w:noProof/>
      <w:sz w:val="18"/>
      <w:szCs w:val="18"/>
      <w:lang w:eastAsia="en-US"/>
    </w:rPr>
  </w:style>
  <w:style w:type="paragraph" w:styleId="Footer">
    <w:name w:val="footer"/>
    <w:basedOn w:val="Normal"/>
    <w:link w:val="FooterChar"/>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rsid w:val="000831BD"/>
    <w:rPr>
      <w:rFonts w:ascii="Arial" w:hAnsi="Arial"/>
      <w:b/>
      <w:szCs w:val="18"/>
      <w:lang w:eastAsia="en-US"/>
    </w:rPr>
  </w:style>
  <w:style w:type="table" w:styleId="TableGrid0">
    <w:name w:val="Table Grid"/>
    <w:basedOn w:val="TableNormal"/>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nhideWhenUsed/>
    <w:rsid w:val="00E72AD7"/>
    <w:rPr>
      <w:rFonts w:ascii="Tahoma" w:hAnsi="Tahoma" w:cs="Tahoma"/>
      <w:sz w:val="16"/>
      <w:szCs w:val="16"/>
    </w:rPr>
  </w:style>
  <w:style w:type="character" w:customStyle="1" w:styleId="BalloonTextChar">
    <w:name w:val="Balloon Text Char"/>
    <w:basedOn w:val="DefaultParagraphFont"/>
    <w:link w:val="BalloonText"/>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link w:val="stepenChar"/>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2E01DB"/>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8">
    <w:name w:val="Normal8"/>
    <w:basedOn w:val="Normal"/>
    <w:rsid w:val="005C3FD7"/>
    <w:pPr>
      <w:spacing w:before="100" w:beforeAutospacing="1" w:after="100" w:afterAutospacing="1"/>
      <w:contextualSpacing w:val="0"/>
    </w:pPr>
    <w:rPr>
      <w:rFonts w:ascii="Arial" w:eastAsia="Times New Roman" w:hAnsi="Arial" w:cs="Arial"/>
      <w:noProof w:val="0"/>
      <w:sz w:val="22"/>
      <w:szCs w:val="22"/>
      <w:lang w:val="sr-Latn-CS" w:eastAsia="sr-Latn-CS"/>
    </w:rPr>
  </w:style>
  <w:style w:type="character" w:styleId="PageNumber">
    <w:name w:val="page number"/>
    <w:basedOn w:val="DefaultParagraphFont"/>
    <w:rsid w:val="005C3FD7"/>
  </w:style>
  <w:style w:type="character" w:customStyle="1" w:styleId="unicode">
    <w:name w:val="unicode"/>
    <w:basedOn w:val="DefaultParagraphFont"/>
    <w:rsid w:val="005C3FD7"/>
  </w:style>
  <w:style w:type="character" w:customStyle="1" w:styleId="stepenChar">
    <w:name w:val="stepen Char"/>
    <w:link w:val="stepen"/>
    <w:rsid w:val="005C3FD7"/>
    <w:rPr>
      <w:rFonts w:ascii="Arial" w:eastAsia="Times New Roman" w:hAnsi="Arial" w:cs="Arial"/>
      <w:sz w:val="15"/>
      <w:szCs w:val="15"/>
      <w:vertAlign w:val="superscript"/>
    </w:rPr>
  </w:style>
  <w:style w:type="paragraph" w:customStyle="1" w:styleId="Normal9">
    <w:name w:val="Normal9"/>
    <w:basedOn w:val="Normal"/>
    <w:rsid w:val="00DF789D"/>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Normal10">
    <w:name w:val="Normal10"/>
    <w:basedOn w:val="Normal"/>
    <w:rsid w:val="005D2893"/>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normal0">
    <w:name w:val="normal"/>
    <w:basedOn w:val="Normal"/>
    <w:rsid w:val="00726A9D"/>
    <w:pPr>
      <w:spacing w:before="100" w:beforeAutospacing="1" w:after="100" w:afterAutospacing="1"/>
      <w:contextualSpacing w:val="0"/>
    </w:pPr>
    <w:rPr>
      <w:rFonts w:ascii="Arial" w:eastAsia="Times New Roman" w:hAnsi="Arial" w:cs="Arial"/>
      <w:noProof w:val="0"/>
      <w:sz w:val="22"/>
      <w:szCs w:val="22"/>
      <w:lang w:val="sr-Latn-CS"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nhideWhenUsed/>
    <w:rsid w:val="00517A41"/>
    <w:pPr>
      <w:tabs>
        <w:tab w:val="center" w:pos="4536"/>
        <w:tab w:val="right" w:pos="9072"/>
      </w:tabs>
    </w:pPr>
  </w:style>
  <w:style w:type="character" w:customStyle="1" w:styleId="HeaderChar">
    <w:name w:val="Header Char"/>
    <w:link w:val="Header"/>
    <w:rsid w:val="00517A41"/>
    <w:rPr>
      <w:rFonts w:ascii="Garamond" w:hAnsi="Garamond"/>
      <w:noProof/>
      <w:sz w:val="18"/>
      <w:szCs w:val="18"/>
      <w:lang w:eastAsia="en-US"/>
    </w:rPr>
  </w:style>
  <w:style w:type="paragraph" w:styleId="Footer">
    <w:name w:val="footer"/>
    <w:basedOn w:val="Normal"/>
    <w:link w:val="FooterChar"/>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rsid w:val="000831BD"/>
    <w:rPr>
      <w:rFonts w:ascii="Arial" w:hAnsi="Arial"/>
      <w:b/>
      <w:szCs w:val="18"/>
      <w:lang w:eastAsia="en-US"/>
    </w:rPr>
  </w:style>
  <w:style w:type="table" w:styleId="TableGrid0">
    <w:name w:val="Table Grid"/>
    <w:basedOn w:val="TableNormal"/>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nhideWhenUsed/>
    <w:rsid w:val="00E72AD7"/>
    <w:rPr>
      <w:rFonts w:ascii="Tahoma" w:hAnsi="Tahoma" w:cs="Tahoma"/>
      <w:sz w:val="16"/>
      <w:szCs w:val="16"/>
    </w:rPr>
  </w:style>
  <w:style w:type="character" w:customStyle="1" w:styleId="BalloonTextChar">
    <w:name w:val="Balloon Text Char"/>
    <w:basedOn w:val="DefaultParagraphFont"/>
    <w:link w:val="BalloonText"/>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link w:val="stepenChar"/>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2E01DB"/>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8">
    <w:name w:val="Normal8"/>
    <w:basedOn w:val="Normal"/>
    <w:rsid w:val="005C3FD7"/>
    <w:pPr>
      <w:spacing w:before="100" w:beforeAutospacing="1" w:after="100" w:afterAutospacing="1"/>
      <w:contextualSpacing w:val="0"/>
    </w:pPr>
    <w:rPr>
      <w:rFonts w:ascii="Arial" w:eastAsia="Times New Roman" w:hAnsi="Arial" w:cs="Arial"/>
      <w:noProof w:val="0"/>
      <w:sz w:val="22"/>
      <w:szCs w:val="22"/>
      <w:lang w:val="sr-Latn-CS" w:eastAsia="sr-Latn-CS"/>
    </w:rPr>
  </w:style>
  <w:style w:type="character" w:styleId="PageNumber">
    <w:name w:val="page number"/>
    <w:basedOn w:val="DefaultParagraphFont"/>
    <w:rsid w:val="005C3FD7"/>
  </w:style>
  <w:style w:type="character" w:customStyle="1" w:styleId="unicode">
    <w:name w:val="unicode"/>
    <w:basedOn w:val="DefaultParagraphFont"/>
    <w:rsid w:val="005C3FD7"/>
  </w:style>
  <w:style w:type="character" w:customStyle="1" w:styleId="stepenChar">
    <w:name w:val="stepen Char"/>
    <w:link w:val="stepen"/>
    <w:rsid w:val="005C3FD7"/>
    <w:rPr>
      <w:rFonts w:ascii="Arial" w:eastAsia="Times New Roman" w:hAnsi="Arial" w:cs="Arial"/>
      <w:sz w:val="15"/>
      <w:szCs w:val="15"/>
      <w:vertAlign w:val="superscript"/>
    </w:rPr>
  </w:style>
  <w:style w:type="paragraph" w:customStyle="1" w:styleId="Normal9">
    <w:name w:val="Normal9"/>
    <w:basedOn w:val="Normal"/>
    <w:rsid w:val="00DF789D"/>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Normal10">
    <w:name w:val="Normal10"/>
    <w:basedOn w:val="Normal"/>
    <w:rsid w:val="005D2893"/>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normal0">
    <w:name w:val="normal"/>
    <w:basedOn w:val="Normal"/>
    <w:rsid w:val="00726A9D"/>
    <w:pPr>
      <w:spacing w:before="100" w:beforeAutospacing="1" w:after="100" w:afterAutospacing="1"/>
      <w:contextualSpacing w:val="0"/>
    </w:pPr>
    <w:rPr>
      <w:rFonts w:ascii="Arial" w:eastAsia="Times New Roman" w:hAnsi="Arial" w:cs="Arial"/>
      <w:noProof w:val="0"/>
      <w:sz w:val="22"/>
      <w:szCs w:val="22"/>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64921">
      <w:bodyDiv w:val="1"/>
      <w:marLeft w:val="0"/>
      <w:marRight w:val="0"/>
      <w:marTop w:val="0"/>
      <w:marBottom w:val="0"/>
      <w:divBdr>
        <w:top w:val="none" w:sz="0" w:space="0" w:color="auto"/>
        <w:left w:val="none" w:sz="0" w:space="0" w:color="auto"/>
        <w:bottom w:val="none" w:sz="0" w:space="0" w:color="auto"/>
        <w:right w:val="none" w:sz="0" w:space="0" w:color="auto"/>
      </w:divBdr>
    </w:div>
    <w:div w:id="508328260">
      <w:bodyDiv w:val="1"/>
      <w:marLeft w:val="0"/>
      <w:marRight w:val="0"/>
      <w:marTop w:val="0"/>
      <w:marBottom w:val="0"/>
      <w:divBdr>
        <w:top w:val="none" w:sz="0" w:space="0" w:color="auto"/>
        <w:left w:val="none" w:sz="0" w:space="0" w:color="auto"/>
        <w:bottom w:val="none" w:sz="0" w:space="0" w:color="auto"/>
        <w:right w:val="none" w:sz="0" w:space="0" w:color="auto"/>
      </w:divBdr>
    </w:div>
    <w:div w:id="550459761">
      <w:bodyDiv w:val="1"/>
      <w:marLeft w:val="0"/>
      <w:marRight w:val="0"/>
      <w:marTop w:val="0"/>
      <w:marBottom w:val="0"/>
      <w:divBdr>
        <w:top w:val="none" w:sz="0" w:space="0" w:color="auto"/>
        <w:left w:val="none" w:sz="0" w:space="0" w:color="auto"/>
        <w:bottom w:val="none" w:sz="0" w:space="0" w:color="auto"/>
        <w:right w:val="none" w:sz="0" w:space="0" w:color="auto"/>
      </w:divBdr>
    </w:div>
    <w:div w:id="1001080367">
      <w:bodyDiv w:val="1"/>
      <w:marLeft w:val="0"/>
      <w:marRight w:val="0"/>
      <w:marTop w:val="0"/>
      <w:marBottom w:val="0"/>
      <w:divBdr>
        <w:top w:val="none" w:sz="0" w:space="0" w:color="auto"/>
        <w:left w:val="none" w:sz="0" w:space="0" w:color="auto"/>
        <w:bottom w:val="none" w:sz="0" w:space="0" w:color="auto"/>
        <w:right w:val="none" w:sz="0" w:space="0" w:color="auto"/>
      </w:divBdr>
    </w:div>
    <w:div w:id="1082487351">
      <w:bodyDiv w:val="1"/>
      <w:marLeft w:val="0"/>
      <w:marRight w:val="0"/>
      <w:marTop w:val="0"/>
      <w:marBottom w:val="0"/>
      <w:divBdr>
        <w:top w:val="none" w:sz="0" w:space="0" w:color="auto"/>
        <w:left w:val="none" w:sz="0" w:space="0" w:color="auto"/>
        <w:bottom w:val="none" w:sz="0" w:space="0" w:color="auto"/>
        <w:right w:val="none" w:sz="0" w:space="0" w:color="auto"/>
      </w:divBdr>
    </w:div>
    <w:div w:id="1395735211">
      <w:bodyDiv w:val="1"/>
      <w:marLeft w:val="0"/>
      <w:marRight w:val="0"/>
      <w:marTop w:val="0"/>
      <w:marBottom w:val="0"/>
      <w:divBdr>
        <w:top w:val="none" w:sz="0" w:space="0" w:color="auto"/>
        <w:left w:val="none" w:sz="0" w:space="0" w:color="auto"/>
        <w:bottom w:val="none" w:sz="0" w:space="0" w:color="auto"/>
        <w:right w:val="none" w:sz="0" w:space="0" w:color="auto"/>
      </w:divBdr>
    </w:div>
    <w:div w:id="1625309703">
      <w:bodyDiv w:val="1"/>
      <w:marLeft w:val="0"/>
      <w:marRight w:val="0"/>
      <w:marTop w:val="0"/>
      <w:marBottom w:val="0"/>
      <w:divBdr>
        <w:top w:val="none" w:sz="0" w:space="0" w:color="auto"/>
        <w:left w:val="none" w:sz="0" w:space="0" w:color="auto"/>
        <w:bottom w:val="none" w:sz="0" w:space="0" w:color="auto"/>
        <w:right w:val="none" w:sz="0" w:space="0" w:color="auto"/>
      </w:divBdr>
    </w:div>
    <w:div w:id="1952079587">
      <w:bodyDiv w:val="1"/>
      <w:marLeft w:val="0"/>
      <w:marRight w:val="0"/>
      <w:marTop w:val="0"/>
      <w:marBottom w:val="0"/>
      <w:divBdr>
        <w:top w:val="none" w:sz="0" w:space="0" w:color="auto"/>
        <w:left w:val="none" w:sz="0" w:space="0" w:color="auto"/>
        <w:bottom w:val="none" w:sz="0" w:space="0" w:color="auto"/>
        <w:right w:val="none" w:sz="0" w:space="0" w:color="auto"/>
      </w:divBdr>
      <w:divsChild>
        <w:div w:id="963585652">
          <w:marLeft w:val="0"/>
          <w:marRight w:val="0"/>
          <w:marTop w:val="0"/>
          <w:marBottom w:val="0"/>
          <w:divBdr>
            <w:top w:val="none" w:sz="0" w:space="0" w:color="auto"/>
            <w:left w:val="none" w:sz="0" w:space="0" w:color="auto"/>
            <w:bottom w:val="none" w:sz="0" w:space="0" w:color="auto"/>
            <w:right w:val="none" w:sz="0" w:space="0" w:color="auto"/>
          </w:divBdr>
          <w:divsChild>
            <w:div w:id="1846433459">
              <w:marLeft w:val="0"/>
              <w:marRight w:val="0"/>
              <w:marTop w:val="0"/>
              <w:marBottom w:val="0"/>
              <w:divBdr>
                <w:top w:val="none" w:sz="0" w:space="0" w:color="auto"/>
                <w:left w:val="none" w:sz="0" w:space="0" w:color="auto"/>
                <w:bottom w:val="none" w:sz="0" w:space="0" w:color="auto"/>
                <w:right w:val="none" w:sz="0" w:space="0" w:color="auto"/>
              </w:divBdr>
            </w:div>
          </w:divsChild>
        </w:div>
        <w:div w:id="1569724203">
          <w:marLeft w:val="0"/>
          <w:marRight w:val="0"/>
          <w:marTop w:val="0"/>
          <w:marBottom w:val="0"/>
          <w:divBdr>
            <w:top w:val="none" w:sz="0" w:space="0" w:color="auto"/>
            <w:left w:val="none" w:sz="0" w:space="0" w:color="auto"/>
            <w:bottom w:val="none" w:sz="0" w:space="0" w:color="auto"/>
            <w:right w:val="none" w:sz="0" w:space="0" w:color="auto"/>
          </w:divBdr>
          <w:divsChild>
            <w:div w:id="1320575422">
              <w:marLeft w:val="0"/>
              <w:marRight w:val="0"/>
              <w:marTop w:val="0"/>
              <w:marBottom w:val="0"/>
              <w:divBdr>
                <w:top w:val="none" w:sz="0" w:space="0" w:color="auto"/>
                <w:left w:val="none" w:sz="0" w:space="0" w:color="auto"/>
                <w:bottom w:val="none" w:sz="0" w:space="0" w:color="auto"/>
                <w:right w:val="none" w:sz="0" w:space="0" w:color="auto"/>
              </w:divBdr>
            </w:div>
          </w:divsChild>
        </w:div>
        <w:div w:id="330135661">
          <w:marLeft w:val="0"/>
          <w:marRight w:val="0"/>
          <w:marTop w:val="0"/>
          <w:marBottom w:val="0"/>
          <w:divBdr>
            <w:top w:val="none" w:sz="0" w:space="0" w:color="auto"/>
            <w:left w:val="none" w:sz="0" w:space="0" w:color="auto"/>
            <w:bottom w:val="none" w:sz="0" w:space="0" w:color="auto"/>
            <w:right w:val="none" w:sz="0" w:space="0" w:color="auto"/>
          </w:divBdr>
          <w:divsChild>
            <w:div w:id="4434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ka\Documents\Custom%20Office%20Templates\PDF%20template%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PDF template VER 2</Template>
  <TotalTime>3</TotalTime>
  <Pages>4</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4</cp:revision>
  <dcterms:created xsi:type="dcterms:W3CDTF">2026-07-01T07:08:00Z</dcterms:created>
  <dcterms:modified xsi:type="dcterms:W3CDTF">2026-07-01T07:11:00Z</dcterms:modified>
</cp:coreProperties>
</file>