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B9267E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B9267E" w:rsidP="00D70371">
            <w:pPr>
              <w:pStyle w:val="NASLOVBELO"/>
            </w:pPr>
            <w:r w:rsidRPr="00B9267E">
              <w:t>О ДОПУНАМА ПРАВИЛНИКА О НАСТАВНОМ ПЛАНУ И ПРОГРАМУ СТРУЧНИХ ПРЕДМЕТА СРЕДЊЕГ СТРУЧНОГ ОБРАЗОВАЊА У ПОДРУЧЈУ РАДА МАШИНСТВО И ОБРАДА МЕТАЛА</w:t>
            </w:r>
          </w:p>
          <w:p w:rsidR="00932A9A" w:rsidRPr="00D70371" w:rsidRDefault="00932A9A" w:rsidP="0097497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</w:t>
            </w:r>
            <w:r w:rsidR="0097497D">
              <w:t>0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B771CB" w:rsidRDefault="00B771CB" w:rsidP="00D70371">
      <w:bookmarkStart w:id="0" w:name="str_1"/>
      <w:bookmarkEnd w:id="0"/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На основу члана 67. став 4.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B9267E" w:rsidRPr="00B9267E" w:rsidRDefault="00B9267E" w:rsidP="00B9267E">
      <w:pPr>
        <w:spacing w:after="225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B9267E" w:rsidRPr="00B9267E" w:rsidRDefault="00B9267E" w:rsidP="00B9267E">
      <w:pPr>
        <w:spacing w:after="15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О ДОПУНАМА ПРАВИЛНИКА О НАСТАВНОМ ПЛАНУ И ПРОГРАМУ СТРУЧНИХ ПРЕДМЕТА СРЕДЊЕГ СТРУЧНОГ ОБРАЗОВАЊА У ПОДРУЧЈУ РАДА МАШИНСТВО И ОБРАДА МЕТАЛА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Члан 1.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Правилнику о наставном плану и програму стручних предмета средњег стручног образовања у подручју рада Машинство и обрада метала ("Службени гласник РС - Просветни гласник", бр. 6/14, 11/15, 1/16, 5/16, 10/16, 13/16, 4/17, 1/18, 4/18, 2/20, 5/20, 3/21, 2/22 и 8/22), у делу: "НАСТАВНИ ПЛАН И ПРОГРАМ СТРУЧНИХ ПРЕДМЕТА ЗА ОБРАЗОВНИ ПРОФИЛ ТЕХНИЧАР ГРЕЈАЊА И КЛИМАТИЗАЦИЈЕ", после табеле: "1. НАСТАВНИ ПЛАН Образовни профил: ТЕХНИЧАР ГРЕЈАЊА И КЛИМАТИЗАЦИЈЕ" додаје се табела: "I ПЛАН НАСТАВЕ И УЧЕЊА за образовни профил Техничар грејања и климатизације када се реализује по дуалном моделу*", којa je одштампанa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После табеле: "Подела одељења у групе", додаје се табела: "Подела одељења у групе за реализацију по дуалном моделу образовања",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одељку: "А2: ОБАВЕЗНИ СТРУЧНИ ПРЕДМЕТИ", у предмету: "ТЕХНИКА МЕРЕЊА И АУТОМАТИЗАЦИЈЕ" за трећи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"ПОСТРОЈЕЊА ЗА ГРЕЈАЊЕ И ХЛАЂЕЊЕ" за трећи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"ПОСТРОЈЕЊА ЗА ГРЕЈАЊЕ И ХЛАЂЕЊЕ" за четврти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"ПОСТРОЈЕЊА ЗА ВЕНТИЛАЦИЈУ И КЛИМАТИЗАЦИЈУ" за трећи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lastRenderedPageBreak/>
        <w:t>У предмету: "ПОСТРОЈЕЊА ЗА ВЕНТИЛАЦИЈУ И КЛИМАТИЗАЦИЈУ" за четврти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"ПРАКТИЧНА НАСТАВА" за други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"ПРАКТИЧНА НАСТАВА" за трећи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 предмету: "ПРАКТИЧНА НАСТАВА" за четврти разред, после табеле: "1. ОСТВАРИВАЊЕ ОБРАЗОВНО-ВАСПИТНОГ РАДА - ОБЛИЦИ И ТРАЈАЊЕ", додаје се табела: "1.2.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", која је одштампана уз овај правилник и чини његов саставни део.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Члан 2.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Ученици уписани у средњу школу закључно са школском 2022/2023. годином у подручју рада Машинство и обрада метала за образовни профил техничар грејања и климатизације, у четворогодишњем трајању, стичу образовање по правилнику из члана 1. став 1. овог правилника, најкасније до краја школске 2026/2027. године.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Члан 3.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гласнику", а примењује се од школске 2023/2024. године.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bookmarkStart w:id="1" w:name="_GoBack"/>
      <w:bookmarkEnd w:id="1"/>
      <w:r w:rsidRPr="00B9267E">
        <w:rPr>
          <w:rFonts w:ascii="Verdana" w:hAnsi="Verdana" w:cs="Verdana"/>
          <w:sz w:val="22"/>
          <w:szCs w:val="22"/>
          <w:lang w:eastAsia="sr-Latn-RS"/>
        </w:rPr>
        <w:pict>
          <v:shape id="Picture 1" o:spid="_x0000_i1030" type="#_x0000_t75" style="width:450.75pt;height:343.5pt;visibility:visible;mso-wrap-style:square">
            <v:imagedata r:id="rId8" o:title=""/>
          </v:shape>
        </w:pic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Подела одељења у групе за реализацију по дуалном моделу образовања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3"/>
        <w:gridCol w:w="2120"/>
        <w:gridCol w:w="1360"/>
        <w:gridCol w:w="1707"/>
        <w:gridCol w:w="1376"/>
        <w:gridCol w:w="1295"/>
        <w:gridCol w:w="1446"/>
      </w:tblGrid>
      <w:tr w:rsidR="00B9267E" w:rsidRPr="00B9267E" w:rsidTr="00066F61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предмет/модул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годишњи фонд часова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број ученика у групи -до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Техничко цртање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Машински елементи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Електротехника и електроника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Технологија машинске обраде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Техника мерења и аутоматизације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Постројења за грејање и хлађење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Постројења за вентилацију и климатизацију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Постројења за грејање и хлађење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Постројења за вентилацију и климатизацију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Аутоматизација постројења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Предузетништво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ТЕХНИКА МЕРЕЊА И АУТОМАТИЗАЦИЈЕ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90"/>
        <w:gridCol w:w="1740"/>
        <w:gridCol w:w="1134"/>
        <w:gridCol w:w="1445"/>
        <w:gridCol w:w="1256"/>
        <w:gridCol w:w="1540"/>
        <w:gridCol w:w="1962"/>
      </w:tblGrid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140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ПОСТРОЈЕЊА ЗА ГРЕЈАЊЕ И ХЛАЂЕЊЕ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90"/>
        <w:gridCol w:w="1390"/>
        <w:gridCol w:w="1484"/>
        <w:gridCol w:w="1445"/>
        <w:gridCol w:w="1256"/>
        <w:gridCol w:w="1540"/>
        <w:gridCol w:w="1962"/>
      </w:tblGrid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ПОСТРОЈЕЊА ЗА ГРЕЈАЊЕ И ХЛАЂЕЊЕ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1462"/>
        <w:gridCol w:w="1206"/>
        <w:gridCol w:w="1517"/>
        <w:gridCol w:w="1328"/>
        <w:gridCol w:w="1658"/>
        <w:gridCol w:w="1730"/>
      </w:tblGrid>
      <w:tr w:rsidR="00B9267E" w:rsidRPr="00B9267E" w:rsidTr="00066F61">
        <w:trPr>
          <w:trHeight w:val="45"/>
          <w:tblCellSpacing w:w="0" w:type="auto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2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ПОСТРОЈЕЊА ЗА ВЕНТИЛАЦИЈУ И КЛИМАТИЗАЦИЈУ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90"/>
        <w:gridCol w:w="1390"/>
        <w:gridCol w:w="1484"/>
        <w:gridCol w:w="1445"/>
        <w:gridCol w:w="1256"/>
        <w:gridCol w:w="1540"/>
        <w:gridCol w:w="1962"/>
      </w:tblGrid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ПОСТРОЈЕЊА ЗА ВЕНТИЛАЦИЈУ И КЛИМАТИЗАЦИЈУ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1462"/>
        <w:gridCol w:w="1206"/>
        <w:gridCol w:w="1517"/>
        <w:gridCol w:w="1328"/>
        <w:gridCol w:w="1658"/>
        <w:gridCol w:w="1730"/>
      </w:tblGrid>
      <w:tr w:rsidR="00B9267E" w:rsidRPr="00B9267E" w:rsidTr="00066F61">
        <w:trPr>
          <w:trHeight w:val="45"/>
          <w:tblCellSpacing w:w="0" w:type="auto"/>
        </w:trPr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2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ПРАКТИЧНА НАСТАВА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8"/>
        <w:gridCol w:w="1373"/>
        <w:gridCol w:w="1116"/>
        <w:gridCol w:w="1437"/>
        <w:gridCol w:w="1576"/>
        <w:gridCol w:w="1848"/>
        <w:gridCol w:w="1919"/>
      </w:tblGrid>
      <w:tr w:rsidR="00B9267E" w:rsidRPr="00B9267E" w:rsidTr="00066F61">
        <w:trPr>
          <w:trHeight w:val="45"/>
          <w:tblCellSpacing w:w="0" w:type="auto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270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ПРАКТИЧНА НАСТАВА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43"/>
        <w:gridCol w:w="1357"/>
        <w:gridCol w:w="1099"/>
        <w:gridCol w:w="1437"/>
        <w:gridCol w:w="1547"/>
        <w:gridCol w:w="1806"/>
        <w:gridCol w:w="1878"/>
      </w:tblGrid>
      <w:tr w:rsidR="00B9267E" w:rsidRPr="00B9267E" w:rsidTr="00066F61">
        <w:trPr>
          <w:trHeight w:val="45"/>
          <w:tblCellSpacing w:w="0" w:type="auto"/>
        </w:trPr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270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Pr="00B9267E" w:rsidRDefault="00B9267E" w:rsidP="00B9267E">
      <w:pPr>
        <w:spacing w:after="120" w:line="276" w:lineRule="auto"/>
        <w:contextualSpacing w:val="0"/>
        <w:jc w:val="center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b/>
          <w:noProof w:val="0"/>
          <w:color w:val="000000"/>
          <w:sz w:val="22"/>
          <w:szCs w:val="22"/>
          <w:lang w:val="en-US"/>
        </w:rPr>
        <w:t>Назив предмета: ПРАКТИЧНА НАСТАВА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1.2. ПРЕМА НАСТАВНОМ ПЛАНУ И ПРОГРАМУ - ДУАЛНО ОБРАЗОВАЊЕ</w:t>
      </w:r>
      <w:r w:rsidRPr="00B9267E">
        <w:rPr>
          <w:rFonts w:ascii="Verdana" w:hAnsi="Verdana" w:cs="Verdana"/>
          <w:noProof w:val="0"/>
          <w:color w:val="000000"/>
          <w:sz w:val="22"/>
          <w:szCs w:val="22"/>
          <w:vertAlign w:val="superscript"/>
          <w:lang w:val="en-US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00"/>
        <w:gridCol w:w="1351"/>
        <w:gridCol w:w="1092"/>
        <w:gridCol w:w="1437"/>
        <w:gridCol w:w="1536"/>
        <w:gridCol w:w="1790"/>
        <w:gridCol w:w="1861"/>
      </w:tblGrid>
      <w:tr w:rsidR="00B9267E" w:rsidRPr="00B9267E" w:rsidTr="00066F61">
        <w:trPr>
          <w:trHeight w:val="45"/>
          <w:tblCellSpacing w:w="0" w:type="auto"/>
        </w:trPr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УЧЕЊЕ КРОЗ РАД*</w:t>
            </w:r>
          </w:p>
        </w:tc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67E" w:rsidRPr="00B9267E" w:rsidRDefault="00B9267E" w:rsidP="00B9267E">
            <w:pPr>
              <w:spacing w:after="20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</w:p>
        </w:tc>
      </w:tr>
      <w:tr w:rsidR="00B9267E" w:rsidRPr="00B9267E" w:rsidTr="00066F61">
        <w:trPr>
          <w:trHeight w:val="45"/>
          <w:tblCellSpacing w:w="0" w:type="auto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67E" w:rsidRPr="00B9267E" w:rsidRDefault="00B9267E" w:rsidP="00B9267E">
            <w:pPr>
              <w:spacing w:after="150" w:line="276" w:lineRule="auto"/>
              <w:contextualSpacing w:val="0"/>
              <w:rPr>
                <w:rFonts w:ascii="Verdana" w:hAnsi="Verdana" w:cs="Verdana"/>
                <w:noProof w:val="0"/>
                <w:sz w:val="22"/>
                <w:szCs w:val="22"/>
                <w:lang w:val="en-US"/>
              </w:rPr>
            </w:pPr>
            <w:r w:rsidRPr="00B9267E">
              <w:rPr>
                <w:rFonts w:ascii="Verdana" w:hAnsi="Verdana" w:cs="Verdana"/>
                <w:noProof w:val="0"/>
                <w:color w:val="000000"/>
                <w:sz w:val="22"/>
                <w:szCs w:val="22"/>
                <w:lang w:val="en-US"/>
              </w:rPr>
              <w:t>246</w:t>
            </w:r>
          </w:p>
        </w:tc>
      </w:tr>
    </w:tbl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2 Уколико се програм реализује у складу са Законом о дуалном образовању</w:t>
      </w:r>
    </w:p>
    <w:p w:rsidR="00B9267E" w:rsidRPr="00B9267E" w:rsidRDefault="00B9267E" w:rsidP="00B9267E">
      <w:pPr>
        <w:spacing w:after="150" w:line="276" w:lineRule="auto"/>
        <w:contextualSpacing w:val="0"/>
        <w:rPr>
          <w:rFonts w:ascii="Verdana" w:hAnsi="Verdana" w:cs="Verdana"/>
          <w:noProof w:val="0"/>
          <w:sz w:val="22"/>
          <w:szCs w:val="22"/>
          <w:lang w:val="en-US"/>
        </w:rPr>
      </w:pPr>
      <w:r w:rsidRPr="00B9267E">
        <w:rPr>
          <w:rFonts w:ascii="Verdana" w:hAnsi="Verdana" w:cs="Verdana"/>
          <w:noProof w:val="0"/>
          <w:color w:val="000000"/>
          <w:sz w:val="22"/>
          <w:szCs w:val="22"/>
          <w:lang w:val="en-US"/>
        </w:rPr>
        <w:t>* Потребно је да школа и послодавац детаљно испланирају и утврде место и начин реализације исхода, и унесу их у план реализације учења кроз рад. Наставник/инструктор проверава да ли је послодавац извршио процену ризика на радном месту на коме раде млади и да ли је извео уводну обуку младих о безбедности и здрављу на раду.</w:t>
      </w:r>
    </w:p>
    <w:p w:rsidR="00B9267E" w:rsidRDefault="00B9267E" w:rsidP="00D70371"/>
    <w:sectPr w:rsidR="00B9267E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C9" w:rsidRDefault="003207C9" w:rsidP="00517A41">
      <w:r>
        <w:separator/>
      </w:r>
    </w:p>
  </w:endnote>
  <w:endnote w:type="continuationSeparator" w:id="0">
    <w:p w:rsidR="003207C9" w:rsidRDefault="003207C9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3207C9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C9" w:rsidRDefault="003207C9" w:rsidP="00517A41">
      <w:r>
        <w:separator/>
      </w:r>
    </w:p>
  </w:footnote>
  <w:footnote w:type="continuationSeparator" w:id="0">
    <w:p w:rsidR="003207C9" w:rsidRDefault="003207C9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7035C"/>
    <w:rsid w:val="00192081"/>
    <w:rsid w:val="001C11FA"/>
    <w:rsid w:val="00210077"/>
    <w:rsid w:val="00223195"/>
    <w:rsid w:val="00251BA3"/>
    <w:rsid w:val="003207C9"/>
    <w:rsid w:val="003960C1"/>
    <w:rsid w:val="003C4BB6"/>
    <w:rsid w:val="003D018B"/>
    <w:rsid w:val="003F62EB"/>
    <w:rsid w:val="0044547E"/>
    <w:rsid w:val="004F4265"/>
    <w:rsid w:val="005029F7"/>
    <w:rsid w:val="00517A41"/>
    <w:rsid w:val="00540D02"/>
    <w:rsid w:val="00596ED1"/>
    <w:rsid w:val="005D5F4F"/>
    <w:rsid w:val="005D6DF1"/>
    <w:rsid w:val="005F6DF4"/>
    <w:rsid w:val="00606197"/>
    <w:rsid w:val="00643E74"/>
    <w:rsid w:val="006C26FD"/>
    <w:rsid w:val="00866723"/>
    <w:rsid w:val="008C521C"/>
    <w:rsid w:val="00905917"/>
    <w:rsid w:val="00932A9A"/>
    <w:rsid w:val="00944E3C"/>
    <w:rsid w:val="0097497D"/>
    <w:rsid w:val="00A31AF5"/>
    <w:rsid w:val="00A43155"/>
    <w:rsid w:val="00B771CB"/>
    <w:rsid w:val="00B846DF"/>
    <w:rsid w:val="00B9267E"/>
    <w:rsid w:val="00C40AD5"/>
    <w:rsid w:val="00D70371"/>
    <w:rsid w:val="00E216EE"/>
    <w:rsid w:val="00E25874"/>
    <w:rsid w:val="00EB16F2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38667DB3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2023-10-26T19:41:00Z</dcterms:created>
  <dcterms:modified xsi:type="dcterms:W3CDTF">2023-10-26T19:43:00Z</dcterms:modified>
</cp:coreProperties>
</file>