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9"/>
        <w:gridCol w:w="9707"/>
      </w:tblGrid>
      <w:tr w:rsidR="00D13326" w:rsidRPr="00025D8B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025D8B" w:rsidRDefault="0071590D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10182B" w:rsidRPr="00F528DF" w:rsidRDefault="0071590D" w:rsidP="0010182B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71590D">
              <w:rPr>
                <w:color w:val="FFE599"/>
              </w:rPr>
              <w:t>АКЦИОНИ ПЛАН</w:t>
            </w:r>
          </w:p>
          <w:p w:rsidR="00D13326" w:rsidRPr="00025D8B" w:rsidRDefault="0071590D" w:rsidP="00ED16B6">
            <w:pPr>
              <w:pStyle w:val="NASLOVBELO"/>
            </w:pPr>
            <w:r w:rsidRPr="0071590D">
              <w:rPr>
                <w:lang w:val="sr-Cyrl-RS"/>
              </w:rPr>
              <w:t>ЗА СПРОВОЂЕЊЕ СТРАТЕГИЈЕ РАЗВОЈА ДИГИТАЛНИХ ВЕШТИНА У РЕПУБЛИЦИ СРБИЈИ ЗА ПЕРИОД ОД 2020. ДО 2024. ГОДИНЕ, У ПЕРИОДУ ОД 2023. ДО 2024. ГОДИНЕ</w:t>
            </w:r>
          </w:p>
          <w:p w:rsidR="00D13326" w:rsidRPr="00025D8B" w:rsidRDefault="00AB1B9B" w:rsidP="00F528DF">
            <w:pPr>
              <w:pStyle w:val="podnaslovpropisa"/>
              <w:rPr>
                <w:sz w:val="18"/>
                <w:szCs w:val="18"/>
              </w:rPr>
            </w:pPr>
            <w:r w:rsidRPr="00AB1B9B">
              <w:rPr>
                <w:sz w:val="18"/>
                <w:szCs w:val="18"/>
              </w:rPr>
              <w:t xml:space="preserve">("Sl. glasnik RS", br. </w:t>
            </w:r>
            <w:r w:rsidR="00F528DF">
              <w:rPr>
                <w:sz w:val="18"/>
                <w:szCs w:val="18"/>
                <w:lang w:val="sr-Cyrl-RS"/>
              </w:rPr>
              <w:t>8</w:t>
            </w:r>
            <w:r w:rsidRPr="00AB1B9B">
              <w:rPr>
                <w:sz w:val="18"/>
                <w:szCs w:val="18"/>
              </w:rPr>
              <w:t>/2023)</w:t>
            </w:r>
          </w:p>
        </w:tc>
      </w:tr>
    </w:tbl>
    <w:p w:rsidR="00497C37" w:rsidRDefault="00497C37" w:rsidP="00497C37">
      <w:pPr>
        <w:rPr>
          <w:rFonts w:ascii="Arial" w:hAnsi="Arial" w:cs="Arial"/>
        </w:rPr>
      </w:pPr>
    </w:p>
    <w:p w:rsidR="0071590D" w:rsidRPr="0071590D" w:rsidRDefault="0071590D" w:rsidP="0071590D">
      <w:pPr>
        <w:spacing w:after="225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АКЦИОНИ ПЛАН</w:t>
      </w:r>
    </w:p>
    <w:p w:rsidR="0071590D" w:rsidRPr="0071590D" w:rsidRDefault="0071590D" w:rsidP="0071590D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за спровођење Стратегије развоја дигиталних вештина у Републици Србији за период од 2020. до 2024. године, у периоду од 2023. до 2024. године</w:t>
      </w:r>
    </w:p>
    <w:p w:rsidR="0071590D" w:rsidRPr="0071590D" w:rsidRDefault="0071590D" w:rsidP="0071590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I. УВОД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Акциони план за примену Стратегије развоја дигиталних вештина у Републици Србији за период од 2020. до 2024. године у периоду од 2023. до 2024. године (у даљем тексту: Акциони план), представља документ јавне политике који се доноси ради операционализације и остваривања општег и посебних циљева предвиђених Стратегијом развоја дигиталних вештина у Републици Србији за период од 2020. до 2024. године („Службени гласник РС”, број 21/20).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Општи циљ Стратегије развоја дигиталних вештина у Републици Србији за период од 2020. до 2024. године (у даљем тексту: Стратегија) је унапређење дигиталних знања и вештина свих грађана, укључујући припаднике осетљивих друштвених група, ради омогућавања праћења развоја информационо-комуникационих технологија у свим областима и обезбеђивања потреба привреде и тржишта рада, док су као посебни циљеви истакнути: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1. Унапређивање дигиталних компетенција у образовном систему;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2. Унапређење основних и напредних дигиталних вештина за све грађане;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3. Развој дигиталних вештина у односу на потребе тржиште рада;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4. Целоживотно учење ИКТ стручњака.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Стратегијом су предвиђене следеће мере за постизање циљева: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– За посебни циљ 1 Унапређивање дигиталних компетенција у образовном систему: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Обезбеђивање услова за учење и стицање дигиталних компетенција у образовном систему,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Унапређивање планова и програма наставе и учења у циљу стицања дигиталних компетенција у предуниверзитетском образовању;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– За посебни циљ 2 Унапређење основних и напредних дигиталних вештина за све грађане: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Обезбеђивање услова за развој различитих нивоа дигиталних вештина за грађане,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Акредитација програма обука за развој дигиталних вештина грађана уз развој модела повећаног приступа грађанима који припадају осетљивим категоријама, попут старијих, особа са инвалидитетом и сиромашних грађана или лица из руралних подручја, као и смањивање родних разлика и неједнакости у развоју дигиталних вештина,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3) Подизање свести грађана о потреби усвајања дигиталних вештина,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4) Унапређење дигиталних вештина за грађане на нивоу локалне самоуправе;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lastRenderedPageBreak/>
        <w:t>– За посебни циљ 3 Развој дигиталних вештина у односу на потребе тржиште рада: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Задовољавање потреба тржишта рада за дигиталним вештинама на свим нивоима и промоција могућности у ИКТ сектору,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Креирање и спровођење мера активне политике запошљавања у односу на ефекте у области ИКТ,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3) Унапређење сарадње између релевантних институција,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4) Развој дигиталних вештина запослених, укључујући запослене у јавној управи, са фокусом на дигиталне вештине које су повезане са специфичностима радног места;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– За посебни циљ 4 Целоживотно учење ИКТ стручњака: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Праћење потреба привреде и ИКТ сектора,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Праћење броја младих, посебно жена, које се образују и обучавају за ИКТ занимања,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3) Подизање истраживачких капацитета у ИКТ области,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4) Унапређење вештина ИКТ стручњака и промоција целоживотног учења.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Акционим планом у оквиру сваке наведене мере предвиђене су активности, утврђени носиоци активности, партнери у реализацији, као и рокови за њихову реализацију.</w:t>
      </w:r>
    </w:p>
    <w:p w:rsidR="0071590D" w:rsidRPr="0071590D" w:rsidRDefault="0071590D" w:rsidP="0071590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II. МЕТОДОЛОГИЈА ИЗРАДЕ АКЦИОНОГ ПЛАНА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На предлог Министарства трговине туризма и телекомуникација, Влада је усвојила Стратегију развоја дигиталних вештина у Републици Србији за период од 2020. до 2024. године. У припреми овог стратешког документа, кроз рад у Радној групи за израду Предлога стратегије, учествовали су, поред представника ресорног министарства, представници Министарства просвете, науке и технолошког развоја, Министарства културе и информисања, Министарства државне управе и локалне самоуправе, Канцеларије за информационе технологије и електронску управу, Повереника за заштиту равноправности, стручне јавности – Српске академије наука и уметности, Истраживачке станице Петница, Електротехничког факултета и Филолошког факултета Универзизета у Београду и Математичке гимназије, као и представници других органа и организација, стручне и академске заједнице и цивилног сектора кроз учешће у раду фокус групе која је окупила заинтересоване стране у овој области.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Након усвајања Стратегије, односно током израде овог акционог плана, надлежно Министарство се обратило органима државне управе и другим вршиоцима јавне власти који су Стратегијом дефинисани као надлежни или препознати као потенцијални партнери за реализацију овог стратешког документа (Министарство за рад, запошљавање, борачка и социјална питања, Министарство просвете, Министарство културе, Завод за унапређивање образовања и васпитања, Завод за вредновање квалитета образовања и васпитања, Министарство унутрашње и спољне трговине, Републички завод за статистику, Канцеларија за дуално образовање и Национални оквир квалификација, Агенција за квалификације, Регулаторна агенција за електронске комуникације и поштанске услуге, Канцеларија за информационе технологије и електронску управу, Повереник за заштиту равноправности, Повереник за информације од јавног значаја и заштиту података о личности, Републички секретаријат за јавне политике, Национална служба за запошљавање, Академска мрежа Републике Србије и Национална академија за јавну управу) са захтевом да у циљу израде Акционог плана, обавесте ресорно министарство које мере и активности утврђене Стратегијом ће спроводити у периоду 2023–2024. године, уз могућност да, поред дефинисаних, надлежни органи предложе и друге активности из своје надлежности чије спровођење би допринело остварењу стратешких циљева и утврђених мера. У складу са одговорима/прилозима добијеним од стране надлежних органа, као и кроз непосредну комуникацију и координацију са представницима надлежних органа сачињен је Акциони план за спровођење Стратегије, за период 2023–2024. године.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На основу стратешког оквира и прибављених предлога надлежних органа јавне управе, уз преглед примера добре праксе из земаља региона и земаља Европске уније, Министарство информисања и телекомуникација израдило је Акциони план за потребе спровођења Стратегије. Због протека времена од момента доношења Стратегије до доношења Акционог плана, поједини показатељи утврђени Стратегијом су у извесној мери морали да буду измењени како би били прилагођени постојећем стању насталом услед спровођења стратешког оквира и ради адекватнијег приказа оствареног напретка. У том смислу, активности утврђене Стратегијом су додатно разрађене и прецизиране како би у потпуности одговориле реализацији циљева у преосталом периоду важења овог документа.</w:t>
      </w:r>
    </w:p>
    <w:p w:rsidR="0071590D" w:rsidRPr="0071590D" w:rsidRDefault="0071590D" w:rsidP="0071590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III. КОНСУЛТАЦИЈЕ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Припреми и изради садржине Акционог плана претходила је консултативна сарадња са представницима надлежних органа, међународних организација и организација цивилног друштва које спроводе пројекте, програме и активности у областима развоја дигиталних вештина и дигиталне и медијске писмености. Динамика и обим консултативних процеса спроведени су путем онлајн састанака и састанака уживо у форми полуструктурираних интервјуа и прикупљањем писаних коментара. Консултације су спроведене са следећим партнерима: АФА Асоцијација, Привредна комора Србије, Мисија ОЕБС-а у Србији, Propulsion „Програм Нова писменост у партнерству са УСАИД Србија”, Математичка гимназија, Факултет организационих наука Универзитета у Београду, Електротехнички факултет Универзитета у Београду, Електронски факултет Универзитета у Нишу, Математички факултет Универзитета у Београду, Саобраћајни факултет Универзитета у Београду, Иницијатива Дигитална Србија, УНИЦЕФ, НАЛЕД, Сазнај и разазнај IREX у Србији, Партнери Србијa, Швајцарска амбасада у Републици Србији, Фонд за иновациону делатност Републике Србије, Фондација Мрежа за сајбер безбедност, УНДП и Светска банка.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Нацрт акционог плана био је изложен увиду јавности у периоду трајања јавне расправе од 8. до 28. децембра 2022. године (Закључак Одбора за привреду и финансије Владе 05 број 090-10160/2022 од 7. децембра 2022. године) на веб страници Министарства информисања и телекомуникација и на порталу е-Консултације. Дана 16. децембра 2022. године одржан је и округли сто са заинтересованим учесницима путем видеоконференцијске везе.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Процес консултација спроведен је у складу са Законом о планском систему Републике Србије („Службени гласник РС”, број 30/18), и то чланом 34. којим је, између осталог, прописано да је током израде докумената јавних политика потребно обезбедити учешће заинтересованих страна и циљних група из реда привредних субјеката, струковних и других организација, као и представника државних органа и осталих учесника у планском систему који спроводе или у односу на које се спроводи та политика.</w:t>
      </w:r>
    </w:p>
    <w:p w:rsidR="0071590D" w:rsidRPr="0071590D" w:rsidRDefault="0071590D" w:rsidP="0071590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IV. ПРОЦЕНА ФИНАНСИЈСКИХ СРЕДСТАВА НЕОПХОДНИХ ЗА СПРОВОЂЕЊЕ АКЦИОНОГ ПЛАНА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Средства за реализацију Акционог плана у 2023. години обезбеђена су Законом o буџету Републике Србије за 2023. годину („Службени гласник РС”, број 138/22) на разделу 38 – Министарство информисања и телекомуникација, Програм 0703 – Телекомуникације и информационо друштво, Функција 460 – Комуникације, Програмска активност 0008 – Развој информационог друштва. Део активности биће реализован из средстава обезбеђених из кредита Европске банке за обнову и развој (EBRD) и Европске инвестиционе банке (EIB), као и из бесповратних инвестиционих средстава добијених из Инвестиционог оквира за Западни Балкан (WBIF) намењених реализацији пројеката изградње широкопојасне комуникационе инфраструктуре у руралним пределима и развоју ИКТ инфраструктуре у установама образовања, науке и културе. Средства за реализацију Акционог плана у 2024. години биће планирана приликом израде буџета за 2024. годину у оквиру датих лимита на разделу Министарства информисања и телекомуникација. Исти кредитни извори и бесповратна средства биће на располагању и за реализацију одређених активности предвиђених у 2024. години. У тренутку доношења акционог плана не постоји уговорена директна донаторска подршка за спровођење активности.</w:t>
      </w:r>
    </w:p>
    <w:p w:rsidR="0071590D" w:rsidRPr="0071590D" w:rsidRDefault="0071590D" w:rsidP="0071590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ПРЕГЛЕД СКРАЋЕНИЦА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АЗК – Агенција за квалификације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АМРЕС – Академска мрежа Републике Србије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ЕТФ БУ – Електротехнички факултет Универзитета у Београду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ЕФ НИШ – Електронски факултет Универзитета у Нишу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ЗВКОВ – Завод за вредновање квалитета образовања и васпитања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ЗУОВ – Завод за унапређењивање образовања и васпитања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КДОНОК – Канцеларија за дуално образовање и Национални оквир квалификација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КЕУ – Канцеларија за информационе технологије и електронску управу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МИТ – Министарство информисања и телекомуникација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МК – Министарство културе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МП – Министарство просвете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МРЗБСП – Министарство за рад, запошљавање, борачка и социјална питања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МУСТ – Министарство унутрашње и спољне трговине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МФ БУ – Математички факултет Универзитета у Београду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НАЛЕД – Национална алијанса за локални економски развој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НАПА – Национална академија за јавну управу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НЗС – Национална служба за запошљавање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ОЕБС – Мисија ОЕБС-а у Србији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ПКС – Привредна комора Србије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РАТЕЛ – Регулаторна агенција за електронске комуникације и поштанске услуге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РЗС – Републички завод за статистику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РСЈП – Републички секретаријат за јавне политике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СВИКТЕАЕ – Секторско веће за сектор информационих и комуникационих технологија, електротехнике, аутоматике и електронике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СВСПА – Секторско веће за сектор пословне администрације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СФ БУ – Саобраћајни факултет Универзитета у Београду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УНДП – Програм за развој Уједињених нација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УНИЦЕФ – Дечји фонд Уједињених нација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ФОН БУ – Факултет организационих наука Универзитета у Београду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_x0000_i1060" type="#_x0000_t75" style="width:451.5pt;height:321pt;visibility:visible;mso-wrap-style:square">
            <v:imagedata r:id="rId7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2" o:spid="_x0000_i1059" type="#_x0000_t75" style="width:451.5pt;height:321pt;visibility:visible;mso-wrap-style:square">
            <v:imagedata r:id="rId8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3" o:spid="_x0000_i1058" type="#_x0000_t75" style="width:451.5pt;height:321pt;visibility:visible;mso-wrap-style:square">
            <v:imagedata r:id="rId9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4" o:spid="_x0000_i1057" type="#_x0000_t75" style="width:451.5pt;height:321pt;visibility:visible;mso-wrap-style:square">
            <v:imagedata r:id="rId10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5" o:spid="_x0000_i1056" type="#_x0000_t75" style="width:451.5pt;height:321pt;visibility:visible;mso-wrap-style:square">
            <v:imagedata r:id="rId11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6" o:spid="_x0000_i1055" type="#_x0000_t75" style="width:451.5pt;height:321pt;visibility:visible;mso-wrap-style:square">
            <v:imagedata r:id="rId12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7" o:spid="_x0000_i1054" type="#_x0000_t75" style="width:451.5pt;height:321pt;visibility:visible;mso-wrap-style:square">
            <v:imagedata r:id="rId13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8" o:spid="_x0000_i1053" type="#_x0000_t75" style="width:451.5pt;height:321pt;visibility:visible;mso-wrap-style:square">
            <v:imagedata r:id="rId14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9" o:spid="_x0000_i1052" type="#_x0000_t75" style="width:451.5pt;height:321pt;visibility:visible;mso-wrap-style:square">
            <v:imagedata r:id="rId15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10" o:spid="_x0000_i1051" type="#_x0000_t75" style="width:451.5pt;height:321pt;visibility:visible;mso-wrap-style:square">
            <v:imagedata r:id="rId16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11" o:spid="_x0000_i1050" type="#_x0000_t75" style="width:451.5pt;height:321pt;visibility:visible;mso-wrap-style:square">
            <v:imagedata r:id="rId17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12" o:spid="_x0000_i1049" type="#_x0000_t75" style="width:451.5pt;height:321pt;visibility:visible;mso-wrap-style:square">
            <v:imagedata r:id="rId18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13" o:spid="_x0000_i1048" type="#_x0000_t75" style="width:451.5pt;height:321pt;visibility:visible;mso-wrap-style:square">
            <v:imagedata r:id="rId19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14" o:spid="_x0000_i1047" type="#_x0000_t75" style="width:451.5pt;height:321pt;visibility:visible;mso-wrap-style:square">
            <v:imagedata r:id="rId20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15" o:spid="_x0000_i1046" type="#_x0000_t75" style="width:451.5pt;height:321pt;visibility:visible;mso-wrap-style:square">
            <v:imagedata r:id="rId21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16" o:spid="_x0000_i1045" type="#_x0000_t75" style="width:451.5pt;height:321pt;visibility:visible;mso-wrap-style:square">
            <v:imagedata r:id="rId22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17" o:spid="_x0000_i1044" type="#_x0000_t75" style="width:451.5pt;height:321pt;visibility:visible;mso-wrap-style:square">
            <v:imagedata r:id="rId23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18" o:spid="_x0000_i1043" type="#_x0000_t75" style="width:451.5pt;height:321pt;visibility:visible;mso-wrap-style:square">
            <v:imagedata r:id="rId24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19" o:spid="_x0000_i1042" type="#_x0000_t75" style="width:451.5pt;height:321pt;visibility:visible;mso-wrap-style:square">
            <v:imagedata r:id="rId25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20" o:spid="_x0000_i1041" type="#_x0000_t75" style="width:451.5pt;height:321pt;visibility:visible;mso-wrap-style:square">
            <v:imagedata r:id="rId26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21" o:spid="_x0000_i1040" type="#_x0000_t75" style="width:451.5pt;height:321pt;visibility:visible;mso-wrap-style:square">
            <v:imagedata r:id="rId27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22" o:spid="_x0000_i1039" type="#_x0000_t75" style="width:451.5pt;height:321pt;visibility:visible;mso-wrap-style:square">
            <v:imagedata r:id="rId28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23" o:spid="_x0000_i1038" type="#_x0000_t75" style="width:451.5pt;height:321pt;visibility:visible;mso-wrap-style:square">
            <v:imagedata r:id="rId29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24" o:spid="_x0000_i1037" type="#_x0000_t75" style="width:451.5pt;height:321pt;visibility:visible;mso-wrap-style:square">
            <v:imagedata r:id="rId30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25" o:spid="_x0000_i1036" type="#_x0000_t75" style="width:451.5pt;height:321pt;visibility:visible;mso-wrap-style:square">
            <v:imagedata r:id="rId31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26" o:spid="_x0000_i1035" type="#_x0000_t75" style="width:451.5pt;height:321pt;visibility:visible;mso-wrap-style:square">
            <v:imagedata r:id="rId32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27" o:spid="_x0000_i1034" type="#_x0000_t75" style="width:451.5pt;height:321pt;visibility:visible;mso-wrap-style:square">
            <v:imagedata r:id="rId33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28" o:spid="_x0000_i1033" type="#_x0000_t75" style="width:451.5pt;height:321pt;visibility:visible;mso-wrap-style:square">
            <v:imagedata r:id="rId34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29" o:spid="_x0000_i1032" type="#_x0000_t75" style="width:451.5pt;height:321pt;visibility:visible;mso-wrap-style:square">
            <v:imagedata r:id="rId35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30" o:spid="_x0000_i1031" type="#_x0000_t75" style="width:451.5pt;height:321pt;visibility:visible;mso-wrap-style:square">
            <v:imagedata r:id="rId36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31" o:spid="_x0000_i1030" type="#_x0000_t75" style="width:451.5pt;height:321pt;visibility:visible;mso-wrap-style:square">
            <v:imagedata r:id="rId37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32" o:spid="_x0000_i1029" type="#_x0000_t75" style="width:451.5pt;height:321pt;visibility:visible;mso-wrap-style:square">
            <v:imagedata r:id="rId38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33" o:spid="_x0000_i1028" type="#_x0000_t75" style="width:451.5pt;height:321pt;visibility:visible;mso-wrap-style:square">
            <v:imagedata r:id="rId39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34" o:spid="_x0000_i1027" type="#_x0000_t75" style="width:451.5pt;height:321pt;visibility:visible;mso-wrap-style:square">
            <v:imagedata r:id="rId40" o:title=""/>
          </v:shape>
        </w:pic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sz w:val="22"/>
          <w:szCs w:val="22"/>
          <w:lang w:eastAsia="sr-Latn-RS"/>
        </w:rPr>
        <w:pict>
          <v:shape id="Picture 35" o:spid="_x0000_i1026" type="#_x0000_t75" style="width:451.5pt;height:321pt;visibility:visible;mso-wrap-style:square">
            <v:imagedata r:id="rId41" o:title=""/>
          </v:shape>
        </w:pict>
      </w:r>
    </w:p>
    <w:p w:rsidR="0071590D" w:rsidRPr="0071590D" w:rsidRDefault="0071590D" w:rsidP="0071590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V. ЗАВРШНА ОДРЕДБА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Овај акциони план објавит</w:t>
      </w:r>
      <w:bookmarkStart w:id="0" w:name="_GoBack"/>
      <w:bookmarkEnd w:id="0"/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и на интернет страници Владе, на порталу е-Управа и на интернет страници Министарства информисања и телекомуникација, у року од седам радних дана од дана усвајања.</w:t>
      </w:r>
    </w:p>
    <w:p w:rsidR="0071590D" w:rsidRPr="0071590D" w:rsidRDefault="0071590D" w:rsidP="0071590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1590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Овај акциони план објавити у „Службеном гласнику Републике Србије”.</w:t>
      </w:r>
    </w:p>
    <w:p w:rsidR="0071590D" w:rsidRPr="0071590D" w:rsidRDefault="0071590D" w:rsidP="00497C37">
      <w:pPr>
        <w:rPr>
          <w:rFonts w:ascii="Arial" w:hAnsi="Arial" w:cs="Arial"/>
        </w:rPr>
      </w:pPr>
    </w:p>
    <w:sectPr w:rsidR="0071590D" w:rsidRPr="0071590D" w:rsidSect="00F528DF">
      <w:footerReference w:type="default" r:id="rId42"/>
      <w:pgSz w:w="12480" w:h="15710"/>
      <w:pgMar w:top="426" w:right="108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A4D" w:rsidRDefault="000B7A4D" w:rsidP="00562731">
      <w:r>
        <w:separator/>
      </w:r>
    </w:p>
  </w:endnote>
  <w:endnote w:type="continuationSeparator" w:id="0">
    <w:p w:rsidR="000B7A4D" w:rsidRDefault="000B7A4D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0B7A4D">
      <w:rPr>
        <w:caps/>
        <w:color w:val="5B9BD5"/>
      </w:rPr>
      <w:t>1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  <w:p w:rsidR="00FE29DB" w:rsidRDefault="00FE29D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A4D" w:rsidRDefault="000B7A4D" w:rsidP="00562731">
      <w:r>
        <w:separator/>
      </w:r>
    </w:p>
  </w:footnote>
  <w:footnote w:type="continuationSeparator" w:id="0">
    <w:p w:rsidR="000B7A4D" w:rsidRDefault="000B7A4D" w:rsidP="005627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5D8B"/>
    <w:rsid w:val="000B7A4D"/>
    <w:rsid w:val="000E5639"/>
    <w:rsid w:val="0010182B"/>
    <w:rsid w:val="001B1DDC"/>
    <w:rsid w:val="001C52F2"/>
    <w:rsid w:val="001D7C97"/>
    <w:rsid w:val="00251BA3"/>
    <w:rsid w:val="00272CDA"/>
    <w:rsid w:val="00295947"/>
    <w:rsid w:val="00320F84"/>
    <w:rsid w:val="00321F8B"/>
    <w:rsid w:val="0046728E"/>
    <w:rsid w:val="00497C37"/>
    <w:rsid w:val="004D039A"/>
    <w:rsid w:val="004F5E00"/>
    <w:rsid w:val="00562731"/>
    <w:rsid w:val="0071590D"/>
    <w:rsid w:val="00806E64"/>
    <w:rsid w:val="008B6CA7"/>
    <w:rsid w:val="008D5B2B"/>
    <w:rsid w:val="00944E3C"/>
    <w:rsid w:val="00A31AF5"/>
    <w:rsid w:val="00AB1B9B"/>
    <w:rsid w:val="00AB478F"/>
    <w:rsid w:val="00BF650E"/>
    <w:rsid w:val="00D13326"/>
    <w:rsid w:val="00D13EB0"/>
    <w:rsid w:val="00D43B88"/>
    <w:rsid w:val="00E354D5"/>
    <w:rsid w:val="00E35A2F"/>
    <w:rsid w:val="00E716AA"/>
    <w:rsid w:val="00ED16B6"/>
    <w:rsid w:val="00F528DF"/>
    <w:rsid w:val="00FE29DB"/>
    <w:rsid w:val="00FF2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7877E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1773</Words>
  <Characters>10111</Characters>
  <Application>Microsoft Office Word</Application>
  <DocSecurity>0</DocSecurity>
  <Lines>84</Lines>
  <Paragraphs>23</Paragraphs>
  <ScaleCrop>false</ScaleCrop>
  <Company/>
  <LinksUpToDate>false</LinksUpToDate>
  <CharactersWithSpaces>11861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2023-12-03T20:42:00Z</dcterms:created>
  <dcterms:modified xsi:type="dcterms:W3CDTF">2023-12-03T20:50:00Z</dcterms:modified>
</cp:coreProperties>
</file>