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"/>
        <w:gridCol w:w="10073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3D6F43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806E64" w:rsidRPr="00806E64" w:rsidRDefault="00497C37" w:rsidP="00806E64">
            <w:pPr>
              <w:pStyle w:val="NASLOVBELO"/>
              <w:spacing w:line="360" w:lineRule="auto"/>
              <w:rPr>
                <w:color w:val="FFE599"/>
              </w:rPr>
            </w:pPr>
            <w:r w:rsidRPr="00497C37">
              <w:rPr>
                <w:color w:val="FFE599"/>
              </w:rPr>
              <w:t>ПРАВИЛНИК</w:t>
            </w:r>
          </w:p>
          <w:p w:rsidR="006D6D76" w:rsidRDefault="003D6F43" w:rsidP="006D6D76">
            <w:pPr>
              <w:pStyle w:val="NASLOVBELO"/>
            </w:pPr>
            <w:r w:rsidRPr="003D6F43">
              <w:t>О УТВРЂИВАЊУ ПРОГРАМА МОНИТОРИНГА БЕЗБЕДНОСТИ ХРАНЕ ЗА 2021. ГОДИНУ</w:t>
            </w:r>
          </w:p>
          <w:p w:rsidR="00D13326" w:rsidRPr="008B2FAA" w:rsidRDefault="00806E64" w:rsidP="00E42669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 w:rsidR="00E42669">
              <w:rPr>
                <w:sz w:val="18"/>
                <w:szCs w:val="18"/>
              </w:rPr>
              <w:t>7</w:t>
            </w:r>
            <w:r w:rsidRPr="00806E64">
              <w:rPr>
                <w:sz w:val="18"/>
                <w:szCs w:val="18"/>
              </w:rPr>
              <w:t>/20</w:t>
            </w:r>
            <w:r w:rsidR="00497C37">
              <w:rPr>
                <w:sz w:val="18"/>
                <w:szCs w:val="18"/>
              </w:rPr>
              <w:t>2</w:t>
            </w:r>
            <w:r w:rsidR="006D6D76">
              <w:rPr>
                <w:sz w:val="18"/>
                <w:szCs w:val="18"/>
              </w:rPr>
              <w:t>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/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ПРОГРАМ</w:t>
      </w:r>
      <w:r w:rsidRPr="006557FD">
        <w:rPr>
          <w:rFonts w:ascii="Arial" w:hAnsi="Arial" w:cs="Arial"/>
          <w:noProof w:val="0"/>
          <w:sz w:val="20"/>
          <w:szCs w:val="20"/>
          <w:lang w:val="en-US"/>
        </w:rPr>
        <w:br/>
      </w: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МОНИТОРИНГА БЕЗБЕДНОСТИ ХРАНЕ ЗА 2021. ГОДИНУ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b/>
          <w:noProof w:val="0"/>
          <w:color w:val="000000"/>
          <w:sz w:val="20"/>
          <w:szCs w:val="20"/>
          <w:lang w:val="en-US"/>
        </w:rPr>
        <w:t>I. Потребна средства за финансирање Програма мониторинга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За спровођење Програма мониторинга средства су обезбеђена у буџету Републике Србије за 2021. годину, на разделу 27 – Министарство здравља, Програм 1801 – Уређење и надзор у области здравства, Програмска активност 0003 – Санитарни надзор, економска класификација 4</w:t>
      </w:r>
      <w:bookmarkStart w:id="0" w:name="_GoBack"/>
      <w:bookmarkEnd w:id="0"/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24 – Специјализоване услуге, у износу од 140.000.000 динара, од чега за Програм мониторинга хране у износу од 60.000.000 динара.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b/>
          <w:noProof w:val="0"/>
          <w:color w:val="000000"/>
          <w:sz w:val="20"/>
          <w:szCs w:val="20"/>
          <w:lang w:val="en-US"/>
        </w:rPr>
        <w:t>II. Мере које ће се предузети у случају присуства физичких, хемијских и биолошких контаминената и других неусаглашености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У случају да се утврди присуство физичких, хемијских и биолошких контаминената, односно неусаглашености са прописаним вредностима и других неусаглашености, надлежни орган спроводи и то: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1) активности како би се осигурало да субјекат у пословању храном исправи недостатак, узимајући у обзир природу неусаглашености и претходне случајеве неусаглашености истог субјекта у пословању;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2) мере, укључујући узимање службеног узорка, за које се сматра да су потребне како би се осигурала безбедност хране или усаглашеност са прописима о предметима опште употребе;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3) забране промета;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4) мере којима се привремено забрањује употреба објекта, просторија, опреме на одређени временски период;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5) друге мере и предузимају друге одговарајуће радње.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b/>
          <w:noProof w:val="0"/>
          <w:color w:val="000000"/>
          <w:sz w:val="20"/>
          <w:szCs w:val="20"/>
          <w:lang w:val="en-US"/>
        </w:rPr>
        <w:t>III. Структура органа и организација за спровођење програма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Програм мониторинга спроводи министарство надлежно за послове здравља преко института и завода за јавно здравље у сарадњи са санитарном инспекцијом. Лабораторијска испитивања из Програма мониторинга врше овлашћене лабораторије института и завода за јавно здравље.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b/>
          <w:noProof w:val="0"/>
          <w:color w:val="000000"/>
          <w:sz w:val="20"/>
          <w:szCs w:val="20"/>
          <w:lang w:val="en-US"/>
        </w:rPr>
        <w:t>IV. Други параметри од значаја за спровођење Програма мониторинга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i/>
          <w:noProof w:val="0"/>
          <w:color w:val="000000"/>
          <w:sz w:val="20"/>
          <w:szCs w:val="20"/>
          <w:lang w:val="en-US"/>
        </w:rPr>
        <w:t>1. План мониторинга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План мониторинга којим се одређује врста анализа, врста хране која ће се анализирати, број узорака који ће се користити приликом анализе, дат је у Табели 1 – План мониторинга.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b/>
          <w:noProof w:val="0"/>
          <w:color w:val="000000"/>
          <w:sz w:val="20"/>
          <w:szCs w:val="20"/>
          <w:lang w:val="en-US"/>
        </w:rPr>
        <w:t>Табела 1.</w:t>
      </w: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 xml:space="preserve"> План мониторинга хране за 2021. годину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782"/>
        <w:gridCol w:w="1408"/>
        <w:gridCol w:w="1793"/>
        <w:gridCol w:w="1438"/>
        <w:gridCol w:w="930"/>
        <w:gridCol w:w="522"/>
        <w:gridCol w:w="522"/>
        <w:gridCol w:w="522"/>
        <w:gridCol w:w="522"/>
        <w:gridCol w:w="2727"/>
      </w:tblGrid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bookmarkStart w:id="1" w:name="table002"/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Редни број</w:t>
            </w:r>
          </w:p>
        </w:tc>
        <w:tc>
          <w:tcPr>
            <w:tcW w:w="6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Предмет испитивања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Опасност</w:t>
            </w:r>
          </w:p>
        </w:tc>
        <w:tc>
          <w:tcPr>
            <w:tcW w:w="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Место узорковања</w:t>
            </w:r>
          </w:p>
        </w:tc>
        <w:tc>
          <w:tcPr>
            <w:tcW w:w="6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Укупан број узорака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Динамика узорковања по кварталима (К)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у 2021. години</w:t>
            </w:r>
          </w:p>
        </w:tc>
        <w:tc>
          <w:tcPr>
            <w:tcW w:w="7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b/>
                <w:noProof w:val="0"/>
                <w:color w:val="000000"/>
                <w:sz w:val="20"/>
                <w:szCs w:val="20"/>
                <w:lang w:val="en-US"/>
              </w:rPr>
              <w:t>Напомене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1.К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2.К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3.К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4.К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специфичне популационе групе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Почетне формуле за одојчад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Одступање од основног састава у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lastRenderedPageBreak/>
              <w:t>погледу макро- и микронутријената, неправилности у декларацији, одступање од максимално дозвољених концентрација контаминената, одступање од максимално дозвољених количина средстава за заштиту биља, глутен,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lastRenderedPageBreak/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212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Параметри испитивања су: провера декларације; садржај масти,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lastRenderedPageBreak/>
              <w:t>беланчевина, угљених хидрата;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енергетска вредност; садржај натријума, калијума, хлорида, калцијума, фосфора, магнезијума, гвожђа, цинка, бакра, селена, мангана; садржај витамина А, Д, тиамина, рибофлавина, ниацина, пантотенске киселине, витамина Б6, Ц, Е; садржај глутена; резидуе пестицида (Дисулфотон, Фенсулфотион, Фентин, Халоксифоп, Хептахлор и транс-хептахлор-епоксид, Хексахлорбензен, Нитрофен, Ометоат, Тербуфос, Алдрин и диелдрин, Ендрин, Кадузафос, Метил-С-деметон/-сулфон/-окси деметон, Етопрофос, Фипронил, Пропинеб/пропилентиоуреа), осталих пестицида; садржај олова, кадмијума, живе, арсена; садржај афлатоксина М1; сензорска својства; Salmonella spp; Listeria monocytogenes; Enterobacter sakazakii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специфичне популационе групе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2.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Прелазне формуле за одојчад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основног састава у погледу макро- и микронутријената, неправилности у декларацији, одступање од максимално дозвољених концентрација контаминената, одступање од максимално дозвољених количина средстава за заштиту биља, глутен,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садржај масти, беланчевина, угљених хидрата;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енергетска вредност; садржај натријума, калијума, хлорида, калцијума, фосфора, магнезијума, гвожђа, цинка, бакра, селена, мангана; садржај витамина А, Д, тиамина, рибофлавина, ниацина, пантотенске киселине, витамина Б6, Ц, Е; садржај глутена; резидуе пестицида (Дисулфотон, Фенсулфотион, Фентин, Халоксифоп, Хептахлор и транс-хептахлор-епоксид, Хексахлорбензен, Нитрофен, Ометоат, Тербуфос, Алдрин и диелдрин, Ендрин, Кадузафос, Метил-С-деметон/-сулфон/-окси деметон, Етопрофос, Фипронил, Пропинеб/пропилентиоуреа), осталих пестицида; садржај олова, кадмијума, живе, арсена; садржај афлатоксина М1; сензорска својства; Salmonella spp; Listeria monocytogenes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специфичне популационе групе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3а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одојчад и малу децу (прерађене намирнице на бази жита)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основног састава у погледу макро- и микронутријената, неправилности у декларацији, одступање од максимално дозвољених концентрација контаминената, глутен,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садржај масти, беланчевина, угљених хидрата, шећера; енергетска вредност; садржај натријума, калијума, магнезијума, гвожђа, цинка, бакра; садржај витамина А, Д, тиамина, рибофлавина, ниацина, пантотенске киселине, Б6, Ц, Е; садржај глутена; садржај олова, кадмијума, живе, арсена; садржај нитрата, нитрита, афлатоксина Б1, охратоксина А, патулина, деоксиниваленола, зеараленона, фумонизина; сензорска својства; Salmonella spp; Сулфиторедукујуће клостридије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3б</w:t>
            </w: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специфичне популационе групе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одојчад и малу децу (остале прерађене намиринице)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основног састава у погледу макро- и микронутријената, неправилности у декларацији, одступање од максимално дозвољених концентрација контаминената, глутен,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садржај масти, беланчевина, угљених хидрата, шећера; енергетска вредност; садржај натријума, калцијума, магнезијума, гвожђа, цинка, бакра; садржај витамина А, Д, тиамина, рибофлавина, ниацина, пантотенске киселине, витамина Б6, Ц, Е;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садржај глутена; садржај олова, кадмијума, живе, арсена; садржај нитрата, нитрита, афлатоксина Б1, охратоксина А, патулина, деоксиниваленола, зеараленона, фумонизина; сензорска својства; Salmonella spp; Listeria monocytogenes; Сулфиторедукујуће клостридије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специфичне популационе групе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4.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посебне медицинске намене (нутритивно потпуна)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основног састава у погледу макро- и микронутријената, неправилности у декларацији, одступање од максимално дозвољених концентрација контаминената,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садржај масти, беланчевина, угљених хидрата; енергетска вредност; садржај натријума, калијума, хлорида, калцијума, фосфора, магнезијума, гвожђа, цинка, бакра, селена, мангана; садржај витамина А, Д, тиамина, рибофлавина, ниацина, пантотенске киселине, витамина Б6, Ц, Е; садржај олова, кадмијума, живе, арсена; концентрација афлатоксина М1; сензорска својства; Salmonella spp; Listeria monocytogenes; Enterobacter sakazakii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са измењеним нутритивним саставом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5.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Храна за особе интолерантне на глутен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Садржај глутена, неправилности у декларацији, одступање од максимално дозвољених количина средстава за заштиту биља, одступање од максимално дозвољених концентрација контаминената,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сензорска својства; резидуе органофосфорних, органохлорних пестицида, триазина, осталих пестицида; садржај олова, кадмијума, живе, арсена; концентрације нитрата, нитрита, афлатоксина Б1, охратоксина А, деоксиниваленола, зеараленона; Salmonella spp.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Додаци исхрани (дијететски суплементи)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6а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Додаци исхрани (дијететски суплементи) витаминско-минералног састава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састава у односу на хранљиве или физиолошки активне компоненте,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неправилности у декларацији, одступање од максимално дозвољених концентрација контаминената,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400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сензорска својства; садржај декларисаних физиолошки активних компоненти; садржај олова, кадмијума, живе; Salmonella spp.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Додаци исхрани (дијететски суплементи)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6б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Додаци исхрани (дијететски суплементи) у чији састав улазе сировине биљног и животињског порекла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Неправилности у декларацији, одступање од максимално дозвољених концентрација контаминената, одступање од максимално дозвољених количина средстава за заштиту биља,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сензорска својства; резидуе органофосфорних, органохлорних пестицида, триазина, осталих пестицида; садржај олова, кадмијума, живе; Salmonella spp; Bacillus cereus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Со за исхрану људи и производњу хране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7.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Со за исхрану људи и производњу хране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основног састава, одступање од прописаног садржаја калијум јодида/јодата, неправилности у декларацији, неодговарајућа сензорска својства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600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сензорска својства; садржај натријум хлорида, калијум јодида/јодата; pH вредност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Прехрамбени адитиви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8.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Прехрамбени адитиви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спецификације, неправилности у декларацији,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максимално дозвољених концентрација контаминената,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сензорска својства; садржај олова, кадмијума, живе, арсена; остатак после жарења, индекс рефракције, садржај адитива/идентификација, губитак сушењем, релативна густина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Прехрамбене ароме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9.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Прехрамбене ароме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спецификације, неправилности у декларацији,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максимално дозвољених концентрација контаминената,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сензорска својства; садржај олова, кадмијума, живе, арсена; остатак после жарења, индекс рефракције, губитак сушењем, релативна густина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Нова храна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10.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Нова храна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Одступање од основног састава у погледу макронутријената, неправилност у декларацији, одступање од максимално дозвољених концентрација контаминената, неодговарајућа сензорска својства,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Параметри испитивања су: провера декларације; садржај масти, беланчевина, угљених хидрата;</w:t>
            </w:r>
          </w:p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енергетска вредност; садржај дијетних влакана; садржај олова, кадмијума; концентрација микотоксина по врсти намирнице; Salmonella spp; Listeria monocytogenes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11.</w:t>
            </w: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Вода за пиће у оригиналној амбалажи (природна минерална, природна изворска и стона вода)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Вода за пиће у оригиналној амбалажи (природна минерална, природна изворска и стона вода)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Неодговарајућа физичко-хемијска својства, одступање од максимално дозвољених концентрација контаминената, микробиолошка неисправност</w:t>
            </w:r>
          </w:p>
        </w:tc>
        <w:tc>
          <w:tcPr>
            <w:tcW w:w="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 xml:space="preserve">Малопродајни објекат </w:t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vertAlign w:val="superscript"/>
                <w:lang w:val="en-US"/>
              </w:rPr>
              <w:t>1,2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300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Садржај арсена, кадмијума, никла, живе; боја, мутноћа, мирис, pH вредност; садржај флуорида, нитрита, нитрата, цијанида, бисфенола А, фталата; Аеробне мезофилне бактерије на 36 0C; Аеробне мезофилне бактерије на 22 0C; Колиформне бактерије; Escherichia coli; Стрептокок фекалног порекла; Сулфиторедукујуће клостридије; Pseudomonas aeruginosa</w:t>
            </w:r>
          </w:p>
        </w:tc>
      </w:tr>
    </w:tbl>
    <w:bookmarkEnd w:id="1"/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1 Из малопродајног објекта се за потребе мониторинга може узорковати и храна увозног порекла и храна домаће производње;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2 Уколико се на територији области/округа на којој се спроводи мониторинг обавља производња ове хране, узорци се за потребе мониторинга могу узимати и из производње. Oднос између броја узорака узетих из промета и узетих из производње износи 80% према 20%, где је применљиво.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i/>
          <w:noProof w:val="0"/>
          <w:color w:val="000000"/>
          <w:sz w:val="20"/>
          <w:szCs w:val="20"/>
          <w:lang w:val="en-US"/>
        </w:rPr>
        <w:t>2. Услови и начин узимања и чувања узорка, лабораторијске методе и начин извештавања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2.1. Одређивање броја узорака, врсте испитивања и начина извештавања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Број узорака и врсту испитивања на нивоу управног округа, одређује надлежни орган у складу са Табелом 1. овог програма. Извештај о спровођењу Плана мониторинга доставља се надлежном органу на кварталном нивоу у форми збирне табеле чија је садржина дата у Табели 2 – Извештај о спровођењу Плана мониторинга, овог програма.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b/>
          <w:noProof w:val="0"/>
          <w:color w:val="000000"/>
          <w:sz w:val="20"/>
          <w:szCs w:val="20"/>
          <w:lang w:val="en-US"/>
        </w:rPr>
        <w:t>Табела 2</w:t>
      </w: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. Извештај о спровођењу Плана мониторинга хране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797"/>
        <w:gridCol w:w="1264"/>
        <w:gridCol w:w="1264"/>
        <w:gridCol w:w="1191"/>
        <w:gridCol w:w="1285"/>
        <w:gridCol w:w="1285"/>
        <w:gridCol w:w="1163"/>
        <w:gridCol w:w="1763"/>
        <w:gridCol w:w="1154"/>
      </w:tblGrid>
      <w:tr w:rsidR="006557FD" w:rsidRPr="006557FD" w:rsidTr="00EC730D">
        <w:trPr>
          <w:trHeight w:val="45"/>
          <w:tblCellSpacing w:w="0" w:type="auto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bookmarkStart w:id="2" w:name="table003"/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Р. бр. узорка</w:t>
            </w: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Датум</w:t>
            </w:r>
            <w:r w:rsidRPr="006557FD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br/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узорковања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Место узорковања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Назив и адреса субјекта у пословању храном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Предмет</w:t>
            </w:r>
            <w:r w:rsidRPr="006557FD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br/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испитивања (врста узорка)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Врста испитивања (опасности)</w:t>
            </w: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Број службених узорака</w:t>
            </w: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Утврђене</w:t>
            </w:r>
            <w:r w:rsidRPr="006557FD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br/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неусаглашености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15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Предузете</w:t>
            </w:r>
            <w:r w:rsidRPr="006557FD"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  <w:br/>
            </w:r>
            <w:r w:rsidRPr="006557FD">
              <w:rPr>
                <w:rFonts w:ascii="Arial" w:hAnsi="Arial" w:cs="Arial"/>
                <w:noProof w:val="0"/>
                <w:color w:val="000000"/>
                <w:sz w:val="20"/>
                <w:szCs w:val="20"/>
                <w:lang w:val="en-US"/>
              </w:rPr>
              <w:t>мере</w:t>
            </w:r>
          </w:p>
        </w:tc>
      </w:tr>
      <w:tr w:rsidR="006557FD" w:rsidRPr="006557FD" w:rsidTr="00EC730D">
        <w:trPr>
          <w:trHeight w:val="45"/>
          <w:tblCellSpacing w:w="0" w:type="auto"/>
        </w:trPr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57FD" w:rsidRPr="006557FD" w:rsidRDefault="006557FD" w:rsidP="006557FD">
            <w:pPr>
              <w:spacing w:after="200" w:line="276" w:lineRule="auto"/>
              <w:contextualSpacing w:val="0"/>
              <w:rPr>
                <w:rFonts w:ascii="Arial" w:hAnsi="Arial" w:cs="Arial"/>
                <w:noProof w:val="0"/>
                <w:sz w:val="20"/>
                <w:szCs w:val="20"/>
                <w:lang w:val="en-US"/>
              </w:rPr>
            </w:pPr>
          </w:p>
        </w:tc>
      </w:tr>
    </w:tbl>
    <w:bookmarkEnd w:id="2"/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2.2 Поступак за узимање узорака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Узимање узорака хране за потребе спровођења мониторинга обавља санитарна инспекција у сарадњи са овлашћеним лабораторијама института/завода за јавно здравље за испитивање узорака у оквиру мониторинга хране. Службени узорак узима се у складу са условима који су прописани у овом одељку. У случају да се утврди присуство микробиолошких, хемијских и биолошких опасности, спроводи се службена контрола. Узорци за микробиолошка испитивања узимају се асептично помоћу стерилног прибора, у стерилне посуде/стерилне кесе, водећи рачуна да не дође до контаминације узорка из околине и/или са површине амбалаже. Узорци за хемијска испитивања пакују се у паковања која су хемијски неутрална.</w:t>
      </w:r>
    </w:p>
    <w:p w:rsidR="006557FD" w:rsidRPr="006557FD" w:rsidRDefault="006557FD" w:rsidP="006557FD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2.3 Обележавање узорака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>Храна узоркована у мониторингу се обележава одговарајућом ознаком и доставља институту/заводу за јавно здравље на анализу, уз записник о узорковању чија је садржина наведена у Табели 3 – Записник о узимању узорака хране.</w:t>
      </w:r>
    </w:p>
    <w:p w:rsidR="006557FD" w:rsidRPr="006557FD" w:rsidRDefault="006557FD" w:rsidP="006557FD">
      <w:pPr>
        <w:spacing w:after="15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r w:rsidRPr="006557FD">
        <w:rPr>
          <w:rFonts w:ascii="Arial" w:hAnsi="Arial" w:cs="Arial"/>
          <w:b/>
          <w:noProof w:val="0"/>
          <w:color w:val="000000"/>
          <w:sz w:val="20"/>
          <w:szCs w:val="20"/>
          <w:lang w:val="en-US"/>
        </w:rPr>
        <w:t>Табела 3.</w:t>
      </w:r>
      <w:r w:rsidRPr="006557FD">
        <w:rPr>
          <w:rFonts w:ascii="Arial" w:hAnsi="Arial" w:cs="Arial"/>
          <w:noProof w:val="0"/>
          <w:color w:val="000000"/>
          <w:sz w:val="20"/>
          <w:szCs w:val="20"/>
          <w:lang w:val="en-US"/>
        </w:rPr>
        <w:t xml:space="preserve"> Записник о узимању узорака хране</w:t>
      </w:r>
    </w:p>
    <w:p w:rsidR="006557FD" w:rsidRPr="006557FD" w:rsidRDefault="003D6F43" w:rsidP="006557FD">
      <w:pPr>
        <w:spacing w:after="200" w:line="276" w:lineRule="auto"/>
        <w:contextualSpacing w:val="0"/>
        <w:rPr>
          <w:rFonts w:ascii="Arial" w:hAnsi="Arial" w:cs="Arial"/>
          <w:noProof w:val="0"/>
          <w:sz w:val="20"/>
          <w:szCs w:val="20"/>
          <w:lang w:val="en-US"/>
        </w:rPr>
      </w:pPr>
      <w:bookmarkStart w:id="3" w:name="_idContainer002"/>
      <w:r>
        <w:rPr>
          <w:rFonts w:ascii="Arial" w:hAnsi="Arial" w:cs="Arial"/>
          <w:sz w:val="20"/>
          <w:szCs w:val="20"/>
          <w:lang w:eastAsia="sr-Latn-RS"/>
        </w:rPr>
        <w:pict>
          <v:shape id="Picture 8" o:spid="_x0000_i1026" type="#_x0000_t75" style="width:451.5pt;height:618pt;visibility:visible;mso-wrap-style:square">
            <v:imagedata r:id="rId7" o:title=""/>
          </v:shape>
        </w:pict>
      </w:r>
    </w:p>
    <w:bookmarkEnd w:id="3"/>
    <w:p w:rsidR="006557FD" w:rsidRPr="006557FD" w:rsidRDefault="003D6F43" w:rsidP="006557FD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eastAsia="sr-Latn-RS"/>
        </w:rPr>
        <w:pict>
          <v:shape id="Picture 9" o:spid="_x0000_i1027" type="#_x0000_t75" style="width:451.5pt;height:635.25pt;visibility:visible;mso-wrap-style:square">
            <v:imagedata r:id="rId8" o:title=""/>
          </v:shape>
        </w:pict>
      </w:r>
    </w:p>
    <w:p w:rsidR="006557FD" w:rsidRPr="006557FD" w:rsidRDefault="003D6F43" w:rsidP="006557FD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eastAsia="sr-Latn-RS"/>
        </w:rPr>
        <w:pict>
          <v:shape id="Picture 10" o:spid="_x0000_i1028" type="#_x0000_t75" style="width:451.5pt;height:635.25pt;visibility:visible;mso-wrap-style:square">
            <v:imagedata r:id="rId9" o:title=""/>
          </v:shape>
        </w:pict>
      </w:r>
    </w:p>
    <w:p w:rsidR="006557FD" w:rsidRPr="006557FD" w:rsidRDefault="006557FD" w:rsidP="00497C37">
      <w:pPr>
        <w:rPr>
          <w:rFonts w:ascii="Arial" w:hAnsi="Arial" w:cs="Arial"/>
          <w:sz w:val="20"/>
          <w:szCs w:val="20"/>
        </w:rPr>
      </w:pPr>
    </w:p>
    <w:sectPr w:rsidR="006557FD" w:rsidRPr="006557FD" w:rsidSect="00492E80">
      <w:pgSz w:w="12480" w:h="15710"/>
      <w:pgMar w:top="220" w:right="280" w:bottom="760" w:left="1135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3FE" w:rsidRDefault="00BE13FE" w:rsidP="00861E00">
      <w:r>
        <w:separator/>
      </w:r>
    </w:p>
  </w:endnote>
  <w:endnote w:type="continuationSeparator" w:id="0">
    <w:p w:rsidR="00BE13FE" w:rsidRDefault="00BE13FE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3FE" w:rsidRDefault="00BE13FE" w:rsidP="00861E00">
      <w:r>
        <w:separator/>
      </w:r>
    </w:p>
  </w:footnote>
  <w:footnote w:type="continuationSeparator" w:id="0">
    <w:p w:rsidR="00BE13FE" w:rsidRDefault="00BE13FE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251BA3"/>
    <w:rsid w:val="003D6F43"/>
    <w:rsid w:val="00492E80"/>
    <w:rsid w:val="00497C37"/>
    <w:rsid w:val="004F5E00"/>
    <w:rsid w:val="00615742"/>
    <w:rsid w:val="006557FD"/>
    <w:rsid w:val="006D6D76"/>
    <w:rsid w:val="006F57FC"/>
    <w:rsid w:val="00806E64"/>
    <w:rsid w:val="00861E00"/>
    <w:rsid w:val="00944E3C"/>
    <w:rsid w:val="009512D3"/>
    <w:rsid w:val="00A31AF5"/>
    <w:rsid w:val="00BE13FE"/>
    <w:rsid w:val="00C44581"/>
    <w:rsid w:val="00D13326"/>
    <w:rsid w:val="00E04516"/>
    <w:rsid w:val="00E4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2053</Words>
  <Characters>11706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Потребна средства за финансирање Програма мониторинга</vt:lpstr>
      <vt:lpstr>Мере које ће се предузети у случају присуства физичких, хемијских и биолошких ко</vt:lpstr>
      <vt:lpstr>Структура органа и организација за спровођење програма</vt:lpstr>
      <vt:lpstr>Други параметри од значаја за спровођење Програма мониторинга</vt:lpstr>
    </vt:vector>
  </TitlesOfParts>
  <Company/>
  <LinksUpToDate>false</LinksUpToDate>
  <CharactersWithSpaces>13732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2023-12-06T17:50:00Z</dcterms:created>
  <dcterms:modified xsi:type="dcterms:W3CDTF">2023-12-06T18:00:00Z</dcterms:modified>
</cp:coreProperties>
</file>