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496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19"/>
        <w:gridCol w:w="10014"/>
      </w:tblGrid>
      <w:tr w:rsidR="00D13326" w:rsidRPr="008455B7" w:rsidTr="00497C37">
        <w:trPr>
          <w:tblCellSpacing w:w="15" w:type="dxa"/>
        </w:trPr>
        <w:tc>
          <w:tcPr>
            <w:tcW w:w="441" w:type="pct"/>
            <w:shd w:val="clear" w:color="auto" w:fill="A41E1C"/>
            <w:vAlign w:val="center"/>
          </w:tcPr>
          <w:p w:rsidR="00D13326" w:rsidRPr="008455B7" w:rsidRDefault="00D50D91" w:rsidP="00492E80">
            <w:pPr>
              <w:pStyle w:val="NASLOVZLATO"/>
              <w:rPr>
                <w:sz w:val="20"/>
                <w:szCs w:val="20"/>
              </w:rPr>
            </w:pPr>
            <w:r>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futer logo" style="width:41.25pt;height:44.25pt;visibility:visible;mso-wrap-style:square">
                  <v:imagedata r:id="rId6" o:title="futer logo"/>
                </v:shape>
              </w:pict>
            </w:r>
          </w:p>
        </w:tc>
        <w:tc>
          <w:tcPr>
            <w:tcW w:w="4518" w:type="pct"/>
            <w:shd w:val="clear" w:color="auto" w:fill="A41E1C"/>
            <w:vAlign w:val="center"/>
            <w:hideMark/>
          </w:tcPr>
          <w:p w:rsidR="005D3F21" w:rsidRPr="005D3F21" w:rsidRDefault="005D3F21" w:rsidP="005D3F21">
            <w:pPr>
              <w:pStyle w:val="NASLOVBELO"/>
              <w:spacing w:line="360" w:lineRule="auto"/>
              <w:rPr>
                <w:color w:val="FFE599"/>
              </w:rPr>
            </w:pPr>
            <w:r w:rsidRPr="005D3F21">
              <w:rPr>
                <w:color w:val="FFE599"/>
              </w:rPr>
              <w:t>ОДЛУКА</w:t>
            </w:r>
          </w:p>
          <w:p w:rsidR="006D6D76" w:rsidRDefault="005D3F21" w:rsidP="005D3F21">
            <w:pPr>
              <w:pStyle w:val="NASLOVBELO"/>
            </w:pPr>
            <w:r>
              <w:t>О УТВРЂИВАЊУ ГОДИШЊЕГ ПЛАНА ОБРАЗОВАЊА ОДРАСЛИХ У РЕПУБЛИЦИ СРБИЈИ ЗА 2021. ГОДИНУ</w:t>
            </w:r>
          </w:p>
          <w:p w:rsidR="00D13326" w:rsidRPr="008B2FAA" w:rsidRDefault="00806E64" w:rsidP="005D3F21">
            <w:pPr>
              <w:pStyle w:val="podnaslovpropisa"/>
              <w:rPr>
                <w:sz w:val="18"/>
                <w:szCs w:val="18"/>
              </w:rPr>
            </w:pPr>
            <w:r w:rsidRPr="00806E64">
              <w:rPr>
                <w:sz w:val="18"/>
                <w:szCs w:val="18"/>
              </w:rPr>
              <w:t xml:space="preserve">("Сл. гласник РС", бр. </w:t>
            </w:r>
            <w:r w:rsidR="005D3F21">
              <w:rPr>
                <w:sz w:val="18"/>
                <w:szCs w:val="18"/>
              </w:rPr>
              <w:t>20</w:t>
            </w:r>
            <w:r w:rsidRPr="00806E64">
              <w:rPr>
                <w:sz w:val="18"/>
                <w:szCs w:val="18"/>
              </w:rPr>
              <w:t>/20</w:t>
            </w:r>
            <w:r w:rsidR="00497C37">
              <w:rPr>
                <w:sz w:val="18"/>
                <w:szCs w:val="18"/>
              </w:rPr>
              <w:t>2</w:t>
            </w:r>
            <w:r w:rsidR="006D6D76">
              <w:rPr>
                <w:sz w:val="18"/>
                <w:szCs w:val="18"/>
              </w:rPr>
              <w:t>1</w:t>
            </w:r>
            <w:r w:rsidRPr="00806E64">
              <w:rPr>
                <w:sz w:val="18"/>
                <w:szCs w:val="18"/>
              </w:rPr>
              <w:t>)</w:t>
            </w:r>
          </w:p>
        </w:tc>
      </w:tr>
    </w:tbl>
    <w:p w:rsidR="005A0313" w:rsidRDefault="005A0313" w:rsidP="00497C37"/>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ГОДИШЊИ ПЛАН ОБРАЗОВАЊА ОДРАСЛИХ У РЕПУБЛИЦИ СРБИЈИ ЗА 2021. ГОДИНУ</w:t>
      </w:r>
    </w:p>
    <w:p w:rsidR="005D3F21" w:rsidRPr="005D3F21" w:rsidRDefault="005D3F21" w:rsidP="005D3F21">
      <w:pPr>
        <w:spacing w:before="330" w:after="120"/>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I. УВОД</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Oбразовање одраслих добија све већу пажњу и признање у оквиру целоживотног учења кроз активности формалног и неформалног образовања као и информалног учења. Образовне активности у оквиру овог система образовања усмеравају се на допринос одговорима на економске, друштвене, културне, еколошке и друге </w:t>
      </w:r>
      <w:bookmarkStart w:id="0" w:name="_GoBack"/>
      <w:bookmarkEnd w:id="0"/>
      <w:r w:rsidRPr="005D3F21">
        <w:rPr>
          <w:rFonts w:ascii="Arial" w:eastAsia="Times New Roman" w:hAnsi="Arial" w:cs="Arial"/>
          <w:noProof w:val="0"/>
          <w:color w:val="000000"/>
          <w:lang w:eastAsia="sr-Latn-RS"/>
        </w:rPr>
        <w:t>изазове у нашем друштву.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Основна сврха развоја система образовања одраслих је да обезбеди одраслима стицање компетенција и квалификација потребних за лични и професионални развој, рад и запошљавање. Организатори активности образовања одраслих, било да се ради о оно формалном или неформалном образовању, могу бити јавни, приватни или цивилни сектор.</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Утврђивање јавног интереса у области образовања одраслих и целоживотног учења на годишњем нивоу дефинисано је одредбама члана 56. Закона о образовању одраслих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55/13). За 2021. годину стратешко опредељење Републике Србије иде у правцу повећања учешћа одраслих у активностима целоживотног учења као и у правцу побољшања квалитета и транспарентности система образовања одраслих. Наведени циљеви остварују се кроз развој флексибилних механизама и могућности учења, пружања континуираног каријерног вођења и саветовања, подстицање одраслих са ниским нивоом вештина да учествују у различитим формама образовања одраслих, развој одрживих финансијских механизама, признавања претходног учења стеченог неформалним и информалним облицима учења и сл. Годишњи план образовања одраслих (у даљем тексту: ГПОО) представља један од главних инструмената за праћење остварености постављених стратешких циљева.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ГПОО за 2021. годину припремила је међуресорна Радна група, која је формирана у Заводу за унапређивање образовања и васпитања. У раду су учествовали представници Министарства просвете, науке и технолошког развоја, Министарства за рад, запошљавање, борачка и социјална питања, Министарства привреде, Привредне коморе Србије, Националне службе за запошљавање, Уније послодаваца Србије, Фондације ТЕМПУС, Института за педагогију и андрагогију Филозофског факултета, Београдског Универзитета (БУ), Завода за унапређивање образовања и васпитања, Националне академије за јавну управу (у даљем тексту: НАЈУ) и Агенције за квалификације (у даљем тексту: АЗК).</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припреми предлога ГПОО Министарство просвете, науке и технолошког развоја је директно и преко школских управа прибавило податке о плановима и активностима образовања одраслих за 2021. годину, од јединица локалне самоуправе, привредних комора, удружења послодаваца, Националне службе за запошљавање, као и од других релевантних министарстава, установа и организација.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Узимајући у обзир позитивна искуства стечена формирањем и функционисањем међуресорне радне групе, створили су се услови да се организује међусекторско саветовање у циљу исказивања приоритета у области обучавања одраслих и понуде ЈПОА, а на основу прикупљених података о образовним потребама на националном и локалном нивоу.</w:t>
      </w:r>
    </w:p>
    <w:p w:rsidR="005D3F21" w:rsidRPr="005D3F21" w:rsidRDefault="005D3F21" w:rsidP="005D3F21">
      <w:pPr>
        <w:spacing w:before="330" w:after="120"/>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II. ТРЕНДОВИ У ОБРАЗОВАЊУ И ЗАПОШЉАВАЊУ</w:t>
      </w:r>
    </w:p>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1. Трендови у образовању одраслих</w:t>
      </w:r>
    </w:p>
    <w:p w:rsidR="005D3F21" w:rsidRPr="005D3F21" w:rsidRDefault="005D3F21" w:rsidP="005D3F21">
      <w:pPr>
        <w:spacing w:before="330" w:after="120"/>
        <w:ind w:firstLine="480"/>
        <w:contextualSpacing w:val="0"/>
        <w:jc w:val="center"/>
        <w:rPr>
          <w:rFonts w:ascii="Arial" w:eastAsia="Times New Roman" w:hAnsi="Arial" w:cs="Arial"/>
          <w:i/>
          <w:iCs/>
          <w:noProof w:val="0"/>
          <w:color w:val="000000"/>
          <w:lang w:eastAsia="sr-Latn-RS"/>
        </w:rPr>
      </w:pPr>
      <w:r w:rsidRPr="005D3F21">
        <w:rPr>
          <w:rFonts w:ascii="Arial" w:eastAsia="Times New Roman" w:hAnsi="Arial" w:cs="Arial"/>
          <w:i/>
          <w:iCs/>
          <w:noProof w:val="0"/>
          <w:color w:val="000000"/>
          <w:lang w:eastAsia="sr-Latn-RS"/>
        </w:rPr>
        <w:t>1.1. Европски трендови у образовању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Технолошки развој, глобалне и демографске промене мењају начин на који живимо, радимо, сарађујемо и комуницирамо у друштвеном контексту. Појединцу су потребне конкретне вештине како би се прилагодио овим променама и постигао благостање кроз допринос друштву, продуктивност и економски раст. Поред основних (базичних) вештина (словна, математичка и дигитална писменост) појединцу су потребне и трансверзалне вештине као што су страни језици, лични развој и управљање каријером и учење како се учи.</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овом погледу Европа је идентификовала низ изазова који ће бити у фокусу у наредном периоду. Један од главних разлога зашто људи не могу да пронађу посао је управо недостатак адекватних вештина или одабир посла који није у складу са вештинама и талентима које појединац поседује, док у исто време 40% послодаваца не могу да пронађу људе са правим вештинама да попуне отворена радна места. Један од петоро људи у Европи има проблема са читањем и писањем, док је тај удео још мањи када се говори о математичким и дигиталним вештинама. Иако је један од приоритета образовања одраслих на европском нивоу да би сви требало да имају приступ приликама за учење, Европа је далеко од зацртаног циља да 15% одраслих учествује у учењу до 2020. године, будући да само 4 од 10 одраслих учествују у учењу.</w:t>
      </w:r>
      <w:r w:rsidRPr="005D3F21">
        <w:rPr>
          <w:rFonts w:ascii="Arial" w:eastAsia="Times New Roman" w:hAnsi="Arial" w:cs="Arial"/>
          <w:noProof w:val="0"/>
          <w:color w:val="000000"/>
          <w:sz w:val="15"/>
          <w:szCs w:val="15"/>
          <w:vertAlign w:val="superscript"/>
          <w:lang w:eastAsia="sr-Latn-RS"/>
        </w:rPr>
        <w:t>1</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Говорећи о актуелним трендовима у образовању одраслих у Eвропској унији (ЕУ), треба још истаћи и значај који ЕУ генерално придаје вештинама. Ова парадигма је почела да доминира европским документима још од Лисабонске стратегије (2001), преко Препоруке Европског парламента и Савета о кључним компетенцијама за целоживотно образовање (2006), када су се вештине јављале у оквиру компетенција. Крајем прве деценије 21. века, фокус је у потпуности стављен на вештине, почевши </w:t>
      </w:r>
      <w:r w:rsidRPr="005D3F21">
        <w:rPr>
          <w:rFonts w:ascii="Arial" w:eastAsia="Times New Roman" w:hAnsi="Arial" w:cs="Arial"/>
          <w:noProof w:val="0"/>
          <w:color w:val="000000"/>
          <w:lang w:eastAsia="sr-Latn-RS"/>
        </w:rPr>
        <w:lastRenderedPageBreak/>
        <w:t>од Агенде за нове вештине за нова радна места: европски допринос пуној запослености (2010), до Агенде за нове вештине (2016).</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јулу 2020. године Европска комисија представила је</w:t>
      </w:r>
      <w:hyperlink r:id="rId7" w:history="1">
        <w:r w:rsidRPr="005D3F21">
          <w:rPr>
            <w:rFonts w:ascii="Arial" w:eastAsia="Times New Roman" w:hAnsi="Arial" w:cs="Arial"/>
            <w:b/>
            <w:bCs/>
            <w:noProof w:val="0"/>
            <w:color w:val="008000"/>
            <w:lang w:eastAsia="sr-Latn-RS"/>
          </w:rPr>
          <w:t> </w:t>
        </w:r>
      </w:hyperlink>
      <w:r w:rsidRPr="005D3F21">
        <w:rPr>
          <w:rFonts w:ascii="Arial" w:eastAsia="Times New Roman" w:hAnsi="Arial" w:cs="Arial"/>
          <w:noProof w:val="0"/>
          <w:color w:val="000000"/>
          <w:lang w:eastAsia="sr-Latn-RS"/>
        </w:rPr>
        <w:t>у оквиру које су постављени циљеви за наредних 5 година, који се директно тичу унапређења вештина (доквалификације) и стицања нових вештина (преквалификације). Кроз квантитативне индикаторе и 12 акција агенда ставља фокус на стицање вештина за запошљавање као и на обезбеђивање прилика за обуке и целоживотно учење у складу са који је заснован на принципима организованим у три категорије: једнаке могућности и једнак приступ тржишту рада за све; поштени услови за рад и социјална заштита и инклузија.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Прелазак на зелену и дигиталну економију, као и пандемија корона вируса доносе промене и многобројне изазове у животима и пословима људи. Многи појединци већ сада су приморани да промене не само посао, већ и индустрију у којој раде, што подразумева стицање нових вештина, као и преквалификацију у циљу прилагођавања променама на тржишту рада. Управо због тога већи број акција у Агенди европских вештина има за циљ да људи стекну адекватне вештине за доступне пословне прилике, кроз различите програме и иницијативе укључујући и иницијативу Унапређење вештина (</w:t>
      </w:r>
      <w:r w:rsidRPr="005D3F21">
        <w:rPr>
          <w:rFonts w:ascii="Arial" w:eastAsia="Times New Roman" w:hAnsi="Arial" w:cs="Arial"/>
          <w:i/>
          <w:iCs/>
          <w:noProof w:val="0"/>
          <w:color w:val="000000"/>
          <w:lang w:eastAsia="sr-Latn-RS"/>
        </w:rPr>
        <w:t>Upskilling pathways</w:t>
      </w:r>
      <w:r w:rsidRPr="005D3F21">
        <w:rPr>
          <w:rFonts w:ascii="Arial" w:eastAsia="Times New Roman" w:hAnsi="Arial" w:cs="Arial"/>
          <w:noProof w:val="0"/>
          <w:color w:val="000000"/>
          <w:sz w:val="15"/>
          <w:szCs w:val="15"/>
          <w:vertAlign w:val="superscript"/>
          <w:lang w:eastAsia="sr-Latn-RS"/>
        </w:rPr>
        <w:t>2</w:t>
      </w:r>
      <w:r w:rsidRPr="005D3F21">
        <w:rPr>
          <w:rFonts w:ascii="Arial" w:eastAsia="Times New Roman" w:hAnsi="Arial" w:cs="Arial"/>
          <w:noProof w:val="0"/>
          <w:color w:val="000000"/>
          <w:lang w:eastAsia="sr-Latn-RS"/>
        </w:rPr>
        <w:t>), као и кроз алате подршке појединцима као што је </w:t>
      </w:r>
      <w:hyperlink r:id="rId8" w:history="1">
        <w:r w:rsidRPr="005D3F21">
          <w:rPr>
            <w:rFonts w:ascii="Arial" w:eastAsia="Times New Roman" w:hAnsi="Arial" w:cs="Arial"/>
            <w:b/>
            <w:bCs/>
            <w:noProof w:val="0"/>
            <w:color w:val="008000"/>
            <w:lang w:eastAsia="sr-Latn-RS"/>
          </w:rPr>
          <w:t>Europa</w:t>
        </w:r>
        <w:r w:rsidRPr="005D3F21">
          <w:rPr>
            <w:rFonts w:ascii="Arial" w:eastAsia="Times New Roman" w:hAnsi="Arial" w:cs="Arial"/>
            <w:b/>
            <w:bCs/>
            <w:noProof w:val="0"/>
            <w:color w:val="008000"/>
            <w:lang w:eastAsia="sr-Latn-RS"/>
          </w:rPr>
          <w:t>s</w:t>
        </w:r>
        <w:r w:rsidRPr="005D3F21">
          <w:rPr>
            <w:rFonts w:ascii="Arial" w:eastAsia="Times New Roman" w:hAnsi="Arial" w:cs="Arial"/>
            <w:b/>
            <w:bCs/>
            <w:noProof w:val="0"/>
            <w:color w:val="008000"/>
            <w:lang w:eastAsia="sr-Latn-RS"/>
          </w:rPr>
          <w:t>s платформа</w:t>
        </w:r>
      </w:hyperlink>
      <w:r w:rsidRPr="005D3F21">
        <w:rPr>
          <w:rFonts w:ascii="Arial" w:eastAsia="Times New Roman" w:hAnsi="Arial" w:cs="Arial"/>
          <w:noProof w:val="0"/>
          <w:color w:val="000000"/>
          <w:lang w:eastAsia="sr-Latn-RS"/>
        </w:rPr>
        <w:t> Поред тога, фокус Агенде је и на сарадњи са корпоративним сектором кроз Пакт за вештине, затим на различитим програмима финансирања међу којима је и Еразмус+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Програм Европске уније који обезбеђује финансирање пројеката за сарадњу у три области: образовање, млади и спорт</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Комисија је кроз Агенду поставила веома амбициозне циљеве за наредних 5 година који су засновани на следећим индикаторима: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То значи да би до 2025. године требало да буде доступно 540 милиона активности обуке одраслих, од којих би 60 милиона било намењено одраслима са ниским нивоом квалификација, а 40 милиона активности незапосленим одраслим особама. Број одраслих са основним дигиталним вештинама би требало да достигне број од 230 милиона.</w:t>
      </w:r>
      <w:r w:rsidRPr="005D3F21">
        <w:rPr>
          <w:rFonts w:ascii="Arial" w:eastAsia="Times New Roman" w:hAnsi="Arial" w:cs="Arial"/>
          <w:noProof w:val="0"/>
          <w:color w:val="000000"/>
          <w:sz w:val="15"/>
          <w:szCs w:val="15"/>
          <w:vertAlign w:val="superscript"/>
          <w:lang w:eastAsia="sr-Latn-RS"/>
        </w:rPr>
        <w:t>3</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Табела бр. 1. </w:t>
      </w:r>
      <w:r w:rsidRPr="005D3F21">
        <w:rPr>
          <w:rFonts w:ascii="Arial" w:eastAsia="Times New Roman" w:hAnsi="Arial" w:cs="Arial"/>
          <w:noProof w:val="0"/>
          <w:color w:val="000000"/>
          <w:lang w:eastAsia="sr-Latn-RS"/>
        </w:rPr>
        <w:t>Индикатори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466"/>
        <w:gridCol w:w="952"/>
        <w:gridCol w:w="2556"/>
        <w:gridCol w:w="1086"/>
      </w:tblGrid>
      <w:tr w:rsidR="005D3F21" w:rsidRPr="005D3F21" w:rsidTr="005D3F21">
        <w:tc>
          <w:tcPr>
            <w:tcW w:w="294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Индикатори</w:t>
            </w:r>
          </w:p>
        </w:tc>
        <w:tc>
          <w:tcPr>
            <w:tcW w:w="4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Циљеви до 2025.</w:t>
            </w:r>
          </w:p>
        </w:tc>
        <w:tc>
          <w:tcPr>
            <w:tcW w:w="117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Тренутни ниво</w:t>
            </w:r>
          </w:p>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(последња година за коју су доступни подаци)</w:t>
            </w:r>
          </w:p>
        </w:tc>
        <w:tc>
          <w:tcPr>
            <w:tcW w:w="43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Повећање (у %)</w:t>
            </w:r>
          </w:p>
        </w:tc>
      </w:tr>
      <w:tr w:rsidR="005D3F21" w:rsidRPr="005D3F21" w:rsidTr="005D3F21">
        <w:tc>
          <w:tcPr>
            <w:tcW w:w="294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Учешће одраслих старосне доби 24</w:t>
            </w: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64 у активностима учења у периоду од 12 месеци</w:t>
            </w:r>
          </w:p>
        </w:tc>
        <w:tc>
          <w:tcPr>
            <w:tcW w:w="4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50%</w:t>
            </w:r>
          </w:p>
        </w:tc>
        <w:tc>
          <w:tcPr>
            <w:tcW w:w="117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38% (2016)</w:t>
            </w:r>
          </w:p>
        </w:tc>
        <w:tc>
          <w:tcPr>
            <w:tcW w:w="43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+ 32%</w:t>
            </w:r>
          </w:p>
        </w:tc>
      </w:tr>
      <w:tr w:rsidR="005D3F21" w:rsidRPr="005D3F21" w:rsidTr="005D3F21">
        <w:tc>
          <w:tcPr>
            <w:tcW w:w="294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Учешће нискоквалификованих одраслих старосне доби 25</w:t>
            </w: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64 у активностима учења у периоду од 12 месеци</w:t>
            </w:r>
          </w:p>
        </w:tc>
        <w:tc>
          <w:tcPr>
            <w:tcW w:w="4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30%</w:t>
            </w:r>
          </w:p>
        </w:tc>
        <w:tc>
          <w:tcPr>
            <w:tcW w:w="117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18% (2016)</w:t>
            </w:r>
          </w:p>
        </w:tc>
        <w:tc>
          <w:tcPr>
            <w:tcW w:w="43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+ 67%</w:t>
            </w:r>
          </w:p>
        </w:tc>
      </w:tr>
      <w:tr w:rsidR="005D3F21" w:rsidRPr="005D3F21" w:rsidTr="005D3F21">
        <w:tc>
          <w:tcPr>
            <w:tcW w:w="294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Удео незапослених одраслих особа старосне доби 25</w:t>
            </w: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64 који су у скорије време учествовали у активностима учења</w:t>
            </w:r>
          </w:p>
        </w:tc>
        <w:tc>
          <w:tcPr>
            <w:tcW w:w="4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20%</w:t>
            </w:r>
          </w:p>
        </w:tc>
        <w:tc>
          <w:tcPr>
            <w:tcW w:w="117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11% (2019)</w:t>
            </w:r>
          </w:p>
        </w:tc>
        <w:tc>
          <w:tcPr>
            <w:tcW w:w="43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+ 82%</w:t>
            </w:r>
          </w:p>
        </w:tc>
      </w:tr>
      <w:tr w:rsidR="005D3F21" w:rsidRPr="005D3F21" w:rsidTr="005D3F21">
        <w:tc>
          <w:tcPr>
            <w:tcW w:w="294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Удео одраслих особа старосне доби 16</w:t>
            </w: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74 који имају основне дигиталне вештине</w:t>
            </w:r>
          </w:p>
        </w:tc>
        <w:tc>
          <w:tcPr>
            <w:tcW w:w="4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70%</w:t>
            </w:r>
          </w:p>
        </w:tc>
        <w:tc>
          <w:tcPr>
            <w:tcW w:w="117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56% (2019)</w:t>
            </w:r>
          </w:p>
        </w:tc>
        <w:tc>
          <w:tcPr>
            <w:tcW w:w="43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+ 25%</w:t>
            </w:r>
          </w:p>
        </w:tc>
      </w:tr>
    </w:tbl>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То значи да би до 2025. године требало да буде доступно 540 милиона активности обуке одраслих, од којих би 60 милиона било намењено одраслима са ниским нивоом квалификација, а 40 милиона активности незапосленим одраслим особама. Број одраслих са основним дигиталним вештинама би требало да достигне број од 230 милиона.</w:t>
      </w:r>
      <w:r w:rsidRPr="005D3F21">
        <w:rPr>
          <w:rFonts w:ascii="Arial" w:eastAsia="Times New Roman" w:hAnsi="Arial" w:cs="Arial"/>
          <w:noProof w:val="0"/>
          <w:color w:val="000000"/>
          <w:sz w:val="15"/>
          <w:szCs w:val="15"/>
          <w:vertAlign w:val="superscript"/>
          <w:lang w:eastAsia="sr-Latn-RS"/>
        </w:rPr>
        <w:t>4</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Поред многобројних изазова са којима се Европа среће у 21. веку међу којима је и најзначајнији прелазак на зелену и дигиталну економију, недавна пандемија корона вируса донела је нагле и значајне промене у области образовања, учења и рада. Са једне стране рад и учење од куће и на даљину постали су реалност и отворили простор за нова сазнања и искуства, а са друге стране откривена су и тренутна ограничења друштва у различитим секторима и индустријама у погледу дигиталне спремности. Додатно, пандемија је негативно утицала на многе прилике за посао. У контексту актуелне пандемије вирусом COVID 19, ЕАЕА (European Association for the Education of Adults) указује на значај образовања одраслих за решавање овог, тренутно горућег европског и светског проблема. У том контексту, истичу се посебно следећи домени образовања одраслих: здравствено образовање, родитељске вештине, као и дигиталне компетенције, нарочито за старије људе. Ова организација посебно наглашава да се ближи крај европске Агенде 2020, у којој су доминирале базичне и стручне вештине, али да још није донет свеобухватан документ који би указао на даљи правац европске политике образовања одраслих. Указује се и на потребу да се успоставе трендови посматрања учења одраслих као посебног сектора образовних система. Такође, наглашава се потреба коришћења образовања одраслих за одрживи развој, признавање претходног учења нарочито за рањиве групе и укључивање нових ученика у процес целоживотног учења, кроз већу приступачност изворима учења.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1 https://ec.europa.eu/social/main.jsp?catId=1146&amp;langId=en</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2 https://ec.europa.eu/social/main.jsp?catId=1224</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3 https://ec.europa.eu/commission/presscorner/detail/en/ip_20_1196</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4 https://ec.europa.eu/commission/presscorner/detail/en/ip_20_1196</w:t>
      </w:r>
    </w:p>
    <w:p w:rsidR="005D3F21" w:rsidRPr="005D3F21" w:rsidRDefault="005D3F21" w:rsidP="005D3F21">
      <w:pPr>
        <w:spacing w:before="330" w:after="120"/>
        <w:ind w:firstLine="480"/>
        <w:contextualSpacing w:val="0"/>
        <w:jc w:val="center"/>
        <w:rPr>
          <w:rFonts w:ascii="Arial" w:eastAsia="Times New Roman" w:hAnsi="Arial" w:cs="Arial"/>
          <w:i/>
          <w:iCs/>
          <w:noProof w:val="0"/>
          <w:color w:val="000000"/>
          <w:lang w:eastAsia="sr-Latn-RS"/>
        </w:rPr>
      </w:pPr>
      <w:r w:rsidRPr="005D3F21">
        <w:rPr>
          <w:rFonts w:ascii="Arial" w:eastAsia="Times New Roman" w:hAnsi="Arial" w:cs="Arial"/>
          <w:i/>
          <w:iCs/>
          <w:noProof w:val="0"/>
          <w:color w:val="000000"/>
          <w:lang w:eastAsia="sr-Latn-RS"/>
        </w:rPr>
        <w:t>1.2. Tрендови у образовању одраслих у Републици Србији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Званични подаци који би нам указали на стање и трендове у образовању одраслих у Републици Србији су прилично застарели, и питање је у којој мери одражавају српску реалност, нарочито у контексту актуелне пандемије вирусом COVID 19, али до следећег пописа, морамо се ослонити на њих. Подаци са последњег пописа становништва (2011) говоре да у Републици Србији, од укупно 6.161.584 становника старијих од 15 година, без школске спреме и са непотпуним основним образовањем је 842.383 лица (13,68%). У исто време, завршено основно образовање, као највиши ниво формалног образовања, има 1.279.116 (20,76%) лица, док је са средњим образовањем 3.015.092 лица (48,93%). Више и високо образовање у Републици Србији има 16,24% становништва, односно 1.000.569 лица, што је далеко од 40% колико је Европска унија себи поставила као циљ стратегијом Европа 2020.</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Нешто свежије, али не и довољно свеже податке нам доноси Анкета о образовању одраслих (</w:t>
      </w:r>
      <w:r w:rsidRPr="005D3F21">
        <w:rPr>
          <w:rFonts w:ascii="Arial" w:eastAsia="Times New Roman" w:hAnsi="Arial" w:cs="Arial"/>
          <w:i/>
          <w:iCs/>
          <w:noProof w:val="0"/>
          <w:color w:val="000000"/>
          <w:lang w:eastAsia="sr-Latn-RS"/>
        </w:rPr>
        <w:t xml:space="preserve">Adult Education Survey </w:t>
      </w:r>
      <w:r>
        <w:rPr>
          <w:rFonts w:ascii="Arial" w:eastAsia="Times New Roman" w:hAnsi="Arial" w:cs="Arial"/>
          <w:i/>
          <w:iCs/>
          <w:noProof w:val="0"/>
          <w:color w:val="000000"/>
          <w:lang w:eastAsia="sr-Latn-RS"/>
        </w:rPr>
        <w:t>-</w:t>
      </w:r>
      <w:r w:rsidRPr="005D3F21">
        <w:rPr>
          <w:rFonts w:ascii="Arial" w:eastAsia="Times New Roman" w:hAnsi="Arial" w:cs="Arial"/>
          <w:i/>
          <w:iCs/>
          <w:noProof w:val="0"/>
          <w:color w:val="000000"/>
          <w:lang w:eastAsia="sr-Latn-RS"/>
        </w:rPr>
        <w:t xml:space="preserve"> АЕS)</w:t>
      </w:r>
      <w:r w:rsidRPr="005D3F21">
        <w:rPr>
          <w:rFonts w:ascii="Arial" w:eastAsia="Times New Roman" w:hAnsi="Arial" w:cs="Arial"/>
          <w:noProof w:val="0"/>
          <w:color w:val="000000"/>
          <w:lang w:eastAsia="sr-Latn-RS"/>
        </w:rPr>
        <w:t> која је спроведена по други пут у Републици Србији 2016. године, а коју ЕУ спроводи на пет година. Према добијеним резултатима, стопа учешћа одраслих у неком облику формалног или неформалног образовања или обука износи 19,8%, што је нешто више него што је била 2011. године (16,5%), али је знатно испод просека земаља чланица Европске уније (45,1%). У неком виду образовања и обуке у периоду од 12 месеци који су претходили анкетирању, заступљеније су жене (21,4%) него мушкарци (18%). Стопа учешћа је највећа међу популацијом старости 25</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34 године (29,2%).</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Подаци показују да у целоживотном образовању најчешће учествују жене старости 25</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34 године, са стеченим високим образовањем, које су запослене и које живе у граду. Највише у образовању и обукама учествују запослена лица (32,5% свих запослених). Лица која су похађала неки курс, радионицу или приватне часове углавном су високо образована. Највећи број програма неформалног образовања у којима учествују одрасли у вези је са послом (могућности запошљавања, напредовање у послу, да би се задржао постојећи или добио нови посао и сл.). У просеку, одрасли који су се неформално образовали, учествовали су у 1,8 активности неформалног образовања. Најчешће је то била инструктажа на послу која се одржавала у радно време и за коју је трошкове платио послодавац.</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Приближно 80% испитаника није учествовало ни у каквом облику формалног или неформалног образовања. Скоро половина испитаника (47%) желело је да учествује у неком виду образовања, али су били спречени првенствено због трошкова образовања/обуке, породичних разлога, распореда обука, тј. преклапања са радним временом и неодговарајуће понуде обука.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Већина испитаника учествује у неком од облика информалног учења. Око две трећине њих нова знања стиче тако што користи компјутер (65,8%). Од члана породице, пријатеља или колега учи 63,6% а преко телевизије/радија, видеа око 60%. У знатној мери (57,5%) испитаници уче и из штампаних материјала (књиге, стручни часописи и др.), а у најмањој мери обилазећи музеје, библиотеке, центре за учење и сл.</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Информалном учењу се у Европи, са јачањем концепције целоживотног образовања, поклања све већа пажња, нарочито кроз развијање концепције, праксе и инструмената за валидацију и признавање претходног учења. У том правцу и Република Србија чини одлучне кораке, развијањем Концепта за признавање претходног учења 2015. године. Припреме за увођење поступка признавања претходног учења (ППУ) Министарство просвете, науке и технолошког развоја (МПНТР) спроводи у неколико корака, од којих је први пилотирање предложених решења и процедура. Уз подршку пројекта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Развој интегрисаног система националних квалификација у Републици Србији</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припремљени су различити документи и смернице, као и Нацрт правилника о стандардима и начину спровођења поступка признавања претходног учења. У сарадњи са Националном службом за запошљавање, анализирана су најучесталија занимања на којима раде потенцијални кандидати за ППУ, селектоване су и предложене квалификације које ће бити обухваћене пилотирањем, а приликом предлагања школа за пилотирање разматран је низ фактора укључујући верификацију школа за одређена подручја рада и заступљеност школа из различитих округа и то на подручјима где је препознат већи број потенцијалних незапослених кандидата. Када је реч о наредним корацима, након спроведеног консултативног процеса са партнерима, школе ће формирати тимове за ППУ. За њих ће, затим, бити организоване интензивне обуке које ће обухватити развој задатака за тестирање кандидата, оцењивање и осигурање квалитета процеса ППУ, које ће реализовати експерти пројекта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Развој интегрисаног система националних квалификација у Републици Србији</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Оцењивање првих кандидата и провере стечених квалификација планирани су за 2021. годину.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Када говоримо о мерама Владе усмерене на поједине подсистеме система образовања одраслих, не можемо а да не споменемо покретање значајне реформе државно-службеничког система, са циљем успостављања система људских ресурса заснованог на резултатима рада, који поседује висок степен компетенција и којим се управља на професионалан начин. Једна од главних измена се односи на увођење управљања људским ресурсима на основу компетенција у државно-службенички систем у Републици Србији. Оваква промена указује на ширу културолошку промену у управљању људским ресурсима (УЉР) у државној управи, што у пракси значи да ће за све аспекте УЉР бити потребан нови приступ.</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Знања, вештине, особине, ставови и способности које су потребне државном службенику за рад су одређене Уредбом о одређивању компетенција за рад државних службеника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4/19) која је ступила на снагу 2. фебруара 2019. године. Имајући у виду понашајне и функционалне компетенције, Национална академија за јавну управу (НАЈУ) је наставила да заснива своје програме на овој уредби. Иако се образовање одраслих засновано на компетенцијама препознаје у државној управи још од 2019. године, тенденција за креирањем сличне Уредбе за запослене у јединицама локалне самоуправе се јавља годину дана касније. Посебна радна група за израду оквира компетенција</w:t>
      </w:r>
      <w:r w:rsidRPr="005D3F21">
        <w:rPr>
          <w:rFonts w:ascii="Arial" w:eastAsia="Times New Roman" w:hAnsi="Arial" w:cs="Arial"/>
          <w:b/>
          <w:bCs/>
          <w:noProof w:val="0"/>
          <w:color w:val="000000"/>
          <w:lang w:eastAsia="sr-Latn-RS"/>
        </w:rPr>
        <w:t> </w:t>
      </w:r>
      <w:r w:rsidRPr="005D3F21">
        <w:rPr>
          <w:rFonts w:ascii="Arial" w:eastAsia="Times New Roman" w:hAnsi="Arial" w:cs="Arial"/>
          <w:noProof w:val="0"/>
          <w:color w:val="000000"/>
          <w:lang w:eastAsia="sr-Latn-RS"/>
        </w:rPr>
        <w:t>(представник НАЈУ је члан Групе) за службенике у локалној самоуправи је израдила Оквир компетенција за ову категорију запослених као и приступ увођењу система компетенција у свим фазама УЉР. Усвајање ове уредбе на локалном нивоу у 2021. години ће употпунити процес стручног усавршавања службеника у Републици Србији где се јасно дефинисани индикатори понашања службеника вреднују, развијају и самим тим награђују.</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Иако је НАЈУ, осим традиционалног стручног усавршавања, посебну пажњу давала </w:t>
      </w:r>
      <w:r w:rsidRPr="005D3F21">
        <w:rPr>
          <w:rFonts w:ascii="Arial" w:eastAsia="Times New Roman" w:hAnsi="Arial" w:cs="Arial"/>
          <w:i/>
          <w:iCs/>
          <w:noProof w:val="0"/>
          <w:color w:val="000000"/>
          <w:lang w:eastAsia="sr-Latn-RS"/>
        </w:rPr>
        <w:t>online </w:t>
      </w:r>
      <w:r w:rsidRPr="005D3F21">
        <w:rPr>
          <w:rFonts w:ascii="Arial" w:eastAsia="Times New Roman" w:hAnsi="Arial" w:cs="Arial"/>
          <w:noProof w:val="0"/>
          <w:color w:val="000000"/>
          <w:lang w:eastAsia="sr-Latn-RS"/>
        </w:rPr>
        <w:t>учењу, пандемија корона вируса је свакако убрзала процес осмишљавања и спровођења обука у </w:t>
      </w:r>
      <w:r w:rsidRPr="005D3F21">
        <w:rPr>
          <w:rFonts w:ascii="Arial" w:eastAsia="Times New Roman" w:hAnsi="Arial" w:cs="Arial"/>
          <w:i/>
          <w:iCs/>
          <w:noProof w:val="0"/>
          <w:color w:val="000000"/>
          <w:lang w:eastAsia="sr-Latn-RS"/>
        </w:rPr>
        <w:t>online</w:t>
      </w:r>
      <w:r w:rsidRPr="005D3F21">
        <w:rPr>
          <w:rFonts w:ascii="Arial" w:eastAsia="Times New Roman" w:hAnsi="Arial" w:cs="Arial"/>
          <w:noProof w:val="0"/>
          <w:color w:val="000000"/>
          <w:lang w:eastAsia="sr-Latn-RS"/>
        </w:rPr>
        <w:t> окружењу. С обзиром на то да је традиционалан облик учења постао, у неповољним епидемиолошким условима тешко остварив, а </w:t>
      </w:r>
      <w:r w:rsidRPr="005D3F21">
        <w:rPr>
          <w:rFonts w:ascii="Arial" w:eastAsia="Times New Roman" w:hAnsi="Arial" w:cs="Arial"/>
          <w:i/>
          <w:iCs/>
          <w:noProof w:val="0"/>
          <w:color w:val="000000"/>
          <w:lang w:eastAsia="sr-Latn-RS"/>
        </w:rPr>
        <w:t>self-paced online</w:t>
      </w:r>
      <w:r w:rsidRPr="005D3F21">
        <w:rPr>
          <w:rFonts w:ascii="Arial" w:eastAsia="Times New Roman" w:hAnsi="Arial" w:cs="Arial"/>
          <w:noProof w:val="0"/>
          <w:color w:val="000000"/>
          <w:lang w:eastAsia="sr-Latn-RS"/>
        </w:rPr>
        <w:t> обуке недовољне, НАЈУ је видела решење у </w:t>
      </w:r>
      <w:r w:rsidRPr="005D3F21">
        <w:rPr>
          <w:rFonts w:ascii="Arial" w:eastAsia="Times New Roman" w:hAnsi="Arial" w:cs="Arial"/>
          <w:b/>
          <w:bCs/>
          <w:noProof w:val="0"/>
          <w:color w:val="000000"/>
          <w:lang w:eastAsia="sr-Latn-RS"/>
        </w:rPr>
        <w:t>комбинованом учењу</w:t>
      </w:r>
      <w:r w:rsidRPr="005D3F21">
        <w:rPr>
          <w:rFonts w:ascii="Arial" w:eastAsia="Times New Roman" w:hAnsi="Arial" w:cs="Arial"/>
          <w:noProof w:val="0"/>
          <w:color w:val="000000"/>
          <w:lang w:eastAsia="sr-Latn-RS"/>
        </w:rPr>
        <w:t> (</w:t>
      </w:r>
      <w:r w:rsidRPr="005D3F21">
        <w:rPr>
          <w:rFonts w:ascii="Arial" w:eastAsia="Times New Roman" w:hAnsi="Arial" w:cs="Arial"/>
          <w:i/>
          <w:iCs/>
          <w:noProof w:val="0"/>
          <w:color w:val="000000"/>
          <w:lang w:eastAsia="sr-Latn-RS"/>
        </w:rPr>
        <w:t>blended learning</w:t>
      </w:r>
      <w:r w:rsidRPr="005D3F21">
        <w:rPr>
          <w:rFonts w:ascii="Arial" w:eastAsia="Times New Roman" w:hAnsi="Arial" w:cs="Arial"/>
          <w:noProof w:val="0"/>
          <w:color w:val="000000"/>
          <w:lang w:eastAsia="sr-Latn-RS"/>
        </w:rPr>
        <w:t>) које се састоји од три елемента: Pre work-a, вебинара и Post work-a.</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Табела бр. 2.</w:t>
      </w:r>
      <w:r w:rsidRPr="005D3F21">
        <w:rPr>
          <w:rFonts w:ascii="Arial" w:eastAsia="Times New Roman" w:hAnsi="Arial" w:cs="Arial"/>
          <w:noProof w:val="0"/>
          <w:color w:val="000000"/>
          <w:lang w:eastAsia="sr-Latn-RS"/>
        </w:rPr>
        <w:t> Карактеристике комбинованог учења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329"/>
        <w:gridCol w:w="6300"/>
        <w:gridCol w:w="2431"/>
      </w:tblGrid>
      <w:tr w:rsidR="005D3F21" w:rsidRPr="005D3F21" w:rsidTr="005D3F21">
        <w:tc>
          <w:tcPr>
            <w:tcW w:w="5000" w:type="pct"/>
            <w:gridSpan w:val="3"/>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Комбиновано учење</w:t>
            </w:r>
          </w:p>
        </w:tc>
      </w:tr>
      <w:tr w:rsidR="005D3F21" w:rsidRPr="005D3F21" w:rsidTr="005D3F21">
        <w:tc>
          <w:tcPr>
            <w:tcW w:w="105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PREWORK</w:t>
            </w:r>
          </w:p>
        </w:tc>
        <w:tc>
          <w:tcPr>
            <w:tcW w:w="284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ВЕБИНАР</w:t>
            </w:r>
          </w:p>
        </w:tc>
        <w:tc>
          <w:tcPr>
            <w:tcW w:w="110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POST WORK</w:t>
            </w:r>
          </w:p>
        </w:tc>
      </w:tr>
      <w:tr w:rsidR="005D3F21" w:rsidRPr="005D3F21" w:rsidTr="005D3F21">
        <w:tc>
          <w:tcPr>
            <w:tcW w:w="105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Подстицајне активности</w:t>
            </w:r>
          </w:p>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Анкете/упитници/мини истраживање</w:t>
            </w:r>
          </w:p>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Процене знања и вештина</w:t>
            </w:r>
          </w:p>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Преференције стилова учења</w:t>
            </w:r>
          </w:p>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Уводни материјали</w:t>
            </w:r>
          </w:p>
        </w:tc>
        <w:tc>
          <w:tcPr>
            <w:tcW w:w="284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Одређивање приоритета садржаја</w:t>
            </w:r>
          </w:p>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Повезивање стечених знања полазника са PreWork-a садржајем тренинга ради стварања асоцијација</w:t>
            </w:r>
          </w:p>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Инструктивне стратегије које успостављају релевантност</w:t>
            </w:r>
          </w:p>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Усклађивање садржаја са стварним улогама и одговорностима</w:t>
            </w:r>
          </w:p>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Обезбедити акциони план за задржавање и побољшавање мотивације</w:t>
            </w:r>
          </w:p>
        </w:tc>
        <w:tc>
          <w:tcPr>
            <w:tcW w:w="110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Евалуација вебинара</w:t>
            </w:r>
          </w:p>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Follow up тренинг </w:t>
            </w: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Освежавајући курс</w:t>
            </w:r>
          </w:p>
          <w:p w:rsidR="005D3F21" w:rsidRPr="005D3F21" w:rsidRDefault="005D3F21" w:rsidP="005D3F21">
            <w:pPr>
              <w:spacing w:after="150"/>
              <w:contextualSpacing w:val="0"/>
              <w:rPr>
                <w:rFonts w:ascii="Arial" w:eastAsia="Times New Roman" w:hAnsi="Arial" w:cs="Arial"/>
                <w:noProof w:val="0"/>
                <w:sz w:val="20"/>
                <w:szCs w:val="20"/>
                <w:lang w:eastAsia="sr-Latn-RS"/>
              </w:rPr>
            </w:pP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Сесије размене искуства</w:t>
            </w:r>
          </w:p>
        </w:tc>
      </w:tr>
      <w:tr w:rsidR="005D3F21" w:rsidRPr="005D3F21" w:rsidTr="005D3F21">
        <w:tc>
          <w:tcPr>
            <w:tcW w:w="105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Електронско учење</w:t>
            </w:r>
          </w:p>
        </w:tc>
        <w:tc>
          <w:tcPr>
            <w:tcW w:w="284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Face to face</w:t>
            </w:r>
          </w:p>
        </w:tc>
        <w:tc>
          <w:tcPr>
            <w:tcW w:w="110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Електронско учење</w:t>
            </w:r>
          </w:p>
        </w:tc>
      </w:tr>
    </w:tbl>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Идеја </w:t>
      </w:r>
      <w:r w:rsidRPr="005D3F21">
        <w:rPr>
          <w:rFonts w:ascii="Arial" w:eastAsia="Times New Roman" w:hAnsi="Arial" w:cs="Arial"/>
          <w:b/>
          <w:bCs/>
          <w:noProof w:val="0"/>
          <w:color w:val="000000"/>
          <w:lang w:eastAsia="sr-Latn-RS"/>
        </w:rPr>
        <w:t>Pre work-</w:t>
      </w:r>
      <w:r w:rsidRPr="005D3F21">
        <w:rPr>
          <w:rFonts w:ascii="Arial" w:eastAsia="Times New Roman" w:hAnsi="Arial" w:cs="Arial"/>
          <w:noProof w:val="0"/>
          <w:color w:val="000000"/>
          <w:lang w:eastAsia="sr-Latn-RS"/>
        </w:rPr>
        <w:t xml:space="preserve">а је да се време и енергија потребни за читање, разумевање и развој идеја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предају</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сваком полазнику пре обуке. На овај начин се добија време на обуци које група користи за оно најважније: заједнички рад и активности.</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Вебинар</w:t>
      </w:r>
      <w:r w:rsidRPr="005D3F21">
        <w:rPr>
          <w:rFonts w:ascii="Arial" w:eastAsia="Times New Roman" w:hAnsi="Arial" w:cs="Arial"/>
          <w:noProof w:val="0"/>
          <w:color w:val="000000"/>
          <w:lang w:eastAsia="sr-Latn-RS"/>
        </w:rPr>
        <w:t> је онлајн тренинг који се изводи уживо и повезује тренера са полазницима који могу бити на било којој локацији уколико имају стабилан приступ интернету. Укључује аудио и визуелну комуникацију између тренера и полазника. Сам вебинар се користи за интерактиван рад са полазницима, представљање примера релевантних за тему, консултације и давање упутстава када су у питању процедуре, укључивање полазника у дискусије, одговоре на питања и слично.</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Post Work</w:t>
      </w:r>
      <w:r w:rsidRPr="005D3F21">
        <w:rPr>
          <w:rFonts w:ascii="Arial" w:eastAsia="Times New Roman" w:hAnsi="Arial" w:cs="Arial"/>
          <w:noProof w:val="0"/>
          <w:color w:val="000000"/>
          <w:lang w:eastAsia="sr-Latn-RS"/>
        </w:rPr>
        <w:t xml:space="preserve"> се односи на период након вебинара када полазници приступају изради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домаћег задатка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року који одређује реализатор. Размена задатака и повратних информација између реализатора и полазника се врши путем мејла.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Осим модернизованог приступа учењу, развој online</w:t>
      </w:r>
      <w:r w:rsidRPr="005D3F21">
        <w:rPr>
          <w:rFonts w:ascii="Arial" w:eastAsia="Times New Roman" w:hAnsi="Arial" w:cs="Arial"/>
          <w:b/>
          <w:bCs/>
          <w:noProof w:val="0"/>
          <w:color w:val="000000"/>
          <w:lang w:eastAsia="sr-Latn-RS"/>
        </w:rPr>
        <w:t> обука</w:t>
      </w:r>
      <w:r w:rsidRPr="005D3F21">
        <w:rPr>
          <w:rFonts w:ascii="Arial" w:eastAsia="Times New Roman" w:hAnsi="Arial" w:cs="Arial"/>
          <w:noProof w:val="0"/>
          <w:color w:val="000000"/>
          <w:lang w:eastAsia="sr-Latn-RS"/>
        </w:rPr>
        <w:t> на LMS (Learning Management System) платформи ће бити и даље актуелан. Свака онлајн обука је обогаћена писаним материјалима, видео лекцијама и тестовима који осим теоријског знања, полазницима представљају кључне проблеме у области која се учи, примере из праксе, студије случаја и све оно што је неопходно како би полазник имао активан приступ у учењу. Имајући то у виду, у блиској будућности ће се највише пажње посветити </w:t>
      </w:r>
      <w:r w:rsidRPr="005D3F21">
        <w:rPr>
          <w:rFonts w:ascii="Arial" w:eastAsia="Times New Roman" w:hAnsi="Arial" w:cs="Arial"/>
          <w:b/>
          <w:bCs/>
          <w:noProof w:val="0"/>
          <w:color w:val="000000"/>
          <w:lang w:eastAsia="sr-Latn-RS"/>
        </w:rPr>
        <w:t>гејмификацији</w:t>
      </w:r>
      <w:r w:rsidRPr="005D3F21">
        <w:rPr>
          <w:rFonts w:ascii="Arial" w:eastAsia="Times New Roman" w:hAnsi="Arial" w:cs="Arial"/>
          <w:noProof w:val="0"/>
          <w:color w:val="000000"/>
          <w:lang w:eastAsia="sr-Latn-RS"/>
        </w:rPr>
        <w:t> и </w:t>
      </w:r>
      <w:r w:rsidRPr="005D3F21">
        <w:rPr>
          <w:rFonts w:ascii="Arial" w:eastAsia="Times New Roman" w:hAnsi="Arial" w:cs="Arial"/>
          <w:b/>
          <w:bCs/>
          <w:noProof w:val="0"/>
          <w:color w:val="000000"/>
          <w:lang w:eastAsia="sr-Latn-RS"/>
        </w:rPr>
        <w:t>микро-учењу</w:t>
      </w:r>
      <w:r w:rsidRPr="005D3F21">
        <w:rPr>
          <w:rFonts w:ascii="Arial" w:eastAsia="Times New Roman" w:hAnsi="Arial" w:cs="Arial"/>
          <w:noProof w:val="0"/>
          <w:color w:val="000000"/>
          <w:lang w:eastAsia="sr-Latn-RS"/>
        </w:rPr>
        <w:t xml:space="preserve">. Модул гејмификације на LMS платформи НАЈУ ће повећати мотивацију полазника бржим и бољим усвајањем знања код полазника. Помоћу различитих врста игара, поена, беџева и награда који се имплементирају у процес учења на платформи, полазници се стављају у компететивно окружење које буди њихов такмичарски дух. Уз помоћ гејмификације, корисници ће имати додатни мотив при учењу, а усвојена знања ће допринети унапређењу целокупне јавне управе. Додатна подршка у онлајн учењу је и микро-учење, односно мали и кратки сегменти учења, где се изградња знања код полазника дешава у тзв.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малим залогајима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Садржај учења је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разбијен</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 мале делове (микроцелине) који се испоручују у кратким временским интервалима.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Целоживотно учење, које као концепција доминира у Европској унији (ЕУ), у Републици Србији, према Анкети о образовању одраслих из 2016. године, као активност бележи пораст у односу на претходни циклус истраживања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2011. годину, и даље је значајно мање од просека земаља ЕУ (45,1%). Међу чланицама ЕУ, нижу стопу учешћа у целоживотном учењу од Србије имају само Грчка и Румунија. Међутим, у поређењу са земљама у окружењу које су спровеле истраживање (Босна и Херцеговина, Албанија, Северна Македонија), одрасли у Србији у већем обиму учествују у образовању и обукама.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Када се говори о трендовима у образовању одраслих, вреди посебно нагласити и образовање из области информационо-комуникационе технологије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у даљем тексту ИКТ), које се налази у једној од три приоритетне области стратегије Европа 2020, у делу насловљеном као Паметан раст. Према подацима добијеним пописом из 2011. године, у Републици Србији, што се тиче компјутерске писмености, од 6.161.584 становника старијих од 15 година, компјутерски је писмено 34,21% лица, оних који делимично познају рад на рачунару је 14,78%, а компјутерски неписмено 51,01% лица. Препознавши значај дигиталне писмености као неопходан за пуну партиципацију у друштву у 21. веку, а пратећи европске образовне трендове, у оквиру којих је дигитална писменост препозната као једна од осам кључних компетенција, МПТНР је у оквиру Функционалног основног образовања одраслих увело посебан предмет именован као Дигитална писменост који се изучава још од првог циклуса, и реализује у 64 школе у Србији.</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Вреди напоменути да je, иако за то још не постоје званични подаци, пандемија вируса COVID 19 сигурно променила погледе на образовање уопште, а посебно на образовање одраслих. Пандемија је у први план избацила оnline учење и образовање, за које је овладавање ИКТ вештинама основни предуслов. Сигурно је да ће у предстојећем периоду ова област само добијати на актуелности и значају.</w:t>
      </w:r>
    </w:p>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2. Трендови на тржишту рада и запошљавању</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Пандемија Covid-19 и проглашење ванредног стања у Републици Србији 15. марта 2020. године утицали су на смањење привредне активности што је, последично, довело до промене у броју запослених, превасходно на неформалном тржишту (које карактерише висока флексибилност), с обзиром да је значајан део лица престао да ради након увођења ванредног стања. Међутим, анализирајући последње расположиве анкетне податке о радној снази, податке о регистрованој запослености и незапослености, може се закључити да тржиште рада Републике Србије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одолева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негативним утицајима пандемије, чему су допринеле и мере Владе уведене ради превенције гашења радних места и одржања економске стабилности</w:t>
      </w:r>
      <w:r w:rsidRPr="005D3F21">
        <w:rPr>
          <w:rFonts w:ascii="Arial" w:eastAsia="Times New Roman" w:hAnsi="Arial" w:cs="Arial"/>
          <w:noProof w:val="0"/>
          <w:color w:val="000000"/>
          <w:sz w:val="15"/>
          <w:szCs w:val="15"/>
          <w:vertAlign w:val="superscript"/>
          <w:lang w:eastAsia="sr-Latn-RS"/>
        </w:rPr>
        <w:t>5</w:t>
      </w:r>
      <w:r w:rsidRPr="005D3F21">
        <w:rPr>
          <w:rFonts w:ascii="Arial" w:eastAsia="Times New Roman" w:hAnsi="Arial" w:cs="Arial"/>
          <w:noProof w:val="0"/>
          <w:color w:val="000000"/>
          <w:lang w:eastAsia="sr-Latn-RS"/>
        </w:rPr>
        <w:t>.</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Наиме, према подацима из Анкете о радној снази за трећи квартал 2020. године</w:t>
      </w:r>
      <w:r w:rsidRPr="005D3F21">
        <w:rPr>
          <w:rFonts w:ascii="Arial" w:eastAsia="Times New Roman" w:hAnsi="Arial" w:cs="Arial"/>
          <w:noProof w:val="0"/>
          <w:color w:val="000000"/>
          <w:sz w:val="15"/>
          <w:szCs w:val="15"/>
          <w:vertAlign w:val="superscript"/>
          <w:lang w:eastAsia="sr-Latn-RS"/>
        </w:rPr>
        <w:t>5</w:t>
      </w:r>
      <w:r w:rsidRPr="005D3F21">
        <w:rPr>
          <w:rFonts w:ascii="Arial" w:eastAsia="Times New Roman" w:hAnsi="Arial" w:cs="Arial"/>
          <w:noProof w:val="0"/>
          <w:color w:val="000000"/>
          <w:lang w:eastAsia="sr-Latn-RS"/>
        </w:rPr>
        <w:t xml:space="preserve">, у поређењу са другим кварталом 2020. године, забележен је, на тржишту рада, пад неактивности становништва услед раста како запослености, тако и незапослености. До пораста броја незапослених дошло је услед преливања, односно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враћања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лица из контингента неактивних у контингент незапослених. Такође, након укидања мера које су ограничавале кретање, и остали показатељи трендова на тржишту рада говоре у прилог опоравка, јер се враћају на ниво пре кризе изазване пандемијом. Смањује се број запослених који раде од куће и број запослених који одсуствују с посла, док број извршених часова рада расте.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трећем кварталу 2020. године број запослених износио је 2.936.600 лица, док је број незапослених 292.000 лица. У односу на други квартал 2020. године, стопа неактивности (за становништво 15+) је смањена за 2,8 процентних поена (п. п.) и у трећем кварталу 2020. године износила је 45,2%. Истовремено, стопа незапослености повећана је за 1,8 п. п. и износила је 9%, а стопа запослености повећана је за 1,6 п. п. и у трећем кварталу 2020. године достигла је ниво од 49,9%.</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Табела бр. 3. </w:t>
      </w:r>
      <w:r w:rsidRPr="005D3F21">
        <w:rPr>
          <w:rFonts w:ascii="Arial" w:eastAsia="Times New Roman" w:hAnsi="Arial" w:cs="Arial"/>
          <w:noProof w:val="0"/>
          <w:color w:val="000000"/>
          <w:lang w:eastAsia="sr-Latn-RS"/>
        </w:rPr>
        <w:t>Основни показатељи кретања на тржишту рада, III квартал 2020. године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35"/>
        <w:gridCol w:w="1102"/>
        <w:gridCol w:w="2002"/>
        <w:gridCol w:w="1137"/>
        <w:gridCol w:w="2710"/>
        <w:gridCol w:w="1374"/>
      </w:tblGrid>
      <w:tr w:rsidR="005D3F21" w:rsidRPr="005D3F21" w:rsidTr="005D3F21">
        <w:tc>
          <w:tcPr>
            <w:tcW w:w="1237" w:type="pct"/>
            <w:vMerge w:val="restar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color w:val="000000"/>
                <w:lang w:eastAsia="sr-Latn-RS"/>
              </w:rPr>
            </w:pP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III</w:t>
            </w:r>
          </w:p>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квартал 2020.</w:t>
            </w:r>
          </w:p>
        </w:tc>
        <w:tc>
          <w:tcPr>
            <w:tcW w:w="1419" w:type="pct"/>
            <w:gridSpan w:val="2"/>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Промене у односу на претходни квартал</w:t>
            </w:r>
          </w:p>
        </w:tc>
        <w:tc>
          <w:tcPr>
            <w:tcW w:w="1846" w:type="pct"/>
            <w:gridSpan w:val="2"/>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Промене у односу на исти квартал претходне године</w:t>
            </w:r>
          </w:p>
        </w:tc>
      </w:tr>
      <w:tr w:rsidR="005D3F21" w:rsidRPr="005D3F21" w:rsidTr="005D3F21">
        <w:tc>
          <w:tcPr>
            <w:tcW w:w="1237" w:type="pct"/>
            <w:vMerge/>
            <w:tcBorders>
              <w:top w:val="single" w:sz="6" w:space="0" w:color="000000"/>
              <w:left w:val="single" w:sz="6" w:space="0" w:color="000000"/>
              <w:bottom w:val="single" w:sz="6" w:space="0" w:color="000000"/>
              <w:right w:val="single" w:sz="6" w:space="0" w:color="000000"/>
            </w:tcBorders>
            <w:vAlign w:val="center"/>
            <w:hideMark/>
          </w:tcPr>
          <w:p w:rsidR="005D3F21" w:rsidRPr="005D3F21" w:rsidRDefault="005D3F21" w:rsidP="005D3F21">
            <w:pPr>
              <w:contextualSpacing w:val="0"/>
              <w:rPr>
                <w:rFonts w:ascii="Arial" w:eastAsia="Times New Roman" w:hAnsi="Arial" w:cs="Arial"/>
                <w:noProof w:val="0"/>
                <w:color w:val="000000"/>
                <w:lang w:eastAsia="sr-Latn-RS"/>
              </w:rPr>
            </w:pP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(у хиљ.)</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(у хиљ.)</w:t>
            </w: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(у хиљ.)</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Популација старости 15+</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5890,4</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-7,6</w:t>
            </w: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-0,1</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-29,9</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-0,5</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Активно становништво</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3228,6</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161,5</w:t>
            </w: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5,3</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-18,5</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-0,6</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Запослени</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2936,6</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92,4</w:t>
            </w: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3,2</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-2,1</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-0,1</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Формално запослени</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2427,3</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14,9</w:t>
            </w: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0,6</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40,7</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1,7</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Неформално запослени</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509,3</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77,5</w:t>
            </w: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17,9</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-42,9</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-7,8</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Незапослени</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292,0</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69,2</w:t>
            </w: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31,0</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-16,3</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-5,3</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Неактивно становништво</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2661,8</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-169,1</w:t>
            </w: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-6,0</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-11,4</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-0,4</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w:t>
            </w:r>
          </w:p>
        </w:tc>
        <w:tc>
          <w:tcPr>
            <w:tcW w:w="3266" w:type="pct"/>
            <w:gridSpan w:val="4"/>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(п. п.)</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Стопа активности</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54,8</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2,8</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0,0</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Стопа запослености</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49,9</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1,6</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0,2</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Стопа неформалне запослености</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17,3</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2,2</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-1,4</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Стопа незапослености</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9,0</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1,8</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-0,5</w:t>
            </w:r>
          </w:p>
        </w:tc>
      </w:tr>
      <w:tr w:rsidR="005D3F21" w:rsidRPr="005D3F21" w:rsidTr="005D3F21">
        <w:tc>
          <w:tcPr>
            <w:tcW w:w="1237"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Стопа неактивности</w:t>
            </w:r>
          </w:p>
        </w:tc>
        <w:tc>
          <w:tcPr>
            <w:tcW w:w="4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45,2</w:t>
            </w:r>
          </w:p>
        </w:tc>
        <w:tc>
          <w:tcPr>
            <w:tcW w:w="90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51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-2,8</w:t>
            </w:r>
          </w:p>
        </w:tc>
        <w:tc>
          <w:tcPr>
            <w:tcW w:w="1225"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0,0</w:t>
            </w:r>
          </w:p>
        </w:tc>
      </w:tr>
    </w:tbl>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i/>
          <w:iCs/>
          <w:noProof w:val="0"/>
          <w:color w:val="000000"/>
          <w:lang w:eastAsia="sr-Latn-RS"/>
        </w:rPr>
        <w:t>Извор: РЗС </w:t>
      </w:r>
      <w:r w:rsidRPr="005D3F21">
        <w:rPr>
          <w:rFonts w:ascii="Arial" w:eastAsia="Times New Roman" w:hAnsi="Arial" w:cs="Arial"/>
          <w:noProof w:val="0"/>
          <w:color w:val="000000"/>
          <w:lang w:eastAsia="sr-Latn-RS"/>
        </w:rPr>
        <w:t>Други сет мера се односи на директна давања предузећима кроз исплату помоћи у висини минималне зараде (мај</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јул 2020. године) за предузетнике, микро, мала и средња предузећа, односно субвенције 50% минималне зараде великим предузећима, чији запослени су послати на принудни одмор, због смањеног обима пословања или потпуне обуставе рада. Овим сетом мера обухваћено је око 235 хиљада привредних субјеката са око 1,05 мил. запослених, а издвојено је 97,3 млрд. РСД (0,8 млрд. ЕУР) или 1,7% БДП. Додатна директна подршка за привреду подразумева исплату још два месеца (август</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септембар 2020. године) 60% минималне зараде запосленима (око 18 хиљада РСД или 155 ЕУР), а за један месец ће бити одложени и порези и доприноси на зараде (укупна средства од 66 млрд. РСД).</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sz w:val="15"/>
          <w:szCs w:val="15"/>
          <w:vertAlign w:val="superscript"/>
          <w:lang w:eastAsia="sr-Latn-RS"/>
        </w:rPr>
        <w:t>5</w:t>
      </w:r>
      <w:r w:rsidRPr="005D3F21">
        <w:rPr>
          <w:rFonts w:ascii="Arial" w:eastAsia="Times New Roman" w:hAnsi="Arial" w:cs="Arial"/>
          <w:noProof w:val="0"/>
          <w:color w:val="000000"/>
          <w:lang w:eastAsia="sr-Latn-RS"/>
        </w:rPr>
        <w:t> РЗС, 30. новембар 2020. године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оквиру укупног раста запослености (за 92.400 лица), формална запосленост је порасла за 14.900 лица, а неформална запосленост за 77.500 лица.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Посматрано по секторима делатности, највећи раст запослености забележен је у сектору делатности </w:t>
      </w:r>
      <w:r w:rsidRPr="005D3F21">
        <w:rPr>
          <w:rFonts w:ascii="Arial" w:eastAsia="Times New Roman" w:hAnsi="Arial" w:cs="Arial"/>
          <w:i/>
          <w:iCs/>
          <w:noProof w:val="0"/>
          <w:color w:val="000000"/>
          <w:lang w:eastAsia="sr-Latn-RS"/>
        </w:rPr>
        <w:t>Пољопривреда, шумарство и рибарство</w:t>
      </w:r>
      <w:r w:rsidRPr="005D3F21">
        <w:rPr>
          <w:rFonts w:ascii="Arial" w:eastAsia="Times New Roman" w:hAnsi="Arial" w:cs="Arial"/>
          <w:noProof w:val="0"/>
          <w:color w:val="000000"/>
          <w:lang w:eastAsia="sr-Latn-RS"/>
        </w:rPr>
        <w:t> (за 26.700 лица) и </w:t>
      </w:r>
      <w:r w:rsidRPr="005D3F21">
        <w:rPr>
          <w:rFonts w:ascii="Arial" w:eastAsia="Times New Roman" w:hAnsi="Arial" w:cs="Arial"/>
          <w:i/>
          <w:iCs/>
          <w:noProof w:val="0"/>
          <w:color w:val="000000"/>
          <w:lang w:eastAsia="sr-Latn-RS"/>
        </w:rPr>
        <w:t>Грађевинарство</w:t>
      </w:r>
      <w:r w:rsidRPr="005D3F21">
        <w:rPr>
          <w:rFonts w:ascii="Arial" w:eastAsia="Times New Roman" w:hAnsi="Arial" w:cs="Arial"/>
          <w:noProof w:val="0"/>
          <w:color w:val="000000"/>
          <w:lang w:eastAsia="sr-Latn-RS"/>
        </w:rPr>
        <w:t> (за 19.200 лица), што је и очекивано, имајући у виду да је за трећи квартал карактеристично сезонско повећање пољопривредних и грађевинских радова.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Када се ради о популацији младих (старосна група 15</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24 године), у трећем кварталу 2020. године, у поређењу са другим кварталом исте, дошло је до повећања обима радне снаге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раст запослености за 20.500 лица и незапослености за 20.500 лица, и неактивног становништва (-43.400 лица), што је условило повећање стопе запослености младих за 3,0 п. п. и стопе незапослености за 5,8 п. п.</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Уколико се анализирају подаци о регистрованој запослености</w:t>
      </w:r>
      <w:r w:rsidRPr="005D3F21">
        <w:rPr>
          <w:rFonts w:ascii="Arial" w:eastAsia="Times New Roman" w:hAnsi="Arial" w:cs="Arial"/>
          <w:noProof w:val="0"/>
          <w:color w:val="000000"/>
          <w:sz w:val="15"/>
          <w:szCs w:val="15"/>
          <w:vertAlign w:val="superscript"/>
          <w:lang w:eastAsia="sr-Latn-RS"/>
        </w:rPr>
        <w:t>6</w:t>
      </w:r>
      <w:r w:rsidRPr="005D3F21">
        <w:rPr>
          <w:rFonts w:ascii="Arial" w:eastAsia="Times New Roman" w:hAnsi="Arial" w:cs="Arial"/>
          <w:noProof w:val="0"/>
          <w:color w:val="000000"/>
          <w:lang w:eastAsia="sr-Latn-RS"/>
        </w:rPr>
        <w:t>, укупан број запослених у трећем кварталу 2020. године износио је 2.224.842 лица. Од укупног броја, 1.768.027 лица запосленo je у правним лицима, 391.277 су предузетници, лица запослена код њих и лица која самостално обављају делатност, а 65.538 лица су у категорији регистрованих индивидуалних пољопривредника. Посматрано према модалитетима запослености, запослених у радном односу било је 2.092.398 лица, ван радног односа 66.906 лица, док је број регистрованих индивидуалних пољопривредника износио 65.538 лица.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Табела бр. 4. </w:t>
      </w:r>
      <w:r w:rsidRPr="005D3F21">
        <w:rPr>
          <w:rFonts w:ascii="Arial" w:eastAsia="Times New Roman" w:hAnsi="Arial" w:cs="Arial"/>
          <w:noProof w:val="0"/>
          <w:color w:val="000000"/>
          <w:lang w:eastAsia="sr-Latn-RS"/>
        </w:rPr>
        <w:t>Регистрована запосленост 2019</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2020. године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259"/>
        <w:gridCol w:w="950"/>
        <w:gridCol w:w="617"/>
        <w:gridCol w:w="617"/>
        <w:gridCol w:w="617"/>
      </w:tblGrid>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color w:val="000000"/>
                <w:lang w:eastAsia="sr-Latn-RS"/>
              </w:rPr>
            </w:pP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2019.</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IQ 2020.</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IIQ 2020.</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IIIQ 2020.</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Укупно</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2.173.135</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2 186 834</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2 197 065</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2 224 842</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Запослени у правним лицима (у радном односу и ван радног односа)</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1.723.828</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1 743 643</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1 752 536</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1 768 027</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Предузетници и запослени код њих и лица која самостално обављају делатност (у радном односу и ван радног односа)</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377.439</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374 306</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377 535</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391 277</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Регистровани индивидуални пољопривредници</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71.868</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68 885</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66 994</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65 538</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Запослени у радном односу и ван радног односа укупно</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2.101.266</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2 117 949</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2 130 072</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2 159 303</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Свега запослени у радном односу</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2.029.441</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2 048 851</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2 064 776</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2 092 398</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Запослени у правним лицима</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1.656.391</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1 678 923</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1 691 378</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1 705 406</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Предузетници и запослени код њих и лица која самостално обављају делатност</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373.050</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369 927</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373 398</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386 992</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Свега запослени ван радног односа</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71.826</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69 098</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65 296</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66 906</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Запослени у правним лицима</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67.437</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64 720</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61 158</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62 621</w:t>
            </w:r>
          </w:p>
        </w:tc>
      </w:tr>
      <w:tr w:rsidR="005D3F21" w:rsidRPr="005D3F21" w:rsidTr="005D3F21">
        <w:tc>
          <w:tcPr>
            <w:tcW w:w="3763"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Предузетници и запослени код њих и лица која самостално обављају делатност</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4.389</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4 378</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4 137</w:t>
            </w:r>
          </w:p>
        </w:tc>
        <w:tc>
          <w:tcPr>
            <w:tcW w:w="30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i/>
                <w:iCs/>
                <w:noProof w:val="0"/>
                <w:sz w:val="20"/>
                <w:szCs w:val="20"/>
                <w:lang w:eastAsia="sr-Latn-RS"/>
              </w:rPr>
              <w:t>4 285</w:t>
            </w:r>
          </w:p>
        </w:tc>
      </w:tr>
    </w:tbl>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i/>
          <w:iCs/>
          <w:noProof w:val="0"/>
          <w:color w:val="000000"/>
          <w:lang w:eastAsia="sr-Latn-RS"/>
        </w:rPr>
        <w:t>Извор: РЗС</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односу на исти квартал претходне године, </w:t>
      </w:r>
      <w:r w:rsidRPr="005D3F21">
        <w:rPr>
          <w:rFonts w:ascii="Arial" w:eastAsia="Times New Roman" w:hAnsi="Arial" w:cs="Arial"/>
          <w:b/>
          <w:bCs/>
          <w:noProof w:val="0"/>
          <w:color w:val="000000"/>
          <w:lang w:eastAsia="sr-Latn-RS"/>
        </w:rPr>
        <w:t>укупна регистрована запосленост је повећана за 2,0%, односно за 44.422 лица</w:t>
      </w:r>
      <w:r w:rsidRPr="005D3F21">
        <w:rPr>
          <w:rFonts w:ascii="Arial" w:eastAsia="Times New Roman" w:hAnsi="Arial" w:cs="Arial"/>
          <w:noProof w:val="0"/>
          <w:color w:val="000000"/>
          <w:lang w:eastAsia="sr-Latn-RS"/>
        </w:rPr>
        <w:t>. Број запослених у правним лицима порастао за 2,3%, број предузетника, запослених код њих и лица која самостално обављају делатност повећан је за 2,7%, док је број регистрованих индивидуалних пољопривредника смањен за 7,6%.</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односу на претходни квартал, </w:t>
      </w:r>
      <w:r w:rsidRPr="005D3F21">
        <w:rPr>
          <w:rFonts w:ascii="Arial" w:eastAsia="Times New Roman" w:hAnsi="Arial" w:cs="Arial"/>
          <w:b/>
          <w:bCs/>
          <w:noProof w:val="0"/>
          <w:color w:val="000000"/>
          <w:lang w:eastAsia="sr-Latn-RS"/>
        </w:rPr>
        <w:t>укупан број запослених је већи за 1,3%,</w:t>
      </w:r>
      <w:r w:rsidRPr="005D3F21">
        <w:rPr>
          <w:rFonts w:ascii="Arial" w:eastAsia="Times New Roman" w:hAnsi="Arial" w:cs="Arial"/>
          <w:noProof w:val="0"/>
          <w:color w:val="000000"/>
          <w:lang w:eastAsia="sr-Latn-RS"/>
        </w:rPr>
        <w:t> при чему је број запослених у правним лицима повећан за 0,9%, број предузетника, запослених код њих и лица која самостално обављају делатност повећан је за 3,6%, док је број регистрованих индивидуалних пољопривредника смањен за 2,2%.</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Сектори делатности у којима је дошло до највећег повећања броја запослених су</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i/>
          <w:iCs/>
          <w:noProof w:val="0"/>
          <w:color w:val="000000"/>
          <w:lang w:eastAsia="sr-Latn-RS"/>
        </w:rPr>
        <w:t>Прерађивачка индустрија</w:t>
      </w:r>
      <w:r w:rsidRPr="005D3F21">
        <w:rPr>
          <w:rFonts w:ascii="Arial" w:eastAsia="Times New Roman" w:hAnsi="Arial" w:cs="Arial"/>
          <w:noProof w:val="0"/>
          <w:color w:val="000000"/>
          <w:lang w:eastAsia="sr-Latn-RS"/>
        </w:rPr>
        <w:t> (раст од 14.513 лица), </w:t>
      </w:r>
      <w:r w:rsidRPr="005D3F21">
        <w:rPr>
          <w:rFonts w:ascii="Arial" w:eastAsia="Times New Roman" w:hAnsi="Arial" w:cs="Arial"/>
          <w:i/>
          <w:iCs/>
          <w:noProof w:val="0"/>
          <w:color w:val="000000"/>
          <w:lang w:eastAsia="sr-Latn-RS"/>
        </w:rPr>
        <w:t>Грађевинарство</w:t>
      </w:r>
      <w:r w:rsidRPr="005D3F21">
        <w:rPr>
          <w:rFonts w:ascii="Arial" w:eastAsia="Times New Roman" w:hAnsi="Arial" w:cs="Arial"/>
          <w:noProof w:val="0"/>
          <w:color w:val="000000"/>
          <w:lang w:eastAsia="sr-Latn-RS"/>
        </w:rPr>
        <w:t> (раст од 9.727 лица), </w:t>
      </w:r>
      <w:r w:rsidRPr="005D3F21">
        <w:rPr>
          <w:rFonts w:ascii="Arial" w:eastAsia="Times New Roman" w:hAnsi="Arial" w:cs="Arial"/>
          <w:i/>
          <w:iCs/>
          <w:noProof w:val="0"/>
          <w:color w:val="000000"/>
          <w:lang w:eastAsia="sr-Latn-RS"/>
        </w:rPr>
        <w:t>Трговина на велико и мало и поправка моторних возила</w:t>
      </w:r>
      <w:r w:rsidRPr="005D3F21">
        <w:rPr>
          <w:rFonts w:ascii="Arial" w:eastAsia="Times New Roman" w:hAnsi="Arial" w:cs="Arial"/>
          <w:noProof w:val="0"/>
          <w:color w:val="000000"/>
          <w:lang w:eastAsia="sr-Latn-RS"/>
        </w:rPr>
        <w:t> (раст од 9.025 лица), </w:t>
      </w:r>
      <w:r w:rsidRPr="005D3F21">
        <w:rPr>
          <w:rFonts w:ascii="Arial" w:eastAsia="Times New Roman" w:hAnsi="Arial" w:cs="Arial"/>
          <w:i/>
          <w:iCs/>
          <w:noProof w:val="0"/>
          <w:color w:val="000000"/>
          <w:lang w:eastAsia="sr-Latn-RS"/>
        </w:rPr>
        <w:t>Информисање и комуникације</w:t>
      </w:r>
      <w:r w:rsidRPr="005D3F21">
        <w:rPr>
          <w:rFonts w:ascii="Arial" w:eastAsia="Times New Roman" w:hAnsi="Arial" w:cs="Arial"/>
          <w:noProof w:val="0"/>
          <w:color w:val="000000"/>
          <w:lang w:eastAsia="sr-Latn-RS"/>
        </w:rPr>
        <w:t> (раст од 6.643 лица) и </w:t>
      </w:r>
      <w:r w:rsidRPr="005D3F21">
        <w:rPr>
          <w:rFonts w:ascii="Arial" w:eastAsia="Times New Roman" w:hAnsi="Arial" w:cs="Arial"/>
          <w:i/>
          <w:iCs/>
          <w:noProof w:val="0"/>
          <w:color w:val="000000"/>
          <w:lang w:eastAsia="sr-Latn-RS"/>
        </w:rPr>
        <w:t>Саобраћај и складиштење</w:t>
      </w:r>
      <w:r w:rsidRPr="005D3F21">
        <w:rPr>
          <w:rFonts w:ascii="Arial" w:eastAsia="Times New Roman" w:hAnsi="Arial" w:cs="Arial"/>
          <w:noProof w:val="0"/>
          <w:color w:val="000000"/>
          <w:lang w:eastAsia="sr-Latn-RS"/>
        </w:rPr>
        <w:t> (раст од 4.419 лица). Територијално, до раста запослености је дошло у свим регионима, али је доминантно сконцентрисан у Београдском региону и Региону Војводине.</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трећем кварталу 2020. године регистровано је смањење броја запослених у јавном сектору за 1.694 лица у односу на претходни квартал (смањење у </w:t>
      </w:r>
      <w:r w:rsidRPr="005D3F21">
        <w:rPr>
          <w:rFonts w:ascii="Arial" w:eastAsia="Times New Roman" w:hAnsi="Arial" w:cs="Arial"/>
          <w:i/>
          <w:iCs/>
          <w:noProof w:val="0"/>
          <w:color w:val="000000"/>
          <w:lang w:eastAsia="sr-Latn-RS"/>
        </w:rPr>
        <w:t>области образовање и култура</w:t>
      </w:r>
      <w:r w:rsidRPr="005D3F21">
        <w:rPr>
          <w:rFonts w:ascii="Arial" w:eastAsia="Times New Roman" w:hAnsi="Arial" w:cs="Arial"/>
          <w:noProof w:val="0"/>
          <w:color w:val="000000"/>
          <w:lang w:eastAsia="sr-Latn-RS"/>
        </w:rPr>
        <w:t>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за 2.656 лица), али је истовремено повећан број запослених у области </w:t>
      </w:r>
      <w:r w:rsidRPr="005D3F21">
        <w:rPr>
          <w:rFonts w:ascii="Arial" w:eastAsia="Times New Roman" w:hAnsi="Arial" w:cs="Arial"/>
          <w:i/>
          <w:iCs/>
          <w:noProof w:val="0"/>
          <w:color w:val="000000"/>
          <w:lang w:eastAsia="sr-Latn-RS"/>
        </w:rPr>
        <w:t>здравствени и социјални рад</w:t>
      </w:r>
      <w:r w:rsidRPr="005D3F21">
        <w:rPr>
          <w:rFonts w:ascii="Arial" w:eastAsia="Times New Roman" w:hAnsi="Arial" w:cs="Arial"/>
          <w:noProof w:val="0"/>
          <w:color w:val="000000"/>
          <w:lang w:eastAsia="sr-Latn-RS"/>
        </w:rPr>
        <w:t> (за 538 лица).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Табела бр. 5. </w:t>
      </w:r>
      <w:r w:rsidRPr="005D3F21">
        <w:rPr>
          <w:rFonts w:ascii="Arial" w:eastAsia="Times New Roman" w:hAnsi="Arial" w:cs="Arial"/>
          <w:noProof w:val="0"/>
          <w:color w:val="000000"/>
          <w:lang w:eastAsia="sr-Latn-RS"/>
        </w:rPr>
        <w:t xml:space="preserve">Регистрована запосленост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јавни сектор, 2019</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2020.</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623"/>
        <w:gridCol w:w="1013"/>
        <w:gridCol w:w="1071"/>
        <w:gridCol w:w="1141"/>
        <w:gridCol w:w="1212"/>
      </w:tblGrid>
      <w:tr w:rsidR="005D3F21" w:rsidRPr="005D3F21" w:rsidTr="005D3F21">
        <w:tc>
          <w:tcPr>
            <w:tcW w:w="299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Регистрована запосленост</w:t>
            </w:r>
          </w:p>
        </w:tc>
        <w:tc>
          <w:tcPr>
            <w:tcW w:w="45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2019.</w:t>
            </w:r>
          </w:p>
        </w:tc>
        <w:tc>
          <w:tcPr>
            <w:tcW w:w="48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IQ 2020.</w:t>
            </w:r>
          </w:p>
        </w:tc>
        <w:tc>
          <w:tcPr>
            <w:tcW w:w="51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IIQ 2020.</w:t>
            </w:r>
          </w:p>
        </w:tc>
        <w:tc>
          <w:tcPr>
            <w:tcW w:w="5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IIIQ 2020.</w:t>
            </w:r>
          </w:p>
        </w:tc>
      </w:tr>
      <w:tr w:rsidR="005D3F21" w:rsidRPr="005D3F21" w:rsidTr="005D3F21">
        <w:tc>
          <w:tcPr>
            <w:tcW w:w="299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 xml:space="preserve">Јавни сектор </w:t>
            </w: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укупно</w:t>
            </w:r>
          </w:p>
        </w:tc>
        <w:tc>
          <w:tcPr>
            <w:tcW w:w="45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599.994</w:t>
            </w:r>
          </w:p>
        </w:tc>
        <w:tc>
          <w:tcPr>
            <w:tcW w:w="48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600 685</w:t>
            </w:r>
          </w:p>
        </w:tc>
        <w:tc>
          <w:tcPr>
            <w:tcW w:w="51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600 638</w:t>
            </w:r>
          </w:p>
        </w:tc>
        <w:tc>
          <w:tcPr>
            <w:tcW w:w="5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598 944</w:t>
            </w:r>
          </w:p>
        </w:tc>
      </w:tr>
      <w:tr w:rsidR="005D3F21" w:rsidRPr="005D3F21" w:rsidTr="005D3F21">
        <w:tc>
          <w:tcPr>
            <w:tcW w:w="299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Јавна државна предузећа</w:t>
            </w:r>
          </w:p>
        </w:tc>
        <w:tc>
          <w:tcPr>
            <w:tcW w:w="45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83.626</w:t>
            </w:r>
          </w:p>
        </w:tc>
        <w:tc>
          <w:tcPr>
            <w:tcW w:w="48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82 858</w:t>
            </w:r>
          </w:p>
        </w:tc>
        <w:tc>
          <w:tcPr>
            <w:tcW w:w="51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83 124</w:t>
            </w:r>
          </w:p>
        </w:tc>
        <w:tc>
          <w:tcPr>
            <w:tcW w:w="5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83 057</w:t>
            </w:r>
          </w:p>
        </w:tc>
      </w:tr>
      <w:tr w:rsidR="005D3F21" w:rsidRPr="005D3F21" w:rsidTr="005D3F21">
        <w:tc>
          <w:tcPr>
            <w:tcW w:w="299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Јавна локална предузећа</w:t>
            </w:r>
          </w:p>
        </w:tc>
        <w:tc>
          <w:tcPr>
            <w:tcW w:w="45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60.360</w:t>
            </w:r>
          </w:p>
        </w:tc>
        <w:tc>
          <w:tcPr>
            <w:tcW w:w="48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60 235</w:t>
            </w:r>
          </w:p>
        </w:tc>
        <w:tc>
          <w:tcPr>
            <w:tcW w:w="51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60 113</w:t>
            </w:r>
          </w:p>
        </w:tc>
        <w:tc>
          <w:tcPr>
            <w:tcW w:w="5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60 464</w:t>
            </w:r>
          </w:p>
        </w:tc>
      </w:tr>
      <w:tr w:rsidR="005D3F21" w:rsidRPr="005D3F21" w:rsidTr="005D3F21">
        <w:tc>
          <w:tcPr>
            <w:tcW w:w="299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 xml:space="preserve">Администрација </w:t>
            </w: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ниво државе и аутономне покрајине</w:t>
            </w:r>
          </w:p>
        </w:tc>
        <w:tc>
          <w:tcPr>
            <w:tcW w:w="45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132.767</w:t>
            </w:r>
          </w:p>
        </w:tc>
        <w:tc>
          <w:tcPr>
            <w:tcW w:w="48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132 476</w:t>
            </w:r>
          </w:p>
        </w:tc>
        <w:tc>
          <w:tcPr>
            <w:tcW w:w="51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133 503</w:t>
            </w:r>
          </w:p>
        </w:tc>
        <w:tc>
          <w:tcPr>
            <w:tcW w:w="5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133 447</w:t>
            </w:r>
          </w:p>
        </w:tc>
      </w:tr>
      <w:tr w:rsidR="005D3F21" w:rsidRPr="005D3F21" w:rsidTr="005D3F21">
        <w:tc>
          <w:tcPr>
            <w:tcW w:w="299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 xml:space="preserve">Администрација </w:t>
            </w:r>
            <w:r>
              <w:rPr>
                <w:rFonts w:ascii="Arial" w:eastAsia="Times New Roman" w:hAnsi="Arial" w:cs="Arial"/>
                <w:noProof w:val="0"/>
                <w:sz w:val="20"/>
                <w:szCs w:val="20"/>
                <w:lang w:eastAsia="sr-Latn-RS"/>
              </w:rPr>
              <w:t>-</w:t>
            </w:r>
            <w:r w:rsidRPr="005D3F21">
              <w:rPr>
                <w:rFonts w:ascii="Arial" w:eastAsia="Times New Roman" w:hAnsi="Arial" w:cs="Arial"/>
                <w:noProof w:val="0"/>
                <w:sz w:val="20"/>
                <w:szCs w:val="20"/>
                <w:lang w:eastAsia="sr-Latn-RS"/>
              </w:rPr>
              <w:t xml:space="preserve"> ниво локалне самоуправе</w:t>
            </w:r>
          </w:p>
        </w:tc>
        <w:tc>
          <w:tcPr>
            <w:tcW w:w="45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27.710</w:t>
            </w:r>
          </w:p>
        </w:tc>
        <w:tc>
          <w:tcPr>
            <w:tcW w:w="48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27 942</w:t>
            </w:r>
          </w:p>
        </w:tc>
        <w:tc>
          <w:tcPr>
            <w:tcW w:w="51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27 733</w:t>
            </w:r>
          </w:p>
        </w:tc>
        <w:tc>
          <w:tcPr>
            <w:tcW w:w="5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27 930</w:t>
            </w:r>
          </w:p>
        </w:tc>
      </w:tr>
      <w:tr w:rsidR="005D3F21" w:rsidRPr="005D3F21" w:rsidTr="005D3F21">
        <w:tc>
          <w:tcPr>
            <w:tcW w:w="299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Здравствени и социјални рад</w:t>
            </w:r>
          </w:p>
        </w:tc>
        <w:tc>
          <w:tcPr>
            <w:tcW w:w="45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149.375</w:t>
            </w:r>
          </w:p>
        </w:tc>
        <w:tc>
          <w:tcPr>
            <w:tcW w:w="48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149 718</w:t>
            </w:r>
          </w:p>
        </w:tc>
        <w:tc>
          <w:tcPr>
            <w:tcW w:w="51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150 627</w:t>
            </w:r>
          </w:p>
        </w:tc>
        <w:tc>
          <w:tcPr>
            <w:tcW w:w="5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151 165</w:t>
            </w:r>
          </w:p>
        </w:tc>
      </w:tr>
      <w:tr w:rsidR="005D3F21" w:rsidRPr="005D3F21" w:rsidTr="005D3F21">
        <w:tc>
          <w:tcPr>
            <w:tcW w:w="299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Образовање и култура</w:t>
            </w:r>
          </w:p>
        </w:tc>
        <w:tc>
          <w:tcPr>
            <w:tcW w:w="45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146.156</w:t>
            </w:r>
          </w:p>
        </w:tc>
        <w:tc>
          <w:tcPr>
            <w:tcW w:w="484"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147 457</w:t>
            </w:r>
          </w:p>
        </w:tc>
        <w:tc>
          <w:tcPr>
            <w:tcW w:w="516"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145 537</w:t>
            </w:r>
          </w:p>
        </w:tc>
        <w:tc>
          <w:tcPr>
            <w:tcW w:w="54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142 881</w:t>
            </w:r>
          </w:p>
        </w:tc>
      </w:tr>
    </w:tbl>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i/>
          <w:iCs/>
          <w:noProof w:val="0"/>
          <w:color w:val="000000"/>
          <w:lang w:eastAsia="sr-Latn-RS"/>
        </w:rPr>
        <w:t>Извор: РЗС</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Према административним подацима Националне службе за запошљавање (стање на дан 31. октобар 2020. године), укупна регистрована незапосленост износила је 495.499 лица (275.250 или 55,55% жена), што представља смањење за 3.209 незапослених лица у односу на претходни месец, односно за 5.137 незапослених лица у односу на исти месец претходне године. Потребно је имати у виду да на кретање броја незапослених лица, поред привредне активности, утичу и демографске промене (негативни природни прираштај који за последицу има и смањен прилив у кохорту становништва радног узраста), као и неповољна миграторна кретања (економска емиграција).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Посматрано према </w:t>
      </w:r>
      <w:r w:rsidRPr="005D3F21">
        <w:rPr>
          <w:rFonts w:ascii="Arial" w:eastAsia="Times New Roman" w:hAnsi="Arial" w:cs="Arial"/>
          <w:i/>
          <w:iCs/>
          <w:noProof w:val="0"/>
          <w:color w:val="000000"/>
          <w:lang w:eastAsia="sr-Latn-RS"/>
        </w:rPr>
        <w:t>старосним карактеристикама</w:t>
      </w:r>
      <w:r w:rsidRPr="005D3F21">
        <w:rPr>
          <w:rFonts w:ascii="Arial" w:eastAsia="Times New Roman" w:hAnsi="Arial" w:cs="Arial"/>
          <w:noProof w:val="0"/>
          <w:color w:val="000000"/>
          <w:lang w:eastAsia="sr-Latn-RS"/>
        </w:rPr>
        <w:t>, незапослена лица до 30 година старости учествују са 21,8% у укупној регистрованој незапослености, док је удео лица старијих од 50 година 34,4%. У поређењу са истим месецом претходне године, повећан је удео незапослених младих за 1,2 п.п. и незапослених лица старијих од 50 година за 0,3 п.п., што је условило смањење удела незапослених у старосној групи 30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49 година за 1,5 п.п.</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Графикон бр. 1.</w:t>
      </w:r>
      <w:r w:rsidRPr="005D3F21">
        <w:rPr>
          <w:rFonts w:ascii="Arial" w:eastAsia="Times New Roman" w:hAnsi="Arial" w:cs="Arial"/>
          <w:noProof w:val="0"/>
          <w:color w:val="000000"/>
          <w:lang w:eastAsia="sr-Latn-RS"/>
        </w:rPr>
        <w:t> Старосна структура регистроване незапослености</w:t>
      </w:r>
    </w:p>
    <w:p w:rsidR="005D3F21" w:rsidRPr="005D3F21" w:rsidRDefault="005D3F21" w:rsidP="005D3F21">
      <w:pPr>
        <w:contextualSpacing w:val="0"/>
        <w:jc w:val="center"/>
        <w:rPr>
          <w:rFonts w:ascii="Arial" w:eastAsia="Times New Roman" w:hAnsi="Arial" w:cs="Arial"/>
          <w:noProof w:val="0"/>
          <w:color w:val="000000"/>
          <w:lang w:eastAsia="sr-Latn-RS"/>
        </w:rPr>
      </w:pPr>
      <w:r w:rsidRPr="005D3F21">
        <w:rPr>
          <w:rFonts w:ascii="Arial" w:eastAsia="Times New Roman" w:hAnsi="Arial" w:cs="Arial"/>
          <w:color w:val="000000"/>
          <w:lang w:eastAsia="sr-Latn-RS"/>
        </w:rPr>
        <w:pict>
          <v:shape id="_x0000_i1051" type="#_x0000_t75" alt="https://www.pravno-informacioni-sistem.rs/SlGlasnikPortal/slike/Odrasli_Page_001.png&amp;doctype=reg&amp;regactid=431835" style="width:398.25pt;height:162pt;visibility:visible;mso-wrap-style:square">
            <v:imagedata r:id="rId9" o:title="Odrasli_Page_001"/>
          </v:shape>
        </w:pic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Посматрано према </w:t>
      </w:r>
      <w:r w:rsidRPr="005D3F21">
        <w:rPr>
          <w:rFonts w:ascii="Arial" w:eastAsia="Times New Roman" w:hAnsi="Arial" w:cs="Arial"/>
          <w:i/>
          <w:iCs/>
          <w:noProof w:val="0"/>
          <w:color w:val="000000"/>
          <w:lang w:eastAsia="sr-Latn-RS"/>
        </w:rPr>
        <w:t>квалификационој структури</w:t>
      </w:r>
      <w:r w:rsidRPr="005D3F21">
        <w:rPr>
          <w:rFonts w:ascii="Arial" w:eastAsia="Times New Roman" w:hAnsi="Arial" w:cs="Arial"/>
          <w:noProof w:val="0"/>
          <w:color w:val="000000"/>
          <w:lang w:eastAsia="sr-Latn-RS"/>
        </w:rPr>
        <w:t>, у укупној регистрованој незапослености највећи удео имају лица са средњим нивоом образовања (51,4%). Следе лица без квалификација и са ниским нивоом квалификација са уделом од 33,5% (међу којима је и значајан број лица без завршене основне школе) и лица са вишим и високим нивоом квалификација (15,1%). У поређењу са истим месецом претходне године, удео лица без квалификација и са ниским нивоом квалификација је повећан за 0,1 п.п., удео лица са средњим нивоом квалификација смањен је за 0,4 п.п., док је повећање удела од 0,5 п.п. регистровано у групи лица са вишим и високим нивоом образовања.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Графикон бр. 2</w:t>
      </w:r>
      <w:r w:rsidRPr="005D3F21">
        <w:rPr>
          <w:rFonts w:ascii="Arial" w:eastAsia="Times New Roman" w:hAnsi="Arial" w:cs="Arial"/>
          <w:noProof w:val="0"/>
          <w:color w:val="000000"/>
          <w:lang w:eastAsia="sr-Latn-RS"/>
        </w:rPr>
        <w:t>. Квалификациона структура регистроване незапослености</w:t>
      </w:r>
    </w:p>
    <w:p w:rsidR="005D3F21" w:rsidRPr="005D3F21" w:rsidRDefault="005D3F21" w:rsidP="005D3F21">
      <w:pPr>
        <w:contextualSpacing w:val="0"/>
        <w:jc w:val="center"/>
        <w:rPr>
          <w:rFonts w:ascii="Arial" w:eastAsia="Times New Roman" w:hAnsi="Arial" w:cs="Arial"/>
          <w:noProof w:val="0"/>
          <w:color w:val="000000"/>
          <w:lang w:eastAsia="sr-Latn-RS"/>
        </w:rPr>
      </w:pPr>
      <w:r w:rsidRPr="005D3F21">
        <w:rPr>
          <w:rFonts w:ascii="Arial" w:eastAsia="Times New Roman" w:hAnsi="Arial" w:cs="Arial"/>
          <w:color w:val="000000"/>
          <w:lang w:eastAsia="sr-Latn-RS"/>
        </w:rPr>
        <w:pict>
          <v:shape id="Picture 2" o:spid="_x0000_i1050" type="#_x0000_t75" alt="https://www.pravno-informacioni-sistem.rs/SlGlasnikPortal/slike/Odrasli_Page_002.jpg&amp;doctype=reg&amp;regactid=431835" style="width:398.25pt;height:174.75pt;visibility:visible;mso-wrap-style:square">
            <v:imagedata r:id="rId10" o:title="Odrasli_Page_002"/>
          </v:shape>
        </w:pic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Једна од карактеристика регистроване незапослености који има негативан утицај на конкурентно иступање незапослених лица на тржиште рада и која оправдава неопходност значајнијег обухвата незапослених лица програмима из система додатног образовања и обуке, је </w:t>
      </w:r>
      <w:r w:rsidRPr="005D3F21">
        <w:rPr>
          <w:rFonts w:ascii="Arial" w:eastAsia="Times New Roman" w:hAnsi="Arial" w:cs="Arial"/>
          <w:i/>
          <w:iCs/>
          <w:noProof w:val="0"/>
          <w:color w:val="000000"/>
          <w:lang w:eastAsia="sr-Latn-RS"/>
        </w:rPr>
        <w:t>дугорочна незапосленост</w:t>
      </w:r>
      <w:r w:rsidRPr="005D3F21">
        <w:rPr>
          <w:rFonts w:ascii="Arial" w:eastAsia="Times New Roman" w:hAnsi="Arial" w:cs="Arial"/>
          <w:noProof w:val="0"/>
          <w:color w:val="000000"/>
          <w:lang w:eastAsia="sr-Latn-RS"/>
        </w:rPr>
        <w:t>, односно удео незапослених лица који посао траже дуже од 12 месеци, а који је у октобру 2020. године износио 65,6%. Посебно забрињава податак да је удео лица у наглашеној дугорочној незапослености (лица која посао траже дуже од 24 месеца) чак 51,1%.</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Графикон бр. 3. </w:t>
      </w:r>
      <w:r w:rsidRPr="005D3F21">
        <w:rPr>
          <w:rFonts w:ascii="Arial" w:eastAsia="Times New Roman" w:hAnsi="Arial" w:cs="Arial"/>
          <w:noProof w:val="0"/>
          <w:color w:val="000000"/>
          <w:lang w:eastAsia="sr-Latn-RS"/>
        </w:rPr>
        <w:t>Незапослена лица према трајању незапослености и полу</w:t>
      </w:r>
    </w:p>
    <w:p w:rsidR="005D3F21" w:rsidRPr="005D3F21" w:rsidRDefault="005D3F21" w:rsidP="005D3F21">
      <w:pPr>
        <w:contextualSpacing w:val="0"/>
        <w:jc w:val="center"/>
        <w:rPr>
          <w:rFonts w:ascii="Arial" w:eastAsia="Times New Roman" w:hAnsi="Arial" w:cs="Arial"/>
          <w:noProof w:val="0"/>
          <w:color w:val="000000"/>
          <w:lang w:eastAsia="sr-Latn-RS"/>
        </w:rPr>
      </w:pPr>
      <w:r w:rsidRPr="005D3F21">
        <w:rPr>
          <w:rFonts w:ascii="Arial" w:eastAsia="Times New Roman" w:hAnsi="Arial" w:cs="Arial"/>
          <w:color w:val="000000"/>
          <w:lang w:eastAsia="sr-Latn-RS"/>
        </w:rPr>
        <w:pict>
          <v:shape id="Picture 3" o:spid="_x0000_i1049" type="#_x0000_t75" alt="https://www.pravno-informacioni-sistem.rs/SlGlasnikPortal/slike/Odrasli_Page_003.png&amp;doctype=reg&amp;regactid=431835" style="width:398.25pt;height:214.5pt;visibility:visible;mso-wrap-style:square">
            <v:imagedata r:id="rId11" o:title="Odrasli_Page_003"/>
          </v:shape>
        </w:pic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Дугорочна незапосленост утиче на застаревање стечених теоријских и практичних знања и вештина, док вишегодишње одсуство са тржишта рада, посебно за категорије које имају неповољну полазну квалификациону позицију или се суочавају са више фактора отежане запошљивости, доводи до потпуне неактивности, односно изолованости од тржишта рада, пасивизације и вишегенерацијске зависности од давања из система социјалне заштите, уз репликацију модела понашања на наредне генерације.</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Уколико анализирамо карактеристике запошљавања са евиденције Националне службе за запошљавање, карактеристике пријављених потреба за запошљавањем и реализованих посредовања (у смислу занимања), од укупно 175.127 (95.728 жена) случајева запошљавања са евиденције Националне службе за запошљавање који су регистровани у периоду јануар-октобар 2020.године, највећи број регистрован је у делатности </w:t>
      </w:r>
      <w:r w:rsidRPr="005D3F21">
        <w:rPr>
          <w:rFonts w:ascii="Arial" w:eastAsia="Times New Roman" w:hAnsi="Arial" w:cs="Arial"/>
          <w:i/>
          <w:iCs/>
          <w:noProof w:val="0"/>
          <w:color w:val="000000"/>
          <w:lang w:eastAsia="sr-Latn-RS"/>
        </w:rPr>
        <w:t>Прерађивачка индустрија </w:t>
      </w:r>
      <w:r w:rsidRPr="005D3F21">
        <w:rPr>
          <w:rFonts w:ascii="Arial" w:eastAsia="Times New Roman" w:hAnsi="Arial" w:cs="Arial"/>
          <w:noProof w:val="0"/>
          <w:color w:val="000000"/>
          <w:lang w:eastAsia="sr-Latn-RS"/>
        </w:rPr>
        <w:t>(47.441 случај). Следе </w:t>
      </w:r>
      <w:r w:rsidRPr="005D3F21">
        <w:rPr>
          <w:rFonts w:ascii="Arial" w:eastAsia="Times New Roman" w:hAnsi="Arial" w:cs="Arial"/>
          <w:i/>
          <w:iCs/>
          <w:noProof w:val="0"/>
          <w:color w:val="000000"/>
          <w:lang w:eastAsia="sr-Latn-RS"/>
        </w:rPr>
        <w:t>Трговина на велико и мало; Поправка моторних возила и моторцикала </w:t>
      </w:r>
      <w:r w:rsidRPr="005D3F21">
        <w:rPr>
          <w:rFonts w:ascii="Arial" w:eastAsia="Times New Roman" w:hAnsi="Arial" w:cs="Arial"/>
          <w:noProof w:val="0"/>
          <w:color w:val="000000"/>
          <w:lang w:eastAsia="sr-Latn-RS"/>
        </w:rPr>
        <w:t>(28.055 случајева), затим </w:t>
      </w:r>
      <w:r w:rsidRPr="005D3F21">
        <w:rPr>
          <w:rFonts w:ascii="Arial" w:eastAsia="Times New Roman" w:hAnsi="Arial" w:cs="Arial"/>
          <w:i/>
          <w:iCs/>
          <w:noProof w:val="0"/>
          <w:color w:val="000000"/>
          <w:lang w:eastAsia="sr-Latn-RS"/>
        </w:rPr>
        <w:t>Грађевинарство </w:t>
      </w:r>
      <w:r w:rsidRPr="005D3F21">
        <w:rPr>
          <w:rFonts w:ascii="Arial" w:eastAsia="Times New Roman" w:hAnsi="Arial" w:cs="Arial"/>
          <w:noProof w:val="0"/>
          <w:color w:val="000000"/>
          <w:lang w:eastAsia="sr-Latn-RS"/>
        </w:rPr>
        <w:t>(12.561 случај), </w:t>
      </w:r>
      <w:r w:rsidRPr="005D3F21">
        <w:rPr>
          <w:rFonts w:ascii="Arial" w:eastAsia="Times New Roman" w:hAnsi="Arial" w:cs="Arial"/>
          <w:i/>
          <w:iCs/>
          <w:noProof w:val="0"/>
          <w:color w:val="000000"/>
          <w:lang w:eastAsia="sr-Latn-RS"/>
        </w:rPr>
        <w:t>Здравствена и социјална заштита</w:t>
      </w:r>
      <w:r w:rsidRPr="005D3F21">
        <w:rPr>
          <w:rFonts w:ascii="Arial" w:eastAsia="Times New Roman" w:hAnsi="Arial" w:cs="Arial"/>
          <w:noProof w:val="0"/>
          <w:color w:val="000000"/>
          <w:lang w:eastAsia="sr-Latn-RS"/>
        </w:rPr>
        <w:t> (11.829 случаја) и </w:t>
      </w:r>
      <w:r w:rsidRPr="005D3F21">
        <w:rPr>
          <w:rFonts w:ascii="Arial" w:eastAsia="Times New Roman" w:hAnsi="Arial" w:cs="Arial"/>
          <w:i/>
          <w:iCs/>
          <w:noProof w:val="0"/>
          <w:color w:val="000000"/>
          <w:lang w:eastAsia="sr-Latn-RS"/>
        </w:rPr>
        <w:t>Образовање </w:t>
      </w:r>
      <w:r w:rsidRPr="005D3F21">
        <w:rPr>
          <w:rFonts w:ascii="Arial" w:eastAsia="Times New Roman" w:hAnsi="Arial" w:cs="Arial"/>
          <w:noProof w:val="0"/>
          <w:color w:val="000000"/>
          <w:lang w:eastAsia="sr-Latn-RS"/>
        </w:rPr>
        <w:t>(10.861 случај). Најмањи број случајева запошљавања (искључујући делатности са &lt; 10) регистрован је у делатности </w:t>
      </w:r>
      <w:r w:rsidRPr="005D3F21">
        <w:rPr>
          <w:rFonts w:ascii="Arial" w:eastAsia="Times New Roman" w:hAnsi="Arial" w:cs="Arial"/>
          <w:i/>
          <w:iCs/>
          <w:noProof w:val="0"/>
          <w:color w:val="000000"/>
          <w:lang w:eastAsia="sr-Latn-RS"/>
        </w:rPr>
        <w:t>Рударство</w:t>
      </w:r>
      <w:r w:rsidRPr="005D3F21">
        <w:rPr>
          <w:rFonts w:ascii="Arial" w:eastAsia="Times New Roman" w:hAnsi="Arial" w:cs="Arial"/>
          <w:noProof w:val="0"/>
          <w:color w:val="000000"/>
          <w:lang w:eastAsia="sr-Latn-RS"/>
        </w:rPr>
        <w:t> (636 случајева), </w:t>
      </w:r>
      <w:r w:rsidRPr="005D3F21">
        <w:rPr>
          <w:rFonts w:ascii="Arial" w:eastAsia="Times New Roman" w:hAnsi="Arial" w:cs="Arial"/>
          <w:i/>
          <w:iCs/>
          <w:noProof w:val="0"/>
          <w:color w:val="000000"/>
          <w:lang w:eastAsia="sr-Latn-RS"/>
        </w:rPr>
        <w:t>Пословање некретнинама</w:t>
      </w:r>
      <w:r w:rsidRPr="005D3F21">
        <w:rPr>
          <w:rFonts w:ascii="Arial" w:eastAsia="Times New Roman" w:hAnsi="Arial" w:cs="Arial"/>
          <w:noProof w:val="0"/>
          <w:color w:val="000000"/>
          <w:lang w:eastAsia="sr-Latn-RS"/>
        </w:rPr>
        <w:t> (598 случајева) и </w:t>
      </w:r>
      <w:r w:rsidRPr="005D3F21">
        <w:rPr>
          <w:rFonts w:ascii="Arial" w:eastAsia="Times New Roman" w:hAnsi="Arial" w:cs="Arial"/>
          <w:i/>
          <w:iCs/>
          <w:noProof w:val="0"/>
          <w:color w:val="000000"/>
          <w:lang w:eastAsia="sr-Latn-RS"/>
        </w:rPr>
        <w:t>Снабдевање електричном енергијом, гасом, паром и климатизација</w:t>
      </w:r>
      <w:r w:rsidRPr="005D3F21">
        <w:rPr>
          <w:rFonts w:ascii="Arial" w:eastAsia="Times New Roman" w:hAnsi="Arial" w:cs="Arial"/>
          <w:noProof w:val="0"/>
          <w:color w:val="000000"/>
          <w:lang w:eastAsia="sr-Latn-RS"/>
        </w:rPr>
        <w:t> (485 случајева).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Посматрано према квалификацији, изузимајући лица без занимања која у укупном регистрованом запошљавању са евиденције Националне службе за запошљавање учествују са 16,2% (28.426 случајева), највећи број случајева запошљавање регистрован је у квалификацијама: </w:t>
      </w:r>
      <w:r w:rsidRPr="005D3F21">
        <w:rPr>
          <w:rFonts w:ascii="Arial" w:eastAsia="Times New Roman" w:hAnsi="Arial" w:cs="Arial"/>
          <w:i/>
          <w:iCs/>
          <w:noProof w:val="0"/>
          <w:color w:val="000000"/>
          <w:lang w:eastAsia="sr-Latn-RS"/>
        </w:rPr>
        <w:t>Економски техничар</w:t>
      </w:r>
      <w:r w:rsidRPr="005D3F21">
        <w:rPr>
          <w:rFonts w:ascii="Arial" w:eastAsia="Times New Roman" w:hAnsi="Arial" w:cs="Arial"/>
          <w:noProof w:val="0"/>
          <w:color w:val="000000"/>
          <w:lang w:eastAsia="sr-Latn-RS"/>
        </w:rPr>
        <w:t> (6.418 случајева), </w:t>
      </w:r>
      <w:r w:rsidRPr="005D3F21">
        <w:rPr>
          <w:rFonts w:ascii="Arial" w:eastAsia="Times New Roman" w:hAnsi="Arial" w:cs="Arial"/>
          <w:i/>
          <w:iCs/>
          <w:noProof w:val="0"/>
          <w:color w:val="000000"/>
          <w:lang w:eastAsia="sr-Latn-RS"/>
        </w:rPr>
        <w:t>Матурант гимназије</w:t>
      </w:r>
      <w:r w:rsidRPr="005D3F21">
        <w:rPr>
          <w:rFonts w:ascii="Arial" w:eastAsia="Times New Roman" w:hAnsi="Arial" w:cs="Arial"/>
          <w:noProof w:val="0"/>
          <w:color w:val="000000"/>
          <w:lang w:eastAsia="sr-Latn-RS"/>
        </w:rPr>
        <w:t> (3.613 случајева), </w:t>
      </w:r>
      <w:r w:rsidRPr="005D3F21">
        <w:rPr>
          <w:rFonts w:ascii="Arial" w:eastAsia="Times New Roman" w:hAnsi="Arial" w:cs="Arial"/>
          <w:i/>
          <w:iCs/>
          <w:noProof w:val="0"/>
          <w:color w:val="000000"/>
          <w:lang w:eastAsia="sr-Latn-RS"/>
        </w:rPr>
        <w:t>Продавац</w:t>
      </w:r>
      <w:r w:rsidRPr="005D3F21">
        <w:rPr>
          <w:rFonts w:ascii="Arial" w:eastAsia="Times New Roman" w:hAnsi="Arial" w:cs="Arial"/>
          <w:noProof w:val="0"/>
          <w:color w:val="000000"/>
          <w:lang w:eastAsia="sr-Latn-RS"/>
        </w:rPr>
        <w:t> (3.446 случајева), а са вишим нивоима квалификација, у занимањима: </w:t>
      </w:r>
      <w:r w:rsidRPr="005D3F21">
        <w:rPr>
          <w:rFonts w:ascii="Arial" w:eastAsia="Times New Roman" w:hAnsi="Arial" w:cs="Arial"/>
          <w:i/>
          <w:iCs/>
          <w:noProof w:val="0"/>
          <w:color w:val="000000"/>
          <w:lang w:eastAsia="sr-Latn-RS"/>
        </w:rPr>
        <w:t>Дипломирани економиста</w:t>
      </w:r>
      <w:r w:rsidRPr="005D3F21">
        <w:rPr>
          <w:rFonts w:ascii="Arial" w:eastAsia="Times New Roman" w:hAnsi="Arial" w:cs="Arial"/>
          <w:noProof w:val="0"/>
          <w:color w:val="000000"/>
          <w:lang w:eastAsia="sr-Latn-RS"/>
        </w:rPr>
        <w:t> (1.729 случајева), </w:t>
      </w:r>
      <w:r w:rsidRPr="005D3F21">
        <w:rPr>
          <w:rFonts w:ascii="Arial" w:eastAsia="Times New Roman" w:hAnsi="Arial" w:cs="Arial"/>
          <w:i/>
          <w:iCs/>
          <w:noProof w:val="0"/>
          <w:color w:val="000000"/>
          <w:lang w:eastAsia="sr-Latn-RS"/>
        </w:rPr>
        <w:t>Доктор медицине</w:t>
      </w:r>
      <w:r w:rsidRPr="005D3F21">
        <w:rPr>
          <w:rFonts w:ascii="Arial" w:eastAsia="Times New Roman" w:hAnsi="Arial" w:cs="Arial"/>
          <w:noProof w:val="0"/>
          <w:color w:val="000000"/>
          <w:lang w:eastAsia="sr-Latn-RS"/>
        </w:rPr>
        <w:t> (1.711 случајева), </w:t>
      </w:r>
      <w:r w:rsidRPr="005D3F21">
        <w:rPr>
          <w:rFonts w:ascii="Arial" w:eastAsia="Times New Roman" w:hAnsi="Arial" w:cs="Arial"/>
          <w:i/>
          <w:iCs/>
          <w:noProof w:val="0"/>
          <w:color w:val="000000"/>
          <w:lang w:eastAsia="sr-Latn-RS"/>
        </w:rPr>
        <w:t>Дипломирани економиста за општу економију, банкарство и финансије</w:t>
      </w:r>
      <w:r w:rsidRPr="005D3F21">
        <w:rPr>
          <w:rFonts w:ascii="Arial" w:eastAsia="Times New Roman" w:hAnsi="Arial" w:cs="Arial"/>
          <w:noProof w:val="0"/>
          <w:color w:val="000000"/>
          <w:lang w:eastAsia="sr-Latn-RS"/>
        </w:rPr>
        <w:t> (1.709 случајева) и </w:t>
      </w:r>
      <w:r w:rsidRPr="005D3F21">
        <w:rPr>
          <w:rFonts w:ascii="Arial" w:eastAsia="Times New Roman" w:hAnsi="Arial" w:cs="Arial"/>
          <w:i/>
          <w:iCs/>
          <w:noProof w:val="0"/>
          <w:color w:val="000000"/>
          <w:lang w:eastAsia="sr-Latn-RS"/>
        </w:rPr>
        <w:t>Дипломирани правник</w:t>
      </w:r>
      <w:r w:rsidRPr="005D3F21">
        <w:rPr>
          <w:rFonts w:ascii="Arial" w:eastAsia="Times New Roman" w:hAnsi="Arial" w:cs="Arial"/>
          <w:noProof w:val="0"/>
          <w:color w:val="000000"/>
          <w:lang w:eastAsia="sr-Latn-RS"/>
        </w:rPr>
        <w:t> (1.494 случаја).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Квалификације у којима је, у периоду јануар-октобар 2020. године, регистрован највећи дефицит радне снаге, односно за која су послодавци исказали много већи број пријављених потреба у односу на број незапослених на евиденцији Националне службе за запошљавање, јесу квалификације са средњим и ниским нивоом, и то: </w:t>
      </w:r>
      <w:r w:rsidRPr="005D3F21">
        <w:rPr>
          <w:rFonts w:ascii="Arial" w:eastAsia="Times New Roman" w:hAnsi="Arial" w:cs="Arial"/>
          <w:i/>
          <w:iCs/>
          <w:noProof w:val="0"/>
          <w:color w:val="000000"/>
          <w:lang w:eastAsia="sr-Latn-RS"/>
        </w:rPr>
        <w:t>Неразврстани електроенергетичари III категорије сложености, Послужилац уређаја за прераду воћа и поврћа, Манипулант у производњи грађевиснког материјала, Руковалац машина за израду лаке амбалаже, Оперативни конструктор металних конструкција, Руковалац машина и уређаја за производњу целулозе и папира, Манипулант у преради дувана, Изолатер, Састављач електрожичаних снопова, Монтер цевовода и др.</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 обзиром да је током претходних неколико година интензивирана привредна и инвестициона активност (од 2016. до почетка октобра 2020. године потписан је 121 уговор о додели средстава подстицаја</w:t>
      </w:r>
      <w:r w:rsidRPr="005D3F21">
        <w:rPr>
          <w:rFonts w:ascii="Arial" w:eastAsia="Times New Roman" w:hAnsi="Arial" w:cs="Arial"/>
          <w:noProof w:val="0"/>
          <w:color w:val="000000"/>
          <w:sz w:val="15"/>
          <w:szCs w:val="15"/>
          <w:vertAlign w:val="superscript"/>
          <w:lang w:eastAsia="sr-Latn-RS"/>
        </w:rPr>
        <w:t>7</w:t>
      </w:r>
      <w:r w:rsidRPr="005D3F21">
        <w:rPr>
          <w:rFonts w:ascii="Arial" w:eastAsia="Times New Roman" w:hAnsi="Arial" w:cs="Arial"/>
          <w:noProof w:val="0"/>
          <w:color w:val="000000"/>
          <w:lang w:eastAsia="sr-Latn-RS"/>
        </w:rPr>
        <w:t> укупне вредности од преко 2,5 млрд EUR, која треба да резултира отварање око 46 хиљада нових радних места), као и да су мере подршке директним инвестицијама концепцијски усмерене на подршку економском развоју и продуктивној запослености у приватном сектору, при чему се инвеститорима оставља слобода избора запослених, независно од њиховог статуса на тржишту рада и демографских карактеристика, на политици образовања и тржишта рада је да, у сарадњи са партнерима из привредног сектора, обезбеди квалитетан и одржив људски капитал који може да одговори на захтеве тржишта капитала. Све наведено добија на додатној важности и значају уколико се посматра и кроз контекст потенцијалних дугорочних последица пандемије и неопходности како отварања нових, тако и очувања постојећих радних места, односно нивоа и квалитета запослености.</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Pr>
          <w:rFonts w:ascii="Arial" w:eastAsia="Times New Roman" w:hAnsi="Arial" w:cs="Arial"/>
          <w:i/>
          <w:iCs/>
          <w:noProof w:val="0"/>
          <w:color w:val="000000"/>
          <w:sz w:val="15"/>
          <w:szCs w:val="15"/>
          <w:lang w:eastAsia="sr-Latn-RS"/>
        </w:rPr>
        <w:t>-------------</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5 Први сет мера омогућава одлагање плаћања доспелих пореских обавеза, уз каснију отплату на рате, најраније од почетка 2021. године, за који је издвојено 161 млрд. РСД (1,3 млрд. ЕУР) или 2,8% БДП</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6 од 30. октобра 2020. године</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7 само током последње две године одобрено је око 60% од укупно приказаних подстицаја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w:t>
      </w:r>
    </w:p>
    <w:p w:rsidR="005D3F21" w:rsidRPr="005D3F21" w:rsidRDefault="005D3F21" w:rsidP="005D3F21">
      <w:pPr>
        <w:spacing w:before="330" w:after="120"/>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III. ПРИОРИТЕТНЕ ОБРАЗОВНЕ ОБЛАСТИ ГОДИШЊЕГ ПЛАНА ОБРАЗОВАЊА ОДРАСЛИХ ЗА 2021. ГОДИНУ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ГПОО за 2021. годину дефинишу се следеће Приоритетне образовне области и активности: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1. Развој људског капитала заснованог на знању и иновацијама кроз повећање понуде програма и пружаоца услуга образовања и обучавања за одрасле на територији Републике Србије у оквиру формалног и неформалног система образовања, који су у складу са потребама тржишта рада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1.1. Повећање обухвата/укључености одраслих у програме образовања и обучавања.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1.1.1 Формални систем образовања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Функционално основно образовање одраслих (у даљем тексту: ФООО);</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Средње образовање одраслих (ванредни полазници средњег образовања, одрасли старији од 17 година);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Преквалификација, доквалификације и специјалнизације одраслих у средњем образовању.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1.1.2 Неформални систем образовања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Реализација програма и стицања компетенција и квалификација запослених и незапослених лица код јавно признатих организатора активности образовања одраслих (у даљем тексту: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Реализација програма и других активности неформалног образовања и обучавања одраслих у организацији Националне службе за запошљавање (НСЗ), других државних органа и установа, удружења и комора, а којима незапослена и запослена лица стичу компетенције од важности за лични и професионални развој, запошљавање, одржање запослења и каријерно напредовање, као и управљање каријером и доношење одлука о даљем образовању и запошљавању.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1.2. Повећање релевантности система образовања и обучавања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Развој програма образовања и обуке за одрасле заснованих на стандарду квалификација;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Доступност стручног образовања и обучавања за осетљиве групе (спровођење двогодишњих и трогодишњих програма образовања и програма обуке за осетљиве групе);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Подршка развоју програма учења на радном месту (workplace learning);</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Развој система каријерног вођења и саветовања.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1.3. Повећање ефикасности система образовања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Успостављање 10 Националних ресурсних центара компетенција за целоживотно учење (НРЦК) у средњим стручним школама у Републици Србији за потребе привреде.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2. Унапређење система осигурања квалитета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2.1. Развој и унапређење неформалног система образовања и обуке: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Евалуација стандарда и система одобравања статуса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Израда стандарда за спољашње вредновање и самовредновање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Развој методологије за развој и оцену програма НФО.</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2.2. Унапређење компетенција кадра ангажованог у образовању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Израда стандарда андрагошких компетенција кадра ангажованог у образовању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2.3. Унапређење стратешког и нормативног оквира у области неформалног образовања: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Израда предлога стратешког и нормативног оквира.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3. Развој система за признавање предходног учења и промоција целоживотног учења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3.1. Успостављање система признавања неформалног и информалног учења (ППУ):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Пилотирање поступка ППУ;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Унапређивање подзаконског акта за Примену Концепта ППУ.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3.2. Промоција ППУ и концепта целоживотног учења.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4. Успостављање Подрегистра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Припрема података и унос података у Подрегистар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Ажурирање Подрегистра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Израда упутства за унос података у Подрегистар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Обука ЈПОА за унос података у Јединствен информациони систем у просвети (ЈИСП).</w:t>
      </w:r>
    </w:p>
    <w:p w:rsidR="005D3F21" w:rsidRPr="005D3F21" w:rsidRDefault="005D3F21" w:rsidP="005D3F21">
      <w:pPr>
        <w:spacing w:before="330" w:after="120"/>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IV. ПРИОРИТЕТНЕ ОБРАЗОВНЕ ОБЛАСТИ И АКТИВНОСТИ ГОДИШЊЕГ ПЛАНА ОБРАЗОВАЊА ОДРАСЛИХ ЗА 2021. ГОДИНУ</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1. РАЗВОЈ ЉУДСКОГ КАПИТАЛА ЗАСНОВАНОГ НА ЗНАЊУ И ИНОВАЦИЈАМА КРОЗ ПОВЕЋАЊЕ ПОНУДЕ ПРОГРАМА И ПРУЖАОЦА УСЛУГА ОБРАЗОВАЊА И ОБУЧАВАЊА ЗА ОДРАСЛЕ НА ТЕРИТОРИЈИ РЕПУБЛИКЕ СРБИЈЕ У ОКВИРУ ФОРМАЛНОГ И НЕФОРМАЛНОГ СИСТЕМА ОБРАЗОВАЊА, КОЈИ СУ У СКЛАДУ СА ПОТРЕБАМА ТРЖИШТА РАДА</w:t>
      </w:r>
    </w:p>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1.1. Повећање обухвата/укључености одраслих у програме образовања и обучавања</w:t>
      </w:r>
    </w:p>
    <w:p w:rsidR="005D3F21" w:rsidRPr="005D3F21" w:rsidRDefault="005D3F21" w:rsidP="005D3F21">
      <w:pPr>
        <w:spacing w:before="330" w:after="120"/>
        <w:ind w:firstLine="480"/>
        <w:contextualSpacing w:val="0"/>
        <w:jc w:val="center"/>
        <w:rPr>
          <w:rFonts w:ascii="Arial" w:eastAsia="Times New Roman" w:hAnsi="Arial" w:cs="Arial"/>
          <w:i/>
          <w:iCs/>
          <w:noProof w:val="0"/>
          <w:color w:val="000000"/>
          <w:lang w:eastAsia="sr-Latn-RS"/>
        </w:rPr>
      </w:pPr>
      <w:r w:rsidRPr="005D3F21">
        <w:rPr>
          <w:rFonts w:ascii="Arial" w:eastAsia="Times New Roman" w:hAnsi="Arial" w:cs="Arial"/>
          <w:i/>
          <w:iCs/>
          <w:noProof w:val="0"/>
          <w:color w:val="000000"/>
          <w:lang w:eastAsia="sr-Latn-RS"/>
        </w:rPr>
        <w:t>1.1.1 Формални систем образовања одраслих</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spacing w:val="27"/>
          <w:lang w:eastAsia="sr-Latn-RS"/>
        </w:rPr>
      </w:pPr>
      <w:r w:rsidRPr="005D3F21">
        <w:rPr>
          <w:rFonts w:ascii="Arial" w:eastAsia="Times New Roman" w:hAnsi="Arial" w:cs="Arial"/>
          <w:noProof w:val="0"/>
          <w:color w:val="000000"/>
          <w:spacing w:val="27"/>
          <w:lang w:eastAsia="sr-Latn-RS"/>
        </w:rPr>
        <w:t>a) Функционално основно образовање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Основно образовање одраслих по моделу функционалног основног образовања (у даљем тексту ФООО) је намењено свима одраслима који су прекинули своје основно образовање, или га из било којих разлога нису никада ни започели, а старији су од 15 година живота. Програм ФООО се остварује у три циклуса, од којих сваки траје по једну школску годину.</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школској 2020/2021. години планирана је реализација основног образовања одраслих на територији </w:t>
      </w:r>
      <w:r w:rsidRPr="005D3F21">
        <w:rPr>
          <w:rFonts w:ascii="Arial" w:eastAsia="Times New Roman" w:hAnsi="Arial" w:cs="Arial"/>
          <w:b/>
          <w:bCs/>
          <w:noProof w:val="0"/>
          <w:color w:val="000000"/>
          <w:lang w:eastAsia="sr-Latn-RS"/>
        </w:rPr>
        <w:t>15 </w:t>
      </w:r>
      <w:r w:rsidRPr="005D3F21">
        <w:rPr>
          <w:rFonts w:ascii="Arial" w:eastAsia="Times New Roman" w:hAnsi="Arial" w:cs="Arial"/>
          <w:noProof w:val="0"/>
          <w:color w:val="000000"/>
          <w:lang w:eastAsia="sr-Latn-RS"/>
        </w:rPr>
        <w:t>школских управа, у </w:t>
      </w:r>
      <w:r w:rsidRPr="005D3F21">
        <w:rPr>
          <w:rFonts w:ascii="Arial" w:eastAsia="Times New Roman" w:hAnsi="Arial" w:cs="Arial"/>
          <w:b/>
          <w:bCs/>
          <w:noProof w:val="0"/>
          <w:color w:val="000000"/>
          <w:lang w:eastAsia="sr-Latn-RS"/>
        </w:rPr>
        <w:t>65</w:t>
      </w:r>
      <w:r w:rsidRPr="005D3F21">
        <w:rPr>
          <w:rFonts w:ascii="Arial" w:eastAsia="Times New Roman" w:hAnsi="Arial" w:cs="Arial"/>
          <w:noProof w:val="0"/>
          <w:color w:val="000000"/>
          <w:lang w:eastAsia="sr-Latn-RS"/>
        </w:rPr>
        <w:t> основних школа. Планирани број полазника основног образовања одраслих у школској 2020/2021. години је </w:t>
      </w:r>
      <w:r w:rsidRPr="005D3F21">
        <w:rPr>
          <w:rFonts w:ascii="Arial" w:eastAsia="Times New Roman" w:hAnsi="Arial" w:cs="Arial"/>
          <w:b/>
          <w:bCs/>
          <w:noProof w:val="0"/>
          <w:color w:val="000000"/>
          <w:lang w:eastAsia="sr-Latn-RS"/>
        </w:rPr>
        <w:t>6.156</w:t>
      </w:r>
      <w:r w:rsidRPr="005D3F21">
        <w:rPr>
          <w:rFonts w:ascii="Arial" w:eastAsia="Times New Roman" w:hAnsi="Arial" w:cs="Arial"/>
          <w:noProof w:val="0"/>
          <w:color w:val="000000"/>
          <w:lang w:eastAsia="sr-Latn-RS"/>
        </w:rPr>
        <w:t> полазника.На програму ФООО је планирано укупно ангажовање око 900 наставника, са укупном нормом 36459,39 и 67 андрагошких асистената, са укупном нормом 5570,96.</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Графикон бр. 4.</w:t>
      </w:r>
      <w:r w:rsidRPr="005D3F21">
        <w:rPr>
          <w:rFonts w:ascii="Arial" w:eastAsia="Times New Roman" w:hAnsi="Arial" w:cs="Arial"/>
          <w:noProof w:val="0"/>
          <w:color w:val="000000"/>
          <w:lang w:eastAsia="sr-Latn-RS"/>
        </w:rPr>
        <w:t> Дистрибуција полазника по циклусима образовања у ФООО школској 2020/21. години</w:t>
      </w:r>
    </w:p>
    <w:p w:rsidR="005D3F21" w:rsidRPr="005D3F21" w:rsidRDefault="005D3F21" w:rsidP="005D3F21">
      <w:pPr>
        <w:contextualSpacing w:val="0"/>
        <w:jc w:val="center"/>
        <w:rPr>
          <w:rFonts w:ascii="Arial" w:eastAsia="Times New Roman" w:hAnsi="Arial" w:cs="Arial"/>
          <w:noProof w:val="0"/>
          <w:color w:val="000000"/>
          <w:lang w:eastAsia="sr-Latn-RS"/>
        </w:rPr>
      </w:pPr>
      <w:r w:rsidRPr="005D3F21">
        <w:rPr>
          <w:rFonts w:ascii="Arial" w:eastAsia="Times New Roman" w:hAnsi="Arial" w:cs="Arial"/>
          <w:color w:val="000000"/>
          <w:lang w:eastAsia="sr-Latn-RS"/>
        </w:rPr>
        <w:pict>
          <v:shape id="Picture 4" o:spid="_x0000_i1048" type="#_x0000_t75" alt="https://www.pravno-informacioni-sistem.rs/SlGlasnikPortal/slike/Odrasli_Page_004.png&amp;doctype=reg&amp;regactid=431835" style="width:398.25pt;height:168pt;visibility:visible;mso-wrap-style:square">
            <v:imagedata r:id="rId12" o:title="Odrasli_Page_004"/>
          </v:shape>
        </w:pic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Број уписаних полазника по циклусима ФООО у школској 2020/2021. години је углавном уједначен. Мотивисање полазника за упис у први циклус је најтеже због баријера које потенцијални полазници имају за улазак у систем образовања. Одрасли имају највећу мотивацију када се ради о завршавању основног образовања и упису у трећи образовни циклус, те је број полазника који су планирани за упис у завршни циклус основног образовања најбројнији.</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оквиру праћења мера за унапређење права и положаја мањина, уочено је да од </w:t>
      </w:r>
      <w:r w:rsidRPr="005D3F21">
        <w:rPr>
          <w:rFonts w:ascii="Arial" w:eastAsia="Times New Roman" w:hAnsi="Arial" w:cs="Arial"/>
          <w:b/>
          <w:bCs/>
          <w:noProof w:val="0"/>
          <w:color w:val="000000"/>
          <w:lang w:eastAsia="sr-Latn-RS"/>
        </w:rPr>
        <w:t>6.156</w:t>
      </w:r>
      <w:r w:rsidRPr="005D3F21">
        <w:rPr>
          <w:rFonts w:ascii="Arial" w:eastAsia="Times New Roman" w:hAnsi="Arial" w:cs="Arial"/>
          <w:noProof w:val="0"/>
          <w:color w:val="000000"/>
          <w:lang w:eastAsia="sr-Latn-RS"/>
        </w:rPr>
        <w:t> полазника који су планирани за упис у оквиру програма основног образовања одраслих, </w:t>
      </w:r>
      <w:r w:rsidRPr="005D3F21">
        <w:rPr>
          <w:rFonts w:ascii="Arial" w:eastAsia="Times New Roman" w:hAnsi="Arial" w:cs="Arial"/>
          <w:b/>
          <w:bCs/>
          <w:noProof w:val="0"/>
          <w:color w:val="000000"/>
          <w:lang w:eastAsia="sr-Latn-RS"/>
        </w:rPr>
        <w:t>5107</w:t>
      </w:r>
      <w:r w:rsidRPr="005D3F21">
        <w:rPr>
          <w:rFonts w:ascii="Arial" w:eastAsia="Times New Roman" w:hAnsi="Arial" w:cs="Arial"/>
          <w:noProof w:val="0"/>
          <w:color w:val="000000"/>
          <w:lang w:eastAsia="sr-Latn-RS"/>
        </w:rPr>
        <w:t> припрадника је из ромске популације (удео ромске популације у укупном броју полазника износи готово 83%). Прилично велики удео ромске популације у укупном броју полазника, који је у порасту у односу на прошлу годину (када је удео ромске популације у укупном броју полазника износио 80%), резултат је мера које су примењене у привлачењу, мотивисању и укључивању Рома у све нивое образовања, у оквиру система образовања у Републици Србији, као и у чињеници да ове популације највише има међу необразованима. Удео ромске популације у укупном броју полазника приказан је на Графикону 5.</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Графикон бр. 5.</w:t>
      </w:r>
      <w:r w:rsidRPr="005D3F21">
        <w:rPr>
          <w:rFonts w:ascii="Arial" w:eastAsia="Times New Roman" w:hAnsi="Arial" w:cs="Arial"/>
          <w:noProof w:val="0"/>
          <w:color w:val="000000"/>
          <w:lang w:eastAsia="sr-Latn-RS"/>
        </w:rPr>
        <w:t> Удео ромске популације у укупном броју полазника ФООО</w:t>
      </w:r>
    </w:p>
    <w:p w:rsidR="005D3F21" w:rsidRPr="005D3F21" w:rsidRDefault="005D3F21" w:rsidP="005D3F21">
      <w:pPr>
        <w:contextualSpacing w:val="0"/>
        <w:jc w:val="center"/>
        <w:rPr>
          <w:rFonts w:ascii="Arial" w:eastAsia="Times New Roman" w:hAnsi="Arial" w:cs="Arial"/>
          <w:noProof w:val="0"/>
          <w:color w:val="000000"/>
          <w:lang w:eastAsia="sr-Latn-RS"/>
        </w:rPr>
      </w:pPr>
      <w:r w:rsidRPr="005D3F21">
        <w:rPr>
          <w:rFonts w:ascii="Arial" w:eastAsia="Times New Roman" w:hAnsi="Arial" w:cs="Arial"/>
          <w:color w:val="000000"/>
          <w:lang w:eastAsia="sr-Latn-RS"/>
        </w:rPr>
        <w:pict>
          <v:shape id="Picture 5" o:spid="_x0000_i1047" type="#_x0000_t75" alt="https://www.pravno-informacioni-sistem.rs/SlGlasnikPortal/slike/Odrasli_Page_005.png&amp;doctype=reg&amp;regactid=431835" style="width:398.25pt;height:147.75pt;visibility:visible;mso-wrap-style:square">
            <v:imagedata r:id="rId13" o:title="Odrasli_Page_005"/>
          </v:shape>
        </w:pic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Казнено поправним заводима (КПЗ) и Васпитно поправним домовима (ВПД), у програм ФООО планирано је укључивање </w:t>
      </w:r>
      <w:r w:rsidRPr="005D3F21">
        <w:rPr>
          <w:rFonts w:ascii="Arial" w:eastAsia="Times New Roman" w:hAnsi="Arial" w:cs="Arial"/>
          <w:b/>
          <w:bCs/>
          <w:noProof w:val="0"/>
          <w:color w:val="000000"/>
          <w:lang w:eastAsia="sr-Latn-RS"/>
        </w:rPr>
        <w:t>404</w:t>
      </w:r>
      <w:r w:rsidRPr="005D3F21">
        <w:rPr>
          <w:rFonts w:ascii="Arial" w:eastAsia="Times New Roman" w:hAnsi="Arial" w:cs="Arial"/>
          <w:noProof w:val="0"/>
          <w:color w:val="000000"/>
          <w:lang w:eastAsia="sr-Latn-RS"/>
        </w:rPr>
        <w:t> полазника, од којих је </w:t>
      </w:r>
      <w:r w:rsidRPr="005D3F21">
        <w:rPr>
          <w:rFonts w:ascii="Arial" w:eastAsia="Times New Roman" w:hAnsi="Arial" w:cs="Arial"/>
          <w:b/>
          <w:bCs/>
          <w:noProof w:val="0"/>
          <w:color w:val="000000"/>
          <w:lang w:eastAsia="sr-Latn-RS"/>
        </w:rPr>
        <w:t>308 </w:t>
      </w:r>
      <w:r w:rsidRPr="005D3F21">
        <w:rPr>
          <w:rFonts w:ascii="Arial" w:eastAsia="Times New Roman" w:hAnsi="Arial" w:cs="Arial"/>
          <w:noProof w:val="0"/>
          <w:color w:val="000000"/>
          <w:lang w:eastAsia="sr-Latn-RS"/>
        </w:rPr>
        <w:t>припадника ромске популације. Овде је удео ромске популације у укупном броју полазника нешто мањи него у општој популацији (</w:t>
      </w:r>
      <w:r w:rsidRPr="005D3F21">
        <w:rPr>
          <w:rFonts w:ascii="Arial" w:eastAsia="Times New Roman" w:hAnsi="Arial" w:cs="Arial"/>
          <w:b/>
          <w:bCs/>
          <w:noProof w:val="0"/>
          <w:color w:val="000000"/>
          <w:lang w:eastAsia="sr-Latn-RS"/>
        </w:rPr>
        <w:t>76</w:t>
      </w:r>
      <w:r w:rsidRPr="005D3F21">
        <w:rPr>
          <w:rFonts w:ascii="Arial" w:eastAsia="Times New Roman" w:hAnsi="Arial" w:cs="Arial"/>
          <w:noProof w:val="0"/>
          <w:color w:val="000000"/>
          <w:lang w:eastAsia="sr-Latn-RS"/>
        </w:rPr>
        <w:t> процената). На програму ФООО у КПЗ је планирано укупно ангажовање око 100 наставника, са укупном нормом 2682 и 4 андрагошких асистената, са укупном нормом 333.</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Укупан планирани буџет за реализацију активности основног образовања одраслих у школама, износи </w:t>
      </w:r>
      <w:r w:rsidRPr="005D3F21">
        <w:rPr>
          <w:rFonts w:ascii="Arial" w:eastAsia="Times New Roman" w:hAnsi="Arial" w:cs="Arial"/>
          <w:b/>
          <w:bCs/>
          <w:noProof w:val="0"/>
          <w:color w:val="000000"/>
          <w:lang w:eastAsia="sr-Latn-RS"/>
        </w:rPr>
        <w:t>501.742.000,00 динара.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Списак основних школа које планирају реализацију програма ФООО, планирани број полазника, извор и оквирни обим средстава, дати су у Прилогу бр. 1. који је</w:t>
      </w:r>
      <w:r w:rsidRPr="005D3F21">
        <w:rPr>
          <w:rFonts w:ascii="Arial" w:eastAsia="Times New Roman" w:hAnsi="Arial" w:cs="Arial"/>
          <w:i/>
          <w:iCs/>
          <w:noProof w:val="0"/>
          <w:color w:val="000000"/>
          <w:lang w:eastAsia="sr-Latn-RS"/>
        </w:rPr>
        <w:t> </w:t>
      </w:r>
      <w:r w:rsidRPr="005D3F21">
        <w:rPr>
          <w:rFonts w:ascii="Arial" w:eastAsia="Times New Roman" w:hAnsi="Arial" w:cs="Arial"/>
          <w:noProof w:val="0"/>
          <w:color w:val="000000"/>
          <w:lang w:eastAsia="sr-Latn-RS"/>
        </w:rPr>
        <w:t>одштампан уз ГПОО за 2021. годину и чини његов саставни део.</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Списак основних школа које планирају реализацију програма ФООО у КПЗ и ВПД, планирани број полазника, извор и оквирни обим средстава, дати су у Прилогу бр. 2. који је одштампан уз ГПОО за 2021. годину и чини његов саставни део.</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ФООО се тренутно реализује у 65 редовних основних школа и школа за основно образовање одраслих, што обезбеђује солидну мрежу провајдера за ову образовну услугу. Многе школе су у свом функционисању отвориле своја врата и за мигрантску популацију, али у структури полазника и даље доминирају полазници ромске националности.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У функционисању подсистема основног образовања одраслих могу се нагласити три крупна проблема: велико осипање полазника (drop out); недовољна, односно неадекватна оспособљеност наставника за реализовање програма ФООО и недостатак реализације обука полазника за једноставна занимања. Обуке полазника за једноставна занимања су интегрални, али и круцијални део ФООО и требало би да су резултат социјалног партнерства које је нужно за оптимално функционисање овог подсистема образовања одраслих. Већ дужи низ година стручне обуке изостају из реализације ФООО, што у великој мери доводи у питање основне постулате на којима почива овај концепт, али и начин на који се реализују неки новоуведени предмети, односно модул Примењене науке (замишљен као додатна теоријска подршка за одабране стручне обуке). Сигурно је да изостанак обука негативно делује и на мотивацију полазника да се укључе у ФООО, али и да своје основно школовање приведу крају. Због тога се планира иницирање дијалога социјалних партнера (МПНТР, НСЗ, центри за социјални рад, локална самоуправа), који би резултирао идентификовањем и решавањем конкретних проблема у поновном заживљавању обука у оквиру ФООО. Што се тиче потребе за обучавањем наставног кадра, како би испунили стандарде прописане концептом ФООО и подзаконским актима, она је последица пензионисања једног броја обучених наставника, али и њихове велике флуктуације. Образовне интервенције са наставницима ФООО, које су у протеклом периоду реализовали кадрови Института за педагогију и андрагогију, а у организацији ТЕМПУС фондације, дале су запажене резултате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укупан број наставника којима је још увек потребна обука из базичних андрагошких вештина је 268, док њих 477 је успешно завршио поменуте обуке. Ситуација образовног дефицита наставника по питању стручних предмета је значајно већа, где више од 50% наставног кадра није завршило своје прописано обучавање. Сигурно је да би подршка наставницима и андрагошким асистентима везано за мотивацију и превазилажење насталих баријера код полазника, условљених Сovid ситуацијом, допринела квалитету али и мањем осипању полазника. Пандемија је само појачала и усложила већ дуго година присутан проблем осипања полазника на овом нивоу образовања. Као један од снажних мотивационих фактора за полазнике овог нивоа образовања може бити добро развијен систем активности КВиС који би требао да их током сва три циклуса води до стручних обука. У плану је да у оквиру пројеката који се планирају за 2021. годину, за област неформалног образовања, као пројектни задатак постави израда програма и оспособљавање наставника, стручних сарадника и андрагошких асистената за активност КВиС-а, намењена полазницима ФООО. Стога ће фокус бити стављен на обезбеђивање финансијских средстава у сврху њиховог даљег стручног обучавања, како би оно било на нивоу прописаних стандарда, али и о побољшању позиције наставника, јер ће њихова флуктуација анулирати покушаје да се обучавањем трајно реши њихов образовни дефицит.</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spacing w:val="27"/>
          <w:lang w:eastAsia="sr-Latn-RS"/>
        </w:rPr>
      </w:pPr>
      <w:r w:rsidRPr="005D3F21">
        <w:rPr>
          <w:rFonts w:ascii="Arial" w:eastAsia="Times New Roman" w:hAnsi="Arial" w:cs="Arial"/>
          <w:noProof w:val="0"/>
          <w:color w:val="000000"/>
          <w:spacing w:val="27"/>
          <w:lang w:eastAsia="sr-Latn-RS"/>
        </w:rPr>
        <w:t>б) Средње образовање одраслих (ванредни полазници средњег образовања одраслих, старијих од 17 година)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 се реализација формалног средњег образовања одраслих на територији 16 школских управа, у 70 средњих школа. У први разред средњег образовања планиран је упис 175 полазника, старијих од 17 година, у својству ванредног полазника средњег образовања.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Иако се на годишњем нивоу, кроз план уписа ученика у први разред средње школе, отвори већи број места за упис одраслих у средње образовање, реализација уписа одраслих полазника у овај ниво образовања је већ традиционално веома ниска и број школа које уписују ванредне полазнике у средње образовање се смањује. Можемо приметити да из целе школске управе Крушевац нема ниједне средње школе која је планирала упис ванредних полазника средњег образовања, старијих од 17 година за школску 2021. годину, док у школској управи Ваљево постоји само једна таква школа. Илустрације ради, прошле школске године, од 1324 отворених места, програм је уписало 305 полазника, што чини само 23% попуњених места. Од овог броја уписаних, годину је завршило 193 полазника (63% од броја уписаних полазника), док је следећи разред уписало 173 полазника (89% од броја полазника који су успешно окончали претходни разред).</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Уочава се и низак проценат укључивања одраслих у средње образовање након завршавања програма ФООО. Разлози могу бити вешеструки, а један од основних је недостатак времена за континуирано одсуство у сврху образовања. Развојем неформалног система образовања, пружањем прилике да се и кроз овај систем стекну потребне квалификације и компетенције, неформални систем образовања постаје механизам који одрасли све више почињу да користе у задовољењу својих образовних потреба.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Укупна средства потребна за реализацију активности средњег образовања одраслих за 2021.годину износе </w:t>
      </w:r>
      <w:r w:rsidRPr="005D3F21">
        <w:rPr>
          <w:rFonts w:ascii="Arial" w:eastAsia="Times New Roman" w:hAnsi="Arial" w:cs="Arial"/>
          <w:b/>
          <w:bCs/>
          <w:noProof w:val="0"/>
          <w:color w:val="000000"/>
          <w:lang w:eastAsia="sr-Latn-RS"/>
        </w:rPr>
        <w:t>5.050.000,00 динара.</w:t>
      </w:r>
      <w:r w:rsidRPr="005D3F21">
        <w:rPr>
          <w:rFonts w:ascii="Arial" w:eastAsia="Times New Roman" w:hAnsi="Arial" w:cs="Arial"/>
          <w:noProof w:val="0"/>
          <w:color w:val="000000"/>
          <w:lang w:eastAsia="sr-Latn-RS"/>
        </w:rPr>
        <w:t> Реализација ове активности се одвија у оквиру четрдесеточасовне радне недеље наставника средњих школа које уписују ванредне полазнике старије од 17 година.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Код реализације програма за</w:t>
      </w:r>
      <w:r w:rsidRPr="005D3F21">
        <w:rPr>
          <w:rFonts w:ascii="Arial" w:eastAsia="Times New Roman" w:hAnsi="Arial" w:cs="Arial"/>
          <w:b/>
          <w:bCs/>
          <w:noProof w:val="0"/>
          <w:color w:val="000000"/>
          <w:lang w:eastAsia="sr-Latn-RS"/>
        </w:rPr>
        <w:t> ванредне полазнике првог разреда у средњем образовању </w:t>
      </w:r>
      <w:r w:rsidRPr="005D3F21">
        <w:rPr>
          <w:rFonts w:ascii="Arial" w:eastAsia="Times New Roman" w:hAnsi="Arial" w:cs="Arial"/>
          <w:noProof w:val="0"/>
          <w:color w:val="000000"/>
          <w:lang w:eastAsia="sr-Latn-RS"/>
        </w:rPr>
        <w:t>потребно је нагласити да се то никако не односи на додатна средства у Буџету, већ да се од укупно планираних средства за релизацију програма у средњем образовању приказују оквирна средства потребна за реализацију наставе и активности намењених ванредним полазницима старијим од 17 година уписаним први пут у први разред средњег образовања (трошкови консултација, испита, комисије</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Списак средњих школа, планирани број полазника, извор и оквирни обим средстава, дати су у</w:t>
      </w:r>
      <w:r w:rsidRPr="005D3F21">
        <w:rPr>
          <w:rFonts w:ascii="Arial" w:eastAsia="Times New Roman" w:hAnsi="Arial" w:cs="Arial"/>
          <w:i/>
          <w:iCs/>
          <w:noProof w:val="0"/>
          <w:color w:val="000000"/>
          <w:lang w:eastAsia="sr-Latn-RS"/>
        </w:rPr>
        <w:t> </w:t>
      </w:r>
      <w:r w:rsidRPr="005D3F21">
        <w:rPr>
          <w:rFonts w:ascii="Arial" w:eastAsia="Times New Roman" w:hAnsi="Arial" w:cs="Arial"/>
          <w:noProof w:val="0"/>
          <w:color w:val="000000"/>
          <w:lang w:eastAsia="sr-Latn-RS"/>
        </w:rPr>
        <w:t>Прилогу бр. 3. који је одштампан уз ГПОО за 2021. годину и чини његов саставни део.</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spacing w:val="27"/>
          <w:lang w:eastAsia="sr-Latn-RS"/>
        </w:rPr>
      </w:pPr>
      <w:r w:rsidRPr="005D3F21">
        <w:rPr>
          <w:rFonts w:ascii="Arial" w:eastAsia="Times New Roman" w:hAnsi="Arial" w:cs="Arial"/>
          <w:noProof w:val="0"/>
          <w:color w:val="000000"/>
          <w:spacing w:val="27"/>
          <w:lang w:eastAsia="sr-Latn-RS"/>
        </w:rPr>
        <w:t>в) Преквалификација, доквалификације и специјализације одраслих у средњем образовању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Планом уписа ванредних ученика на програме преквалификације, доквалификације и специјализације за школску 2020/2021. годину, на основу предлога школа достављених од стране надлежних школских управа и увида у релевантност предлога на тржишту рада, Министарство просвете, науке и технолошког развоја дало је сагласност на одређени број места за упис одраслих за конкретне образовне профиле за сваку школу. Одобрени број за упис одраслих у програме преквалификације је 11 996, за програме доквалификације 7 430 и специјализације 3 168 одраслих полазника у школској 2020/21. години.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складу са тим, у 2021. години планира се реализација ових програма на територији 16 школских управа за укупно 22 594 полазника. Наведене активности финансирају сами полазници сопственим средствима.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Списак средњих школа, планирани број полазника програма преквалификације, доквалификације и специјализације дати су у Прилогу бр. 4. који је одштампан уз ГПОО за 2021. годину и чини његов саставни део.</w:t>
      </w:r>
    </w:p>
    <w:p w:rsidR="005D3F21" w:rsidRPr="005D3F21" w:rsidRDefault="005D3F21" w:rsidP="005D3F21">
      <w:pPr>
        <w:spacing w:before="330" w:after="120"/>
        <w:ind w:firstLine="480"/>
        <w:contextualSpacing w:val="0"/>
        <w:jc w:val="center"/>
        <w:rPr>
          <w:rFonts w:ascii="Arial" w:eastAsia="Times New Roman" w:hAnsi="Arial" w:cs="Arial"/>
          <w:i/>
          <w:iCs/>
          <w:noProof w:val="0"/>
          <w:color w:val="000000"/>
          <w:lang w:eastAsia="sr-Latn-RS"/>
        </w:rPr>
      </w:pPr>
      <w:r w:rsidRPr="005D3F21">
        <w:rPr>
          <w:rFonts w:ascii="Arial" w:eastAsia="Times New Roman" w:hAnsi="Arial" w:cs="Arial"/>
          <w:i/>
          <w:iCs/>
          <w:noProof w:val="0"/>
          <w:color w:val="000000"/>
          <w:lang w:eastAsia="sr-Latn-RS"/>
        </w:rPr>
        <w:t>1.1.2. Неформални систем образовања одраслих</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spacing w:val="27"/>
          <w:lang w:eastAsia="sr-Latn-RS"/>
        </w:rPr>
      </w:pPr>
      <w:r w:rsidRPr="005D3F21">
        <w:rPr>
          <w:rFonts w:ascii="Arial" w:eastAsia="Times New Roman" w:hAnsi="Arial" w:cs="Arial"/>
          <w:noProof w:val="0"/>
          <w:color w:val="000000"/>
          <w:spacing w:val="27"/>
          <w:lang w:eastAsia="sr-Latn-RS"/>
        </w:rPr>
        <w:t>a) Реализација програма обука код јавно признатих организатора активности образовања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Неформално образовање одраслих представља организовани процес учења одраслих на основу посебних програма, у циљу стицања знања, вештина, способности и ставова усмерених на лични развој, рад и запошљавање и социјалне активности.</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Статус јавно признатих организатора активности образовања одраслих (у даљем тексту ЈПОА) могу стећи основна и средња школа, као и друге организације које испуњавају услове прописане одговарајућим подзаконским актима</w:t>
      </w:r>
      <w:r w:rsidRPr="005D3F21">
        <w:rPr>
          <w:rFonts w:ascii="Arial" w:eastAsia="Times New Roman" w:hAnsi="Arial" w:cs="Arial"/>
          <w:noProof w:val="0"/>
          <w:color w:val="000000"/>
          <w:sz w:val="15"/>
          <w:szCs w:val="15"/>
          <w:vertAlign w:val="superscript"/>
          <w:lang w:eastAsia="sr-Latn-RS"/>
        </w:rPr>
        <w:t>8</w:t>
      </w:r>
      <w:r w:rsidRPr="005D3F21">
        <w:rPr>
          <w:rFonts w:ascii="Arial" w:eastAsia="Times New Roman" w:hAnsi="Arial" w:cs="Arial"/>
          <w:noProof w:val="0"/>
          <w:color w:val="000000"/>
          <w:lang w:eastAsia="sr-Latn-RS"/>
        </w:rPr>
        <w:t>. У оквиру процеса стицања статуса ЈПОА, Агенција за квалификације даје мишљење о испуњености услова у погледу плана и програма образовања одраслих, начину остваривања и кадра за основне и средње школе и друге организације у складу са Законом о Националном оквиру квалификација (НОКС-у).</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За савладани програм образовања одраслих, ЈПОА издаје полазнику, односно кандидату јавну исправу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сертификат, уверење или потврду</w:t>
      </w:r>
      <w:r w:rsidRPr="005D3F21">
        <w:rPr>
          <w:rFonts w:ascii="Arial" w:eastAsia="Times New Roman" w:hAnsi="Arial" w:cs="Arial"/>
          <w:noProof w:val="0"/>
          <w:color w:val="000000"/>
          <w:sz w:val="15"/>
          <w:szCs w:val="15"/>
          <w:vertAlign w:val="superscript"/>
          <w:lang w:eastAsia="sr-Latn-RS"/>
        </w:rPr>
        <w:t>9</w:t>
      </w:r>
      <w:r w:rsidRPr="005D3F21">
        <w:rPr>
          <w:rFonts w:ascii="Arial" w:eastAsia="Times New Roman" w:hAnsi="Arial" w:cs="Arial"/>
          <w:noProof w:val="0"/>
          <w:color w:val="000000"/>
          <w:lang w:eastAsia="sr-Latn-RS"/>
        </w:rPr>
        <w:t>. Сертификат се издаје за остварен стандард стручних компетенција, или стандард кључних компетенција, односно квалификацију у целини. Уверење се издаје за делимично остварен стандард стручних компетенција. Потврда омогућава верификацију јединица компетенција, односно појединачних исхода учења које не доводе до стицања целокупних стручних компетенција, односно квалификације у целини.</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Допуном Закона о основама система образовања и васпитања из 2019. године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10 од 15. фебруара 2019. године) дата је могућност проходности из неформалног образовања, тако што је кандидату који је након завршеног програма обуке стекао јавну исправу о оствареном стандарду квалификације у целини и јавну исправу о оствареном стандарду кључних компетенција за општеобразовни део средњег стручног образовања одраслих, омогућено да изађе на завршни испит, а од школске 2020/2021. године и на стручну матуру, чијим полагањем стиче квалификацију на нивоу НОКС 3 и НОКС 4.</w:t>
      </w:r>
      <w:r w:rsidRPr="005D3F21">
        <w:rPr>
          <w:rFonts w:ascii="Arial" w:eastAsia="Times New Roman" w:hAnsi="Arial" w:cs="Arial"/>
          <w:noProof w:val="0"/>
          <w:color w:val="000000"/>
          <w:sz w:val="15"/>
          <w:szCs w:val="15"/>
          <w:vertAlign w:val="superscript"/>
          <w:lang w:eastAsia="sr-Latn-RS"/>
        </w:rPr>
        <w:t>10</w:t>
      </w:r>
      <w:r w:rsidRPr="005D3F21">
        <w:rPr>
          <w:rFonts w:ascii="Arial" w:eastAsia="Times New Roman" w:hAnsi="Arial" w:cs="Arial"/>
          <w:b/>
          <w:bCs/>
          <w:noProof w:val="0"/>
          <w:color w:val="000000"/>
          <w:lang w:eastAsia="sr-Latn-RS"/>
        </w:rPr>
        <w:t> </w:t>
      </w:r>
      <w:r w:rsidRPr="005D3F21">
        <w:rPr>
          <w:rFonts w:ascii="Arial" w:eastAsia="Times New Roman" w:hAnsi="Arial" w:cs="Arial"/>
          <w:noProof w:val="0"/>
          <w:color w:val="000000"/>
          <w:lang w:eastAsia="sr-Latn-RS"/>
        </w:rPr>
        <w:t>У складу са наведеним, очекује се усаглашавање Закона о средњем образовању и васпитању и правилника којим је прописан програм стручне матуре у делу који уређује ко има право на полагање стручне матуре.</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Статус ЈПОА до 1. октобра 2020. године добиле су </w:t>
      </w:r>
      <w:r w:rsidRPr="005D3F21">
        <w:rPr>
          <w:rFonts w:ascii="Arial" w:eastAsia="Times New Roman" w:hAnsi="Arial" w:cs="Arial"/>
          <w:b/>
          <w:bCs/>
          <w:noProof w:val="0"/>
          <w:color w:val="000000"/>
          <w:lang w:eastAsia="sr-Latn-RS"/>
        </w:rPr>
        <w:t>72</w:t>
      </w:r>
      <w:r w:rsidRPr="005D3F21">
        <w:rPr>
          <w:rFonts w:ascii="Arial" w:eastAsia="Times New Roman" w:hAnsi="Arial" w:cs="Arial"/>
          <w:noProof w:val="0"/>
          <w:color w:val="000000"/>
          <w:lang w:eastAsia="sr-Latn-RS"/>
        </w:rPr>
        <w:t> институције за укупно </w:t>
      </w:r>
      <w:r w:rsidRPr="005D3F21">
        <w:rPr>
          <w:rFonts w:ascii="Arial" w:eastAsia="Times New Roman" w:hAnsi="Arial" w:cs="Arial"/>
          <w:b/>
          <w:bCs/>
          <w:noProof w:val="0"/>
          <w:color w:val="000000"/>
          <w:lang w:eastAsia="sr-Latn-RS"/>
        </w:rPr>
        <w:t>262 </w:t>
      </w:r>
      <w:r w:rsidRPr="005D3F21">
        <w:rPr>
          <w:rFonts w:ascii="Arial" w:eastAsia="Times New Roman" w:hAnsi="Arial" w:cs="Arial"/>
          <w:noProof w:val="0"/>
          <w:color w:val="000000"/>
          <w:lang w:eastAsia="sr-Latn-RS"/>
        </w:rPr>
        <w:t>програма обука намењених одраслима </w:t>
      </w:r>
      <w:r w:rsidRPr="005D3F21">
        <w:rPr>
          <w:rFonts w:ascii="Arial" w:eastAsia="Times New Roman" w:hAnsi="Arial" w:cs="Arial"/>
          <w:b/>
          <w:bCs/>
          <w:noProof w:val="0"/>
          <w:color w:val="000000"/>
          <w:lang w:eastAsia="sr-Latn-RS"/>
        </w:rPr>
        <w:t>(17</w:t>
      </w:r>
      <w:r w:rsidRPr="005D3F21">
        <w:rPr>
          <w:rFonts w:ascii="Arial" w:eastAsia="Times New Roman" w:hAnsi="Arial" w:cs="Arial"/>
          <w:noProof w:val="0"/>
          <w:color w:val="000000"/>
          <w:lang w:eastAsia="sr-Latn-RS"/>
        </w:rPr>
        <w:t> средњих стручних школа</w:t>
      </w:r>
      <w:r w:rsidRPr="005D3F21">
        <w:rPr>
          <w:rFonts w:ascii="Arial" w:eastAsia="Times New Roman" w:hAnsi="Arial" w:cs="Arial"/>
          <w:b/>
          <w:bCs/>
          <w:noProof w:val="0"/>
          <w:color w:val="000000"/>
          <w:lang w:eastAsia="sr-Latn-RS"/>
        </w:rPr>
        <w:t>, 9</w:t>
      </w:r>
      <w:r w:rsidRPr="005D3F21">
        <w:rPr>
          <w:rFonts w:ascii="Arial" w:eastAsia="Times New Roman" w:hAnsi="Arial" w:cs="Arial"/>
          <w:noProof w:val="0"/>
          <w:color w:val="000000"/>
          <w:lang w:eastAsia="sr-Latn-RS"/>
        </w:rPr>
        <w:t> установа за образовање одраслих попут радничких, народних и отворених универзитета и </w:t>
      </w:r>
      <w:r w:rsidRPr="005D3F21">
        <w:rPr>
          <w:rFonts w:ascii="Arial" w:eastAsia="Times New Roman" w:hAnsi="Arial" w:cs="Arial"/>
          <w:b/>
          <w:bCs/>
          <w:noProof w:val="0"/>
          <w:color w:val="000000"/>
          <w:lang w:eastAsia="sr-Latn-RS"/>
        </w:rPr>
        <w:t>46</w:t>
      </w:r>
      <w:r w:rsidRPr="005D3F21">
        <w:rPr>
          <w:rFonts w:ascii="Arial" w:eastAsia="Times New Roman" w:hAnsi="Arial" w:cs="Arial"/>
          <w:noProof w:val="0"/>
          <w:color w:val="000000"/>
          <w:lang w:eastAsia="sr-Latn-RS"/>
        </w:rPr>
        <w:t> других организација).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Програми обуке неформалног образовања одраслих за стицање стручних компетенција спроводе се на основу анализе тржишта рада у Републици Србији, прогнозираних потреба послодаваца и на основу приоритета дефинисаних националном стратегијом. Акредитацију за програме обука добиле су институције неформалног система образовања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привредна друштва, друге организације </w:t>
      </w:r>
      <w:r w:rsidRPr="005D3F21">
        <w:rPr>
          <w:rFonts w:ascii="Arial" w:eastAsia="Times New Roman" w:hAnsi="Arial" w:cs="Arial"/>
          <w:b/>
          <w:bCs/>
          <w:noProof w:val="0"/>
          <w:color w:val="000000"/>
          <w:lang w:eastAsia="sr-Latn-RS"/>
        </w:rPr>
        <w:t>(135</w:t>
      </w:r>
      <w:r w:rsidRPr="005D3F21">
        <w:rPr>
          <w:rFonts w:ascii="Arial" w:eastAsia="Times New Roman" w:hAnsi="Arial" w:cs="Arial"/>
          <w:noProof w:val="0"/>
          <w:color w:val="000000"/>
          <w:lang w:eastAsia="sr-Latn-RS"/>
        </w:rPr>
        <w:t> програма), народни, раднички и отворени универзитети (</w:t>
      </w:r>
      <w:r w:rsidRPr="005D3F21">
        <w:rPr>
          <w:rFonts w:ascii="Arial" w:eastAsia="Times New Roman" w:hAnsi="Arial" w:cs="Arial"/>
          <w:b/>
          <w:bCs/>
          <w:noProof w:val="0"/>
          <w:color w:val="000000"/>
          <w:lang w:eastAsia="sr-Latn-RS"/>
        </w:rPr>
        <w:t>76</w:t>
      </w:r>
      <w:r w:rsidRPr="005D3F21">
        <w:rPr>
          <w:rFonts w:ascii="Arial" w:eastAsia="Times New Roman" w:hAnsi="Arial" w:cs="Arial"/>
          <w:noProof w:val="0"/>
          <w:color w:val="000000"/>
          <w:lang w:eastAsia="sr-Latn-RS"/>
        </w:rPr>
        <w:t> програма) и средње стручне школе (</w:t>
      </w:r>
      <w:r w:rsidRPr="005D3F21">
        <w:rPr>
          <w:rFonts w:ascii="Arial" w:eastAsia="Times New Roman" w:hAnsi="Arial" w:cs="Arial"/>
          <w:b/>
          <w:bCs/>
          <w:noProof w:val="0"/>
          <w:color w:val="000000"/>
          <w:lang w:eastAsia="sr-Latn-RS"/>
        </w:rPr>
        <w:t>51</w:t>
      </w:r>
      <w:r w:rsidRPr="005D3F21">
        <w:rPr>
          <w:rFonts w:ascii="Arial" w:eastAsia="Times New Roman" w:hAnsi="Arial" w:cs="Arial"/>
          <w:noProof w:val="0"/>
          <w:color w:val="000000"/>
          <w:lang w:eastAsia="sr-Latn-RS"/>
        </w:rPr>
        <w:t> програм).</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Када су у питању средње стручне школе, статус ЈПОА ОО међу првима су затражиле и обезбедиле стручне школе у оквиру којих функционишу Регионални центри за континуирано образовање одраслих.</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Списак акредитованих ЈПОА за конкретне програме налази се на сајту МПНТР</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За 2021. годину, према достављеним плановима ЈПОА ОО, очекује се реализација </w:t>
      </w:r>
      <w:r w:rsidRPr="005D3F21">
        <w:rPr>
          <w:rFonts w:ascii="Arial" w:eastAsia="Times New Roman" w:hAnsi="Arial" w:cs="Arial"/>
          <w:b/>
          <w:bCs/>
          <w:noProof w:val="0"/>
          <w:color w:val="000000"/>
          <w:lang w:eastAsia="sr-Latn-RS"/>
        </w:rPr>
        <w:t>188</w:t>
      </w:r>
      <w:r w:rsidRPr="005D3F21">
        <w:rPr>
          <w:rFonts w:ascii="Arial" w:eastAsia="Times New Roman" w:hAnsi="Arial" w:cs="Arial"/>
          <w:noProof w:val="0"/>
          <w:color w:val="000000"/>
          <w:lang w:eastAsia="sr-Latn-RS"/>
        </w:rPr>
        <w:t> акредитованих програма кроз </w:t>
      </w:r>
      <w:r w:rsidRPr="005D3F21">
        <w:rPr>
          <w:rFonts w:ascii="Arial" w:eastAsia="Times New Roman" w:hAnsi="Arial" w:cs="Arial"/>
          <w:b/>
          <w:bCs/>
          <w:noProof w:val="0"/>
          <w:color w:val="000000"/>
          <w:lang w:eastAsia="sr-Latn-RS"/>
        </w:rPr>
        <w:t>1.356</w:t>
      </w:r>
      <w:r w:rsidRPr="005D3F21">
        <w:rPr>
          <w:rFonts w:ascii="Arial" w:eastAsia="Times New Roman" w:hAnsi="Arial" w:cs="Arial"/>
          <w:noProof w:val="0"/>
          <w:color w:val="000000"/>
          <w:lang w:eastAsia="sr-Latn-RS"/>
        </w:rPr>
        <w:t> обукa за </w:t>
      </w:r>
      <w:r w:rsidRPr="005D3F21">
        <w:rPr>
          <w:rFonts w:ascii="Arial" w:eastAsia="Times New Roman" w:hAnsi="Arial" w:cs="Arial"/>
          <w:b/>
          <w:bCs/>
          <w:noProof w:val="0"/>
          <w:color w:val="000000"/>
          <w:lang w:eastAsia="sr-Latn-RS"/>
        </w:rPr>
        <w:t>7.440</w:t>
      </w:r>
      <w:r w:rsidRPr="005D3F21">
        <w:rPr>
          <w:rFonts w:ascii="Arial" w:eastAsia="Times New Roman" w:hAnsi="Arial" w:cs="Arial"/>
          <w:noProof w:val="0"/>
          <w:color w:val="000000"/>
          <w:lang w:eastAsia="sr-Latn-RS"/>
        </w:rPr>
        <w:t> потенцијална кандидата у </w:t>
      </w:r>
      <w:r w:rsidRPr="005D3F21">
        <w:rPr>
          <w:rFonts w:ascii="Arial" w:eastAsia="Times New Roman" w:hAnsi="Arial" w:cs="Arial"/>
          <w:b/>
          <w:bCs/>
          <w:noProof w:val="0"/>
          <w:color w:val="000000"/>
          <w:lang w:eastAsia="sr-Latn-RS"/>
        </w:rPr>
        <w:t>58</w:t>
      </w:r>
      <w:r w:rsidRPr="005D3F21">
        <w:rPr>
          <w:rFonts w:ascii="Arial" w:eastAsia="Times New Roman" w:hAnsi="Arial" w:cs="Arial"/>
          <w:noProof w:val="0"/>
          <w:color w:val="000000"/>
          <w:lang w:eastAsia="sr-Latn-RS"/>
        </w:rPr>
        <w:t xml:space="preserve"> институција. Планирани програми су из области машинства и обраде метала, геодезије и грађевинарства, здравства и социјалне заштите, страних језика, саобраћаја, трговине, угоститељства и туризма, ИКТ, економије, права и администрације. Издвајају се следећи програми обука: Обука за израду делова на ЦНЦ стругу/ЦНЦ глодалици, Програм обуке за аргонско за CO2 заваривање са атестом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135 (МАГ), Обука за руковање конвенционалним машинама за обраду метала, Обука за извођење радова на монтажи суве градње, Обука за армирача, Обука за услуге козметичке неге лица, Обука за масера, Обука за енглески језик ниво Б2, Обука за примену превентивних мера безбедности и здравља на раду при руковању виљушкаром, Обука за кувара, Обука за менаџере, Основна обука за коришћење рачунара (Windows, MS Word, MS Excel, Internet, Обука за књижење пословних промена.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Графикон бр. 6.</w:t>
      </w:r>
      <w:r w:rsidRPr="005D3F21">
        <w:rPr>
          <w:rFonts w:ascii="Arial" w:eastAsia="Times New Roman" w:hAnsi="Arial" w:cs="Arial"/>
          <w:noProof w:val="0"/>
          <w:color w:val="000000"/>
          <w:lang w:eastAsia="sr-Latn-RS"/>
        </w:rPr>
        <w:t> Планирани акредитовани програми обука код ЈПОА у областима рада за 2021. годину</w:t>
      </w:r>
    </w:p>
    <w:p w:rsidR="005D3F21" w:rsidRPr="005D3F21" w:rsidRDefault="005D3F21" w:rsidP="005D3F21">
      <w:pPr>
        <w:contextualSpacing w:val="0"/>
        <w:jc w:val="center"/>
        <w:rPr>
          <w:rFonts w:ascii="Arial" w:eastAsia="Times New Roman" w:hAnsi="Arial" w:cs="Arial"/>
          <w:noProof w:val="0"/>
          <w:color w:val="000000"/>
          <w:lang w:eastAsia="sr-Latn-RS"/>
        </w:rPr>
      </w:pPr>
      <w:r w:rsidRPr="005D3F21">
        <w:rPr>
          <w:rFonts w:ascii="Arial" w:eastAsia="Times New Roman" w:hAnsi="Arial" w:cs="Arial"/>
          <w:color w:val="000000"/>
          <w:lang w:eastAsia="sr-Latn-RS"/>
        </w:rPr>
        <w:pict>
          <v:shape id="Picture 6" o:spid="_x0000_i1046" type="#_x0000_t75" alt="https://www.pravno-informacioni-sistem.rs/SlGlasnikPortal/slike/Odrasli_Page_006.png&amp;doctype=reg&amp;regactid=431835" style="width:398.25pt;height:109.5pt;visibility:visible;mso-wrap-style:square">
            <v:imagedata r:id="rId14" o:title="Odrasli_Page_006"/>
          </v:shape>
        </w:pic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Планирана реализација програма у 2021. години за стицања стручних и кључних компетенција, и одређених квалификација запослених и незапослених лица код ЈПОА налази се у Прилогу бр. 5. који је одштампан уз ГПОО за 2021. годину, и чини његов саставни део.</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Због епидемиолошке ситуације у којој се налазимо од почетка 2020. године, и због изузетно отежаних услова рада који утичу како на институције и запослене</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тако и на саме полазнике, али и сва потенцијално заинтересована лица, правна и физичка, није било могуће предвидети реализацију 74 акредитована програма у 14 институција које се баве образовањем одраслих: Пословно удружење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Хорес из Београда, Установа за културно образовну делатност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Коста Новаковић Чачак, Рико тренинг центар из Београда, ТШ са домом ученика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,Никола Тесла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из Костолца, Школа рачунара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,Винча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из Београда,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Green inženjering</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Крагујевац, Информатика АД Београд, Институт за економску дипломатију Београд, Кодар енергомонтажа из Београда,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Радислав Станојевић ПР Превинг систем</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Нова Пазова, Пољопривредна школа са домом ученика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Соња Маринковић</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Пожаревац, Средња школа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,Свети Никола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Нови Сад, Средњошколски образовни центар</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,Смартанац</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Београд и Tехничка школа Железник Београд.</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Циљна група и потенцијални корисници одобрених програма обука за 2021. годину су физичка лица која нису радно ангажована и нису евидентирана код службе за запошњавање, незапослена лица са евиденције НСЗ, правна лица са којима ЈПОА ОО има Уговоре, запослени који желе да се оспособе за одређена занимања, јавна предузећа, удружења, незапослена лица која желе да се преквалификују, привредна друштва, штићеници КПЗ и ВПУ, одрасле особе са инвалидитетом, пољопривредници и сл.</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Предвиђени извори средстава за реализацију одобрених програма које наводе акредитоване организације су: сопствена средства кандидата, средства институција и организација из које полазници долазе на обуке, средства НСЗ, средства компанијапартнера са којима потписују уговор о пословно техничкој сарадњи и који ће запослити кандидате, привредна друштва и предузетници, државне институције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службе, конкурси невладиних организација (НВО) за средства из приступних фондова ЕУ, локалне самоуправе, међународни пројекти и невладине организације.</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На основу достављених података акредитованих организација </w:t>
      </w:r>
      <w:r w:rsidRPr="005D3F21">
        <w:rPr>
          <w:rFonts w:ascii="Arial" w:eastAsia="Times New Roman" w:hAnsi="Arial" w:cs="Arial"/>
          <w:b/>
          <w:bCs/>
          <w:noProof w:val="0"/>
          <w:color w:val="000000"/>
          <w:lang w:eastAsia="sr-Latn-RS"/>
        </w:rPr>
        <w:t>32</w:t>
      </w:r>
      <w:r w:rsidRPr="005D3F21">
        <w:rPr>
          <w:rFonts w:ascii="Arial" w:eastAsia="Times New Roman" w:hAnsi="Arial" w:cs="Arial"/>
          <w:noProof w:val="0"/>
          <w:color w:val="000000"/>
          <w:lang w:eastAsia="sr-Latn-RS"/>
        </w:rPr>
        <w:t> институције планирају </w:t>
      </w:r>
      <w:r w:rsidRPr="005D3F21">
        <w:rPr>
          <w:rFonts w:ascii="Arial" w:eastAsia="Times New Roman" w:hAnsi="Arial" w:cs="Arial"/>
          <w:b/>
          <w:bCs/>
          <w:noProof w:val="0"/>
          <w:color w:val="000000"/>
          <w:lang w:eastAsia="sr-Latn-RS"/>
        </w:rPr>
        <w:t>78 нових програма.</w:t>
      </w:r>
      <w:r w:rsidRPr="005D3F21">
        <w:rPr>
          <w:rFonts w:ascii="Arial" w:eastAsia="Times New Roman" w:hAnsi="Arial" w:cs="Arial"/>
          <w:noProof w:val="0"/>
          <w:color w:val="000000"/>
          <w:lang w:eastAsia="sr-Latn-RS"/>
        </w:rPr>
        <w:t> За одређени број квалификација за које се планира припрема програма од стране акредитованих ЈПОА биће потребно донети стандарде у складу са позитивним прописима, а за шта је покренута иницијатива подносилаца захтева за стицање статуса ЈПОА.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Када је реч о новим програмима ЈПОА планирају највише програма</w:t>
      </w:r>
      <w:r w:rsidRPr="005D3F21">
        <w:rPr>
          <w:rFonts w:ascii="Arial" w:eastAsia="Times New Roman" w:hAnsi="Arial" w:cs="Arial"/>
          <w:b/>
          <w:bCs/>
          <w:noProof w:val="0"/>
          <w:color w:val="000000"/>
          <w:lang w:eastAsia="sr-Latn-RS"/>
        </w:rPr>
        <w:t> </w:t>
      </w:r>
      <w:r w:rsidRPr="005D3F21">
        <w:rPr>
          <w:rFonts w:ascii="Arial" w:eastAsia="Times New Roman" w:hAnsi="Arial" w:cs="Arial"/>
          <w:noProof w:val="0"/>
          <w:color w:val="000000"/>
          <w:lang w:eastAsia="sr-Latn-RS"/>
        </w:rPr>
        <w:t>у области саобраћаја, личних услуга, машинства и обраде метала као и геологије, рударства и металургије, геодезије и грађевинарства. Институције планирају да ће потенцијални корисници нових програма великим делом бити физичка лица (26%), незапослени (23%), незапослени који желе да се преквалификују (21%), припадници осетљивих група (15%), јавна предузећа (15%), као и да ће извори финансирања бити усмерени првенствено на сопствена средства корисника (56%) а у нешто мањем броју финансирање програма обука вршиће локална самоуправа (15%), јавна предузећа (9%), правна лица која упућују запослене на обуку (9%), привредна друштва (11%).</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Графикон бр. 7.</w:t>
      </w:r>
      <w:r w:rsidRPr="005D3F21">
        <w:rPr>
          <w:rFonts w:ascii="Arial" w:eastAsia="Times New Roman" w:hAnsi="Arial" w:cs="Arial"/>
          <w:noProof w:val="0"/>
          <w:color w:val="000000"/>
          <w:lang w:eastAsia="sr-Latn-RS"/>
        </w:rPr>
        <w:t> Извор финансирања нових програма планираних за акредитацију у 2021. години</w:t>
      </w:r>
    </w:p>
    <w:p w:rsidR="005D3F21" w:rsidRPr="005D3F21" w:rsidRDefault="005D3F21" w:rsidP="005D3F21">
      <w:pPr>
        <w:contextualSpacing w:val="0"/>
        <w:jc w:val="center"/>
        <w:rPr>
          <w:rFonts w:ascii="Arial" w:eastAsia="Times New Roman" w:hAnsi="Arial" w:cs="Arial"/>
          <w:noProof w:val="0"/>
          <w:color w:val="000000"/>
          <w:lang w:eastAsia="sr-Latn-RS"/>
        </w:rPr>
      </w:pPr>
      <w:r w:rsidRPr="005D3F21">
        <w:rPr>
          <w:rFonts w:ascii="Arial" w:eastAsia="Times New Roman" w:hAnsi="Arial" w:cs="Arial"/>
          <w:color w:val="000000"/>
          <w:lang w:eastAsia="sr-Latn-RS"/>
        </w:rPr>
        <w:pict>
          <v:shape id="Picture 7" o:spid="_x0000_i1045" type="#_x0000_t75" alt="https://www.pravno-informacioni-sistem.rs/SlGlasnikPortal/slike/Odrasli_Page_007.png&amp;doctype=reg&amp;regactid=431835" style="width:398.25pt;height:196.5pt;visibility:visible;mso-wrap-style:square">
            <v:imagedata r:id="rId15" o:title="Odrasli_Page_007"/>
          </v:shape>
        </w:pic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План акредитације нових програма у 2021. години за стицања стручних и кључних компетенција код ЈПОА дат је у Прилогу бр. 6.</w:t>
      </w:r>
      <w:r w:rsidRPr="005D3F21">
        <w:rPr>
          <w:rFonts w:ascii="Arial" w:eastAsia="Times New Roman" w:hAnsi="Arial" w:cs="Arial"/>
          <w:b/>
          <w:bCs/>
          <w:noProof w:val="0"/>
          <w:color w:val="000000"/>
          <w:lang w:eastAsia="sr-Latn-RS"/>
        </w:rPr>
        <w:t> </w:t>
      </w:r>
      <w:r w:rsidRPr="005D3F21">
        <w:rPr>
          <w:rFonts w:ascii="Arial" w:eastAsia="Times New Roman" w:hAnsi="Arial" w:cs="Arial"/>
          <w:noProof w:val="0"/>
          <w:color w:val="000000"/>
          <w:lang w:eastAsia="sr-Latn-RS"/>
        </w:rPr>
        <w:t>који је одштампан уз ГПОО за 2021. годину, и чини његов саставни део.</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8 Правилник о ближим условима у погледу програма, кадра, простора, опреме и наставних средстава за стицање статуса јавно признатог организатора активности образовања одраслих (</w:t>
      </w:r>
      <w:r>
        <w:rPr>
          <w:rFonts w:ascii="Arial" w:eastAsia="Times New Roman" w:hAnsi="Arial" w:cs="Arial"/>
          <w:i/>
          <w:iCs/>
          <w:noProof w:val="0"/>
          <w:color w:val="000000"/>
          <w:sz w:val="15"/>
          <w:szCs w:val="15"/>
          <w:lang w:eastAsia="sr-Latn-RS"/>
        </w:rPr>
        <w:t>"</w:t>
      </w:r>
      <w:r w:rsidRPr="005D3F21">
        <w:rPr>
          <w:rFonts w:ascii="Arial" w:eastAsia="Times New Roman" w:hAnsi="Arial" w:cs="Arial"/>
          <w:i/>
          <w:iCs/>
          <w:noProof w:val="0"/>
          <w:color w:val="000000"/>
          <w:sz w:val="15"/>
          <w:szCs w:val="15"/>
          <w:lang w:eastAsia="sr-Latn-RS"/>
        </w:rPr>
        <w:t>Службени гласник РС</w:t>
      </w:r>
      <w:r>
        <w:rPr>
          <w:rFonts w:ascii="Arial" w:eastAsia="Times New Roman" w:hAnsi="Arial" w:cs="Arial"/>
          <w:i/>
          <w:iCs/>
          <w:noProof w:val="0"/>
          <w:color w:val="000000"/>
          <w:sz w:val="15"/>
          <w:szCs w:val="15"/>
          <w:lang w:eastAsia="sr-Latn-RS"/>
        </w:rPr>
        <w:t>"</w:t>
      </w:r>
      <w:r w:rsidRPr="005D3F21">
        <w:rPr>
          <w:rFonts w:ascii="Arial" w:eastAsia="Times New Roman" w:hAnsi="Arial" w:cs="Arial"/>
          <w:i/>
          <w:iCs/>
          <w:noProof w:val="0"/>
          <w:color w:val="000000"/>
          <w:sz w:val="15"/>
          <w:szCs w:val="15"/>
          <w:lang w:eastAsia="sr-Latn-RS"/>
        </w:rPr>
        <w:t>, број 89/15)</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9 Правилником о врсти, називу и садржају образаца и начину вођења евиденција и називу, садржају и изгледу образаца јавних исправа и уверења у образовању одраслих (</w:t>
      </w:r>
      <w:r>
        <w:rPr>
          <w:rFonts w:ascii="Arial" w:eastAsia="Times New Roman" w:hAnsi="Arial" w:cs="Arial"/>
          <w:i/>
          <w:iCs/>
          <w:noProof w:val="0"/>
          <w:color w:val="000000"/>
          <w:sz w:val="15"/>
          <w:szCs w:val="15"/>
          <w:lang w:eastAsia="sr-Latn-RS"/>
        </w:rPr>
        <w:t>"</w:t>
      </w:r>
      <w:r w:rsidRPr="005D3F21">
        <w:rPr>
          <w:rFonts w:ascii="Arial" w:eastAsia="Times New Roman" w:hAnsi="Arial" w:cs="Arial"/>
          <w:i/>
          <w:iCs/>
          <w:noProof w:val="0"/>
          <w:color w:val="000000"/>
          <w:sz w:val="15"/>
          <w:szCs w:val="15"/>
          <w:lang w:eastAsia="sr-Latn-RS"/>
        </w:rPr>
        <w:t>Службени гласник РС</w:t>
      </w:r>
      <w:r>
        <w:rPr>
          <w:rFonts w:ascii="Arial" w:eastAsia="Times New Roman" w:hAnsi="Arial" w:cs="Arial"/>
          <w:i/>
          <w:iCs/>
          <w:noProof w:val="0"/>
          <w:color w:val="000000"/>
          <w:sz w:val="15"/>
          <w:szCs w:val="15"/>
          <w:lang w:eastAsia="sr-Latn-RS"/>
        </w:rPr>
        <w:t>"</w:t>
      </w:r>
      <w:r w:rsidRPr="005D3F21">
        <w:rPr>
          <w:rFonts w:ascii="Arial" w:eastAsia="Times New Roman" w:hAnsi="Arial" w:cs="Arial"/>
          <w:i/>
          <w:iCs/>
          <w:noProof w:val="0"/>
          <w:color w:val="000000"/>
          <w:sz w:val="15"/>
          <w:szCs w:val="15"/>
          <w:lang w:eastAsia="sr-Latn-RS"/>
        </w:rPr>
        <w:t>, бр. 89/15 и 102/15)</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10 Члан 78. став 4. Закона о основама система образовања и васпитања</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spacing w:val="27"/>
          <w:lang w:eastAsia="sr-Latn-RS"/>
        </w:rPr>
      </w:pPr>
      <w:r w:rsidRPr="005D3F21">
        <w:rPr>
          <w:rFonts w:ascii="Arial" w:eastAsia="Times New Roman" w:hAnsi="Arial" w:cs="Arial"/>
          <w:noProof w:val="0"/>
          <w:color w:val="000000"/>
          <w:spacing w:val="27"/>
          <w:lang w:eastAsia="sr-Latn-RS"/>
        </w:rPr>
        <w:t>б) Реализација програма и других активности неформалног образовања и обучавања одраслих у организацији Националне службе за запошљавање, других државних органа и установа, удружења и комора, а којима незапослена и запослена лица стичу знања, вештине и компетенције од важности за лични и професионални развој, запошљавање и одржање запослења као и управљање каријером и доношење одлука о даљем образовању и запошљавању</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Национална академија за јавну управу (НАЈУ)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Национална академија за јавну управу своју активност усмерава између осталог, и на унапређење компетенција запослених у јавној управи.</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Према подацима о реализованим обукама у 2020. години, закључно са 25. новембром, НАЈУ је, као ЈПОА, реализовала </w:t>
      </w:r>
      <w:r w:rsidRPr="005D3F21">
        <w:rPr>
          <w:rFonts w:ascii="Arial" w:eastAsia="Times New Roman" w:hAnsi="Arial" w:cs="Arial"/>
          <w:b/>
          <w:bCs/>
          <w:noProof w:val="0"/>
          <w:color w:val="000000"/>
          <w:lang w:eastAsia="sr-Latn-RS"/>
        </w:rPr>
        <w:t>170 обука</w:t>
      </w:r>
      <w:r w:rsidRPr="005D3F21">
        <w:rPr>
          <w:rFonts w:ascii="Arial" w:eastAsia="Times New Roman" w:hAnsi="Arial" w:cs="Arial"/>
          <w:noProof w:val="0"/>
          <w:color w:val="000000"/>
          <w:lang w:eastAsia="sr-Latn-RS"/>
        </w:rPr>
        <w:t>, а програме стручног усавршавања које је организовала НАЈУ је похађало чак </w:t>
      </w:r>
      <w:r w:rsidRPr="005D3F21">
        <w:rPr>
          <w:rFonts w:ascii="Arial" w:eastAsia="Times New Roman" w:hAnsi="Arial" w:cs="Arial"/>
          <w:b/>
          <w:bCs/>
          <w:noProof w:val="0"/>
          <w:color w:val="000000"/>
          <w:lang w:eastAsia="sr-Latn-RS"/>
        </w:rPr>
        <w:t>8.135</w:t>
      </w:r>
      <w:r w:rsidRPr="005D3F21">
        <w:rPr>
          <w:rFonts w:ascii="Arial" w:eastAsia="Times New Roman" w:hAnsi="Arial" w:cs="Arial"/>
          <w:noProof w:val="0"/>
          <w:color w:val="000000"/>
          <w:lang w:eastAsia="sr-Latn-RS"/>
        </w:rPr>
        <w:t> одраслих полазника, запослених у државној управи и у јединицама локалне самоуправе.</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Табела бр. 6. </w:t>
      </w:r>
      <w:r w:rsidRPr="005D3F21">
        <w:rPr>
          <w:rFonts w:ascii="Arial" w:eastAsia="Times New Roman" w:hAnsi="Arial" w:cs="Arial"/>
          <w:noProof w:val="0"/>
          <w:color w:val="000000"/>
          <w:lang w:eastAsia="sr-Latn-RS"/>
        </w:rPr>
        <w:t>Статистика реализованих обука НАЈУ у 2020. години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793"/>
        <w:gridCol w:w="1767"/>
        <w:gridCol w:w="2500"/>
      </w:tblGrid>
      <w:tr w:rsidR="005D3F21" w:rsidRPr="005D3F21" w:rsidTr="005D3F21">
        <w:tc>
          <w:tcPr>
            <w:tcW w:w="307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Реализоване обуке</w:t>
            </w:r>
          </w:p>
        </w:tc>
        <w:tc>
          <w:tcPr>
            <w:tcW w:w="79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Број обука</w:t>
            </w:r>
          </w:p>
        </w:tc>
        <w:tc>
          <w:tcPr>
            <w:tcW w:w="113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Број полазника</w:t>
            </w:r>
          </w:p>
        </w:tc>
      </w:tr>
      <w:tr w:rsidR="005D3F21" w:rsidRPr="005D3F21" w:rsidTr="005D3F21">
        <w:tc>
          <w:tcPr>
            <w:tcW w:w="307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Традиционалан облик стручног усавршавања</w:t>
            </w:r>
          </w:p>
        </w:tc>
        <w:tc>
          <w:tcPr>
            <w:tcW w:w="79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24</w:t>
            </w:r>
          </w:p>
        </w:tc>
        <w:tc>
          <w:tcPr>
            <w:tcW w:w="113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221</w:t>
            </w:r>
          </w:p>
        </w:tc>
      </w:tr>
      <w:tr w:rsidR="005D3F21" w:rsidRPr="005D3F21" w:rsidTr="005D3F21">
        <w:tc>
          <w:tcPr>
            <w:tcW w:w="307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Вебинар</w:t>
            </w:r>
          </w:p>
        </w:tc>
        <w:tc>
          <w:tcPr>
            <w:tcW w:w="79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7</w:t>
            </w:r>
          </w:p>
        </w:tc>
        <w:tc>
          <w:tcPr>
            <w:tcW w:w="113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259</w:t>
            </w:r>
          </w:p>
        </w:tc>
      </w:tr>
      <w:tr w:rsidR="005D3F21" w:rsidRPr="005D3F21" w:rsidTr="005D3F21">
        <w:tc>
          <w:tcPr>
            <w:tcW w:w="307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Комбиновано учење</w:t>
            </w:r>
          </w:p>
        </w:tc>
        <w:tc>
          <w:tcPr>
            <w:tcW w:w="79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127</w:t>
            </w:r>
          </w:p>
        </w:tc>
        <w:tc>
          <w:tcPr>
            <w:tcW w:w="113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5386</w:t>
            </w:r>
          </w:p>
        </w:tc>
      </w:tr>
      <w:tr w:rsidR="005D3F21" w:rsidRPr="005D3F21" w:rsidTr="005D3F21">
        <w:tc>
          <w:tcPr>
            <w:tcW w:w="307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Онлајн обуке</w:t>
            </w:r>
          </w:p>
        </w:tc>
        <w:tc>
          <w:tcPr>
            <w:tcW w:w="79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12</w:t>
            </w:r>
          </w:p>
        </w:tc>
        <w:tc>
          <w:tcPr>
            <w:tcW w:w="113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2269</w:t>
            </w:r>
          </w:p>
        </w:tc>
      </w:tr>
      <w:tr w:rsidR="005D3F21" w:rsidRPr="005D3F21" w:rsidTr="005D3F21">
        <w:tc>
          <w:tcPr>
            <w:tcW w:w="307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УКУПНО</w:t>
            </w:r>
          </w:p>
        </w:tc>
        <w:tc>
          <w:tcPr>
            <w:tcW w:w="79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170</w:t>
            </w:r>
          </w:p>
        </w:tc>
        <w:tc>
          <w:tcPr>
            <w:tcW w:w="1130"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8135</w:t>
            </w:r>
          </w:p>
        </w:tc>
      </w:tr>
    </w:tbl>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НАЈУ је припремила предлоге </w:t>
      </w:r>
      <w:r w:rsidRPr="005D3F21">
        <w:rPr>
          <w:rFonts w:ascii="Arial" w:eastAsia="Times New Roman" w:hAnsi="Arial" w:cs="Arial"/>
          <w:i/>
          <w:iCs/>
          <w:noProof w:val="0"/>
          <w:color w:val="000000"/>
          <w:lang w:eastAsia="sr-Latn-RS"/>
        </w:rPr>
        <w:t>обука запослених у </w:t>
      </w:r>
      <w:r w:rsidRPr="005D3F21">
        <w:rPr>
          <w:rFonts w:ascii="Arial" w:eastAsia="Times New Roman" w:hAnsi="Arial" w:cs="Arial"/>
          <w:b/>
          <w:bCs/>
          <w:noProof w:val="0"/>
          <w:color w:val="000000"/>
          <w:lang w:eastAsia="sr-Latn-RS"/>
        </w:rPr>
        <w:t>државној управи и запослених у јединицама локалне самоуправе </w:t>
      </w:r>
      <w:r w:rsidRPr="005D3F21">
        <w:rPr>
          <w:rFonts w:ascii="Arial" w:eastAsia="Times New Roman" w:hAnsi="Arial" w:cs="Arial"/>
          <w:noProof w:val="0"/>
          <w:color w:val="000000"/>
          <w:lang w:eastAsia="sr-Latn-RS"/>
        </w:rPr>
        <w:t>за 2021. годину, а који усваја Влада и то:</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Општи програм обуке државних службеника;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Општи програм обуке запослених у јединицама локалне самоуправе (ЈЛС);</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Програм обуке руководилаца у државним органима;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Програм обуке руководилаца у ЈЛС.</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Очекује се да ће обуке које спроводи НАЈУ у 2021. години у складу са донетим програмима похађати више од 9.000 полазника. </w:t>
      </w:r>
      <w:r w:rsidRPr="005D3F21">
        <w:rPr>
          <w:rFonts w:ascii="Arial" w:eastAsia="Times New Roman" w:hAnsi="Arial" w:cs="Arial"/>
          <w:b/>
          <w:bCs/>
          <w:noProof w:val="0"/>
          <w:color w:val="000000"/>
          <w:lang w:eastAsia="sr-Latn-RS"/>
        </w:rPr>
        <w:t>Програми образовања и обучавања за осетљиве циљне групе (Роми, ОСИ...). </w:t>
      </w:r>
      <w:r w:rsidRPr="005D3F21">
        <w:rPr>
          <w:rFonts w:ascii="Arial" w:eastAsia="Times New Roman" w:hAnsi="Arial" w:cs="Arial"/>
          <w:noProof w:val="0"/>
          <w:color w:val="000000"/>
          <w:lang w:eastAsia="sr-Latn-RS"/>
        </w:rPr>
        <w:t>Закључком Владе бр. 151-8061/2020 од 15. октобра 2020. године НАЈУ је задужена за припрему и спровођење програма стручног оспособљавања незапослених високообразованих Рома за период од 2020. године и даље. У складу са обавезама из Закључка Владе а у сарадњи са организацијама Грађански покрет Опре Рома Србија и Канцеларијом за ромске иницијативе Фондације за отворено друштво, НАЈУ ради на развоју Програма стручног оспособљавања Рома. Наиме, са циљем унапређења положаја Рома и њихове веће запошљивости, НАЈУ ће припремити програме и спровести низ мултидисциплинарних обука за незапослене припаднике ромске популације са стеченим високим образовањем. Наведени програм ће спроводити акредитовани реализатори НАЈУ који се налазе на Сталној листи предавача и других реализатора обука коју води НАЈУ. Предвиђено је да овај сет обука похађа 100 полазника.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Унапређење неформалног система образовања и обуке крoз развој методологија, стандарда за осигурање квалитета, упутстава, смерница, студија, анализа у области образовања одраслих и сл.</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У циљу праћења квалитета посебних програма, НАЈУ ће у 2021. години радити на развоју критеријума и стандарда за акредитацију посебних програма са тенденцијом да се тиме у наредном периоду допуне наведени прописи. Сектор за припрему програма обука и управљања квалитетом НАЈУ почиње да се бави истраживачким активностима. С обзиром на то да савремена управа има потребу за кадровима развијених знања, оспособљених за примену нових метода рада прилагођених другачијем окружењу, прво у низу истраживање НАЈУ бавиће се истраживањем развоја компетенције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Оријентација ка учењу и променама код службеника у Републици Србији</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временским интервалима од годину дана.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Усавршавање кадра ангажованог у образовању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НАЈУ ће у сарадњи са Саветом Европе на пројекту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Управљање људским ресурсима у локалној самоуправи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фаза 2</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2021. години посебну пажњу посветити унапређењу стандарда андрагошких компетенција тренера, алата за самопроцену тренерских вештина и протокола за праћење рада тренера приликом симулације на интерном конкурсу и касније током извођења тренинга. Додатно, изградиће се модел поступка акредитације ментора и коучева као реализатора стручног усавршавања НАЈУ, уз утврђивање процедуре њиховог ангажовања. У сарадњи са пројектом Савета Европе, НАЈУ очекује развој Assessment центра као методе процене којим ће процењивати тренерске компетенције. Биће припремљен и реализован програм обуке за запослене у НАЈУ за примену методе Assessment центра. У 2021. години се очекује спровођење обука за развој тренерских вештина које су део Општег програма обуке државних службеника за 2021. годину. односно део Општег програма обуке запослених у јединицама локалне самоуправе за 2021. годину.</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Унапређење стратешког и нормативног оквира у области образовања одраслих (израда предлога подзаконских аката).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Због специфичности ситуације у 2020. години, НАЈУ је прилагодила своје приоритете у складу са општом ситуацијом у земљи, те није поднела Влади на усвајање предлог Одлуке о тарифи за услуге стручног усавршавања и обављања других стручних послова како је планирано. Очекује се да се ова активност спроведе у 2021. години. Ради унапређења процеса акредитације реализатора и начина њиховог ангажовања интерним конкурсом, НАЈУ ће у 2021. години припремити предлог Измена и допуна Уредбе о акредитацији, начину ангажовања и накнадама реализатора и спроводилаца програма стручног усавршавања у јавној управи. Почетком 2021. године ће се, иначе, вредновати учинак и преиспитати подзаконски прописи који су донети на основу закона који уређују област стручног усавршавања у јавној управи ex-post анализом подзаконских прописа.</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Министарство за рад, запошљавање, борачка и социјална питања и Национална служба за запошљавање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Повећање компетенција незапослених лица стицањем знања и вештина кроз успостављање система краткорочних обука, један је од основних постулата на којима се заснивају програми додатног образовања и обуке, као дела система активне политике запошљавања.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Идентификација недостајућих знања и вештина на тржишту рада, које могу бити стечене кроз систем кратких обука, заснива се на аналитичком сагледавању резултата годишњег анкетног истраживања потреба послодаваца, карактеристика регистроване незапослености и степена успешности посредовања према пријављеним потребама за запошљавањем, при чему се посебна пажња усмерава ка анализи фактора који су условили немогућност задовољења потребе, са посебним фокусом на сегмент недостајућих знања, вештина или компетенција. На основу налаза анализе израђује се Каталог обука, којим се утврђују конкретне обуке за којима постоји потреба, кључни исходи и пројектовани обухват незапослених лица на нивоу филијале Националне службе за запошљавање, према расположивим финансијским средствима за реализацију мера активне политике запошљавања.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Паралелно са активностима усмереним ка унапређењу квалитета програма обука за потребе тржишта рада (у смислу повећања броја акредитованих пружалаца и самих обука и доступности, а које ће се реализовати у сарадњи са институцијама надлежним за послове образовања и обуке), НСЗ реализоваће активности усмерене ка побољшању квантитативних и квалитативних показатеља стања и потреба на тржишту рада (у смислу неусклађености знања и вештина), како би се одабир обука, које ће се реализовати у још већој мери, ускладио са потребама привреде, кроз унапређење методологије за анкетно истраживање потреба послодаваца и техника обраде и извођења налаза на основу прикупљених варијабли и оних које су доступне у секундарним изворима података.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Важност интензивирања активности на унапређењу целокупног система кратких обука, у домену активне политике запошљавања, огледа се и у чињеници да, систем кратких обука које се могу финансирати за потребе послодавца за запосленог, са циљем одржања запослења, није у довољној мери препознат од стране привредног сектора. Наиме, иако НСЗ, у складу са одредбама Закона о запошљавању и осигурању за случај незапослености (и пратећим подзаконским актом) и Националним акционим планом може, на основу образложеног захтева послодавца из приватног сектора, учествовати у финансирању обуке ради посебног или општег усавршавања запосленог, степен искоришћености овог модалитета стицања додатних знања и вештина запослених није на задовољавајућем нивоу, иако је квалитет обуке обезбеђен кроз искључиву реализацију исте од стране ЈПОА. С тим у вези, у наредном периоду, а као резултат интензивиране промотивне и информативне активности ка привредном сектору, очекује се повећање интересовања за реализацијом обука овог типа, чиме ће се допринети унапређењу квалитета рада запослених, као и превенцији повећаног броја незапослених лица у статусу вишка запослених.</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Поред наведеног, током 2021. године, наставиће се са </w:t>
      </w:r>
      <w:r w:rsidRPr="005D3F21">
        <w:rPr>
          <w:rFonts w:ascii="Arial" w:eastAsia="Times New Roman" w:hAnsi="Arial" w:cs="Arial"/>
          <w:i/>
          <w:iCs/>
          <w:noProof w:val="0"/>
          <w:color w:val="000000"/>
          <w:lang w:eastAsia="sr-Latn-RS"/>
        </w:rPr>
        <w:t>реализацијом програма</w:t>
      </w:r>
      <w:r w:rsidRPr="005D3F21">
        <w:rPr>
          <w:rFonts w:ascii="Arial" w:eastAsia="Times New Roman" w:hAnsi="Arial" w:cs="Arial"/>
          <w:noProof w:val="0"/>
          <w:color w:val="000000"/>
          <w:lang w:eastAsia="sr-Latn-RS"/>
        </w:rPr>
        <w:t> </w:t>
      </w:r>
      <w:r w:rsidRPr="005D3F21">
        <w:rPr>
          <w:rFonts w:ascii="Arial" w:eastAsia="Times New Roman" w:hAnsi="Arial" w:cs="Arial"/>
          <w:i/>
          <w:iCs/>
          <w:noProof w:val="0"/>
          <w:color w:val="000000"/>
          <w:lang w:eastAsia="sr-Latn-RS"/>
        </w:rPr>
        <w:t>стручног оспособљавања за самосталан рад у занимању</w:t>
      </w:r>
      <w:r w:rsidRPr="005D3F21">
        <w:rPr>
          <w:rFonts w:ascii="Arial" w:eastAsia="Times New Roman" w:hAnsi="Arial" w:cs="Arial"/>
          <w:noProof w:val="0"/>
          <w:color w:val="000000"/>
          <w:lang w:eastAsia="sr-Latn-RS"/>
        </w:rPr>
        <w:t> за које је стечена квалификација, а која немају радног искуства (са и без заснивања радног односа)</w:t>
      </w:r>
      <w:r w:rsidRPr="005D3F21">
        <w:rPr>
          <w:rFonts w:ascii="Arial" w:eastAsia="Times New Roman" w:hAnsi="Arial" w:cs="Arial"/>
          <w:noProof w:val="0"/>
          <w:color w:val="000000"/>
          <w:sz w:val="15"/>
          <w:szCs w:val="15"/>
          <w:vertAlign w:val="superscript"/>
          <w:lang w:eastAsia="sr-Latn-RS"/>
        </w:rPr>
        <w:t>11</w:t>
      </w:r>
      <w:r w:rsidRPr="005D3F21">
        <w:rPr>
          <w:rFonts w:ascii="Arial" w:eastAsia="Times New Roman" w:hAnsi="Arial" w:cs="Arial"/>
          <w:noProof w:val="0"/>
          <w:color w:val="000000"/>
          <w:lang w:eastAsia="sr-Latn-RS"/>
        </w:rPr>
        <w:t>, као и програма оспособљавања незапосленог лица за самосталан рад на конкретним пословима код послодавца, без обзира на стечено звање у формалном систему образовања</w:t>
      </w:r>
      <w:r w:rsidRPr="005D3F21">
        <w:rPr>
          <w:rFonts w:ascii="Arial" w:eastAsia="Times New Roman" w:hAnsi="Arial" w:cs="Arial"/>
          <w:noProof w:val="0"/>
          <w:color w:val="000000"/>
          <w:sz w:val="15"/>
          <w:szCs w:val="15"/>
          <w:vertAlign w:val="superscript"/>
          <w:lang w:eastAsia="sr-Latn-RS"/>
        </w:rPr>
        <w:t>12</w:t>
      </w:r>
      <w:r w:rsidRPr="005D3F21">
        <w:rPr>
          <w:rFonts w:ascii="Arial" w:eastAsia="Times New Roman" w:hAnsi="Arial" w:cs="Arial"/>
          <w:noProof w:val="0"/>
          <w:color w:val="000000"/>
          <w:lang w:eastAsia="sr-Latn-RS"/>
        </w:rPr>
        <w:t xml:space="preserve">, чија је реализација започела у 2020. години, а као одговор на идентификовану потребу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наиме, на тржишту рада је све већи број послова који по својој сложености захтевају кандидате на одређеном нивоу образовања и по својим захтевима нису орјентисани на конкретну струку, већ често захтевају различита знања и вештине из више области образовања и рада.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НСЗ ће наставити са реализацијом </w:t>
      </w:r>
      <w:r w:rsidRPr="005D3F21">
        <w:rPr>
          <w:rFonts w:ascii="Arial" w:eastAsia="Times New Roman" w:hAnsi="Arial" w:cs="Arial"/>
          <w:i/>
          <w:iCs/>
          <w:noProof w:val="0"/>
          <w:color w:val="000000"/>
          <w:lang w:eastAsia="sr-Latn-RS"/>
        </w:rPr>
        <w:t>програма стицања практичних знања за обављање конкретних послова на конкретном радном месту </w:t>
      </w:r>
      <w:r w:rsidRPr="005D3F21">
        <w:rPr>
          <w:rFonts w:ascii="Arial" w:eastAsia="Times New Roman" w:hAnsi="Arial" w:cs="Arial"/>
          <w:noProof w:val="0"/>
          <w:color w:val="000000"/>
          <w:lang w:eastAsia="sr-Latn-RS"/>
        </w:rPr>
        <w:t>за поједине категорије незапослених лица, као и</w:t>
      </w:r>
      <w:r w:rsidRPr="005D3F21">
        <w:rPr>
          <w:rFonts w:ascii="Arial" w:eastAsia="Times New Roman" w:hAnsi="Arial" w:cs="Arial"/>
          <w:i/>
          <w:iCs/>
          <w:noProof w:val="0"/>
          <w:color w:val="000000"/>
          <w:lang w:eastAsia="sr-Latn-RS"/>
        </w:rPr>
        <w:t> програма стицања знања из информационо-комуникационих технологија,</w:t>
      </w:r>
      <w:r w:rsidRPr="005D3F21">
        <w:rPr>
          <w:rFonts w:ascii="Arial" w:eastAsia="Times New Roman" w:hAnsi="Arial" w:cs="Arial"/>
          <w:noProof w:val="0"/>
          <w:color w:val="000000"/>
          <w:lang w:eastAsia="sr-Latn-RS"/>
        </w:rPr>
        <w:t> у оквиру расположивог финансијског оквира и исказаног интересовања незапослених лица и послодаваца. Такође, с обзиром на значајан број незапослених лица која су без завршене основне школе, планирана је и реализација </w:t>
      </w:r>
      <w:r w:rsidRPr="005D3F21">
        <w:rPr>
          <w:rFonts w:ascii="Arial" w:eastAsia="Times New Roman" w:hAnsi="Arial" w:cs="Arial"/>
          <w:i/>
          <w:iCs/>
          <w:noProof w:val="0"/>
          <w:color w:val="000000"/>
          <w:lang w:eastAsia="sr-Latn-RS"/>
        </w:rPr>
        <w:t>Програма</w:t>
      </w:r>
      <w:r w:rsidRPr="005D3F21">
        <w:rPr>
          <w:rFonts w:ascii="Arial" w:eastAsia="Times New Roman" w:hAnsi="Arial" w:cs="Arial"/>
          <w:noProof w:val="0"/>
          <w:color w:val="000000"/>
          <w:lang w:eastAsia="sr-Latn-RS"/>
        </w:rPr>
        <w:t> ФООО (у сарадњи са институцијама из система формалног образовања), уз приоритетно потоње укључивање ових лица у програме обука. Карактеристике, обухват лица и износ алоцираних финансијских средстава за реализацију свих програма из система додатног образовања и обуке биће утврђени Акционим планом запошљавања за период 2021</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2023. године, који ће бити саставни део Стратегије запошљавања у Републици Србији за период од 2021. до 2026. године</w:t>
      </w:r>
      <w:r w:rsidRPr="005D3F21">
        <w:rPr>
          <w:rFonts w:ascii="Arial" w:eastAsia="Times New Roman" w:hAnsi="Arial" w:cs="Arial"/>
          <w:noProof w:val="0"/>
          <w:color w:val="000000"/>
          <w:sz w:val="15"/>
          <w:szCs w:val="15"/>
          <w:vertAlign w:val="superscript"/>
          <w:lang w:eastAsia="sr-Latn-RS"/>
        </w:rPr>
        <w:t>13</w:t>
      </w:r>
      <w:r w:rsidRPr="005D3F21">
        <w:rPr>
          <w:rFonts w:ascii="Arial" w:eastAsia="Times New Roman" w:hAnsi="Arial" w:cs="Arial"/>
          <w:noProof w:val="0"/>
          <w:color w:val="000000"/>
          <w:lang w:eastAsia="sr-Latn-RS"/>
        </w:rPr>
        <w:t>.</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планирана је реализација програма додатног образовања и обуке као дела система активне политике запошљавања у циљу унапређивања запошљивости незапослених лица. Карактеристике, обухват лица и износ алоцираних финансијских средстава за реализацију појединачних програма из система додатног образовања и обуке биће утврђени Акционим планом запошљавања за период 2021</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2023. године, који ће бити саставни део Стратегије. Усвајање наведених докумената очекује се до краја месеца јануара 2021. године</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Pr>
          <w:rFonts w:ascii="Arial" w:eastAsia="Times New Roman" w:hAnsi="Arial" w:cs="Arial"/>
          <w:i/>
          <w:iCs/>
          <w:noProof w:val="0"/>
          <w:color w:val="000000"/>
          <w:sz w:val="15"/>
          <w:szCs w:val="15"/>
          <w:lang w:eastAsia="sr-Latn-RS"/>
        </w:rPr>
        <w:t>-------------</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11 Програм стручне праксе и програми приправника за лица са високим и средњим нивоом квалификација.</w:t>
      </w:r>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 xml:space="preserve">12 Програм подстицања запошљавања младих </w:t>
      </w:r>
      <w:r>
        <w:rPr>
          <w:rFonts w:ascii="Arial" w:eastAsia="Times New Roman" w:hAnsi="Arial" w:cs="Arial"/>
          <w:i/>
          <w:iCs/>
          <w:noProof w:val="0"/>
          <w:color w:val="000000"/>
          <w:sz w:val="15"/>
          <w:szCs w:val="15"/>
          <w:lang w:eastAsia="sr-Latn-RS"/>
        </w:rPr>
        <w:t>"</w:t>
      </w:r>
      <w:r w:rsidRPr="005D3F21">
        <w:rPr>
          <w:rFonts w:ascii="Arial" w:eastAsia="Times New Roman" w:hAnsi="Arial" w:cs="Arial"/>
          <w:i/>
          <w:iCs/>
          <w:noProof w:val="0"/>
          <w:color w:val="000000"/>
          <w:sz w:val="15"/>
          <w:szCs w:val="15"/>
          <w:lang w:eastAsia="sr-Latn-RS"/>
        </w:rPr>
        <w:t>Моја прва плата</w:t>
      </w:r>
      <w:r>
        <w:rPr>
          <w:rFonts w:ascii="Arial" w:eastAsia="Times New Roman" w:hAnsi="Arial" w:cs="Arial"/>
          <w:i/>
          <w:iCs/>
          <w:noProof w:val="0"/>
          <w:color w:val="000000"/>
          <w:sz w:val="15"/>
          <w:szCs w:val="15"/>
          <w:lang w:eastAsia="sr-Latn-RS"/>
        </w:rPr>
        <w:t>"</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Министарство привреде</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планирана је реализација Програма стандардизованог сета услуга за микро, мала и средња предузећа и предузетнике. Реализација је планирана да се спроведе преко акредитованих регионалних развојних агенција, за микро, мала и средња предузећа и предузетнике на локалном нивоу.</w:t>
      </w:r>
    </w:p>
    <w:p w:rsidR="005D3F21" w:rsidRPr="005D3F21" w:rsidRDefault="005D3F21" w:rsidP="005D3F21">
      <w:pPr>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Министарство пољопривреде, шумарства и водопривреде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планирано је усавршавање пољопривредних саветодаваца и пољопривредних произвођача у складу са Уредбом о утврђивању Годишњег програма развоја саветодавних послова у пољопривреди за 2021. годину. Планирано је да програм похађа 929 учесника у организацији Института за примену науке у пољопривреди (ИПН). Програми ће бити спроведени ради стварања квалитетнијег и ефикаснијег сервиса за пружање стручних савета, препорука и помоћи пољопривредним произвођачима и другим члановима локалних заједница.</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Агенција за квалификације(АЗК)</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планирана је реализација </w:t>
      </w:r>
      <w:r w:rsidRPr="005D3F21">
        <w:rPr>
          <w:rFonts w:ascii="Arial" w:eastAsia="Times New Roman" w:hAnsi="Arial" w:cs="Arial"/>
          <w:i/>
          <w:iCs/>
          <w:noProof w:val="0"/>
          <w:color w:val="000000"/>
          <w:lang w:eastAsia="sr-Latn-RS"/>
        </w:rPr>
        <w:t>обуке у области комуникација о реформи образовања</w:t>
      </w:r>
      <w:r w:rsidRPr="005D3F21">
        <w:rPr>
          <w:rFonts w:ascii="Arial" w:eastAsia="Times New Roman" w:hAnsi="Arial" w:cs="Arial"/>
          <w:noProof w:val="0"/>
          <w:color w:val="000000"/>
          <w:lang w:eastAsia="sr-Latn-RS"/>
        </w:rPr>
        <w:t>, а која ће бити организована у оквиру пројекта Подршка ЕУ за реформу образовања у Републици Србији (REDIS 2030 пројекат). У обуци ће учествовати запослени у АЗК и представници секторских већа НОКС-а.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Такође, планира се реализација обуке за запослене</w:t>
      </w:r>
      <w:r w:rsidRPr="005D3F21">
        <w:rPr>
          <w:rFonts w:ascii="Arial" w:eastAsia="Times New Roman" w:hAnsi="Arial" w:cs="Arial"/>
          <w:i/>
          <w:iCs/>
          <w:noProof w:val="0"/>
          <w:color w:val="000000"/>
          <w:lang w:eastAsia="sr-Latn-RS"/>
        </w:rPr>
        <w:t>, за увођење система финансијског управљања и контроле (ФУК)</w:t>
      </w:r>
      <w:r w:rsidRPr="005D3F21">
        <w:rPr>
          <w:rFonts w:ascii="Arial" w:eastAsia="Times New Roman" w:hAnsi="Arial" w:cs="Arial"/>
          <w:noProof w:val="0"/>
          <w:color w:val="000000"/>
          <w:lang w:eastAsia="sr-Latn-RS"/>
        </w:rPr>
        <w:t> и израда листе процеса и утврђивање ризика за запослене, а у сарадњи са Удружењем интерних ревизора.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Агенција за квалификације ће уз сарадњу са различитим институцијама и организацијама пружати подршку процесу имплементације стандарда каријерног вођења и саветовања и стандарда за поступак признавања претходног учења. Посебан акценат биће стављен на област информисања о постојећим квалификацијама и њиховој повезаности са занимањима и реализацији промотивних активности које се односе на систем КВиС-а и стандарде услуга.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АЗК ће у оквиру Пројекта ИПА2020 бити укључена у имплементацију методологије и стандарда за спољашње вредновање и самовредновање ЈПОА као и за израду стандарда квалификација на нивоу 3 и нивоу 5 НОКС-а које се могу стицати путем неформалног образовања и кроз поступак ППУ-а (оквирно 15 стандарда).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Велики део активности у 2021. години АЗК ће посветити припреми и уносу података o ЈПОА и о програмима образовања одраслих, као и изради упутства за унос података о полазницима у Подрегистар ЈПОА. АЗК ће организовати 5 обука за око 90 ЈПОА полазника, у циљу подизања капацитета ЈПОА за ажурирање и коришћење Подрегистра ЈПОА.</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Министарство трговине, туризма и телекомуникација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планирана је реализација следећих програма: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Подизање дигиталних компетенција запослених у јавном сектору са посебним акцентом на информациону безбедност;</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Обуке са циљем подизања капацитета запослених у институцијама система ради примене Уредбе о безбедности и заштити деце при коришћењу информационо-комуникационих технологија;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13 Припрема наведеног стратешког документа је у току. Усвајање истог планирано је за децембар 2020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јануар</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Обуке за учитеље и особе са инвалидитеом на тему информационе безбедности;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Обука за запослене у надлежним органима у области информационе безбедности о поступању у случају инцидената у ИКТ системима.</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Привредна комора Србије (ПКС)</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планиране су следеће активности: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Припрема иницијативе за израду стандарда квалификације чији је радни назив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монтер лифтова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а у складу са захтевом привреде, у циљу развоја Програма формалног образовања (5.степен);</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Обука инструктора у дуалном образовању;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Обука за тренере инструктора у дуалном образовању;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Реализација обука и тренинга на радном месту, за привреднике, у складу са захтевима привреде и подршка пројекту Е2Е (Знањем до посла) у реализацији обука на радном месту;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Представници ПКС учествују у раду стручних тела у области стручног образовања (Савет за стручно образовање и образовање одраслих, секторска већа и Савет за НОКС).</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Завод за унапређење образовања и васпитања (ЗУОВ)</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Завод за унапређење васпитања и образовања ће припремити, у сарадњи са релевантним институцијама, Предлог годишњег плана образовања одраслих за 2021. годину.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Такође, ЗУОВ ће у 2021. години припремити упутства за развој смерница за прилагођавање инструмената за процену компетенција кандидата у поступку ППУ.</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Фондација Темпус и Euroguidance центар</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планирана је реализација следећих програма/активности: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Програми информисања и обучавања на тему планирања развоја кључних компетенција/меких вештина/вештина управљања каријером за студенте, запослене и незапослене одрасле (вебинари, презентације, радионице током читаве године за 50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200 учесника);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Програми информисања на тему планирања развоја кључних компетенција/меких вештина/вештина управљања каријером за студенте, запослене и незапослене одрасле (око 50 вебинара и презентација током 2021. за 1000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1500 корисника);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Услуге КвиС: Организација семинара, конференција, студијских посета као и публиковање материјала и примера добрих пракси на тему каријерног вођења и саветовања намењених каријерним практичарима као подршка њиховом раду;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Спровођење акредитованих семинара на тему каријерног вођења и саветовања са циљем сталног стручног усавршавања наставника и стручних сарадника из школа за образовање одраслих, андрагошких асистената и социјалних радника за око 50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100 учесника;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Организовање ЕПАЛЕ регионалне конференције, која окупља практичаре и професионалце у области образовања одраслих из Републике Србије и региона на тему унапређења дигиталних компетенција одраслих за око 200 учесника. Циљна група су сви практичари и други професионалци активни у образовању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Организовање наградних конкурса за најбољи блог на ЕПАЛЕ платформи и слање аутора најбољих текстова (практичара у образовању одраслих) на усавршавање на међународним конференцијама у области образовања одраслих. Циљна група су сви регистровани корисници ЕПАЛЕ платформе, као и сви практичари у образовању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Слање наставног и радно ангажованог кадра у образовању одраслих на догађаје међународне сарадње које организују Националне агенције за Еразмус+;</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Реализација акредитованих програма сталног стручног усавршавања на тему употребе портала eTwinning и примену ИКТ алата у настави за 100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200 учесника у 2021. години. Циљна група су сви наставници, укључујући и наставнике који раде у образовању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Представљање могућности у оквиру Еразмус+ програма кроз одржавање информативних догађаја (инфо дана) широм Србије, као и презентација и вебинара о Еразмус+ пројектима мобилности у области општег, стручног и образовања одраслих. Очекивани број укључених лица је 500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1000;</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Одржавање радионица за писање пројеката мобилности и стратешких партнерстава у оквиру Еразмус+ програма са циљем подизања компетенција запослених у образовању у области спровођења пројеката и успостављања међународне сарадње. Очекивани број укључених лица 100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150;</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Одржавање предавања на интернету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вебинара са циљем упознавања наставног и радно ангажованог кадра у образовању одраслих и шире јавности са могућностима и функционалностима ЕПАЛЕ мреже, као и са актуелним темама у образовању одраслих на националном и европском нивоу, затим са могућностима за учешће у Еразмус+ пројектима.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Очекивани број укључених лица 200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300;</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Информисање професионалаца и практичара у образовању одраслих о актуелностима у земљи и Европи и промовисање образовања одраслих кроз блогове, вести, ресурсе, догађаје и магазине објављене на ЕПАЛЕ платформи на српском и енглеском језику. Очекивани број укључених лица 1500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1700;</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Спровођење акредитованих семинара на тему каријерног вођења и саветовања са циљем сталног стручног усавршавања наставника и стручних сарадника из школа за образовање одраслих (до 5 семинара који би обухватили укупно 150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200 учесника);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Информисање и обучавање на тему представљања претходно стечених знања и вештина кроз Europass документа (15</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20 информативних сесија и радионица за младе, запослене и незапослене одрасле);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Организација радионица и предавања на теме управљања каријером, значаја целоживотног учења, развоја компетенција за 800</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1000 ученика, студената и младих.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Превод публикација од значаја за образовање одраслих (приручника, истраживања, извештаја и сл.).</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Eurogidance центар </w:t>
      </w:r>
      <w:r w:rsidRPr="005D3F21">
        <w:rPr>
          <w:rFonts w:ascii="Arial" w:eastAsia="Times New Roman" w:hAnsi="Arial" w:cs="Arial"/>
          <w:noProof w:val="0"/>
          <w:color w:val="000000"/>
          <w:lang w:eastAsia="sr-Latn-RS"/>
        </w:rPr>
        <w:t>који функционише у оквиру Фондације Темпус, реализује активности намењене каријерним практичарима и стручњацима који су активни у области КВиС, али и појединцима који су заинтересовани за услуге каријерног вођења и саветовања.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склопу својих редовних активности Euroguidance центар ће у 2021. години организовати разноврсне активности као што су: презентације (уживо и путем интернета), вебинари, те радионице са циљем промовисања и развоја кључних компетенција/меких вештина и представљања послодавцима. Ове активности намењене су различитим групама одраслих укључујући студенте, незапослена лица, запослене који желе да промене посао или да се усавршавају на радном месту, итд. Фондација Темпус и Euroguidance центар настојаће да обухват као и доступност активности буде што већи тако што ће активности организовати широм Републике Србије када то буде могуће, и путем различитих канала на интернету како би што већи број одраслих био оснажен да се активно укључи и управља својим личним и професионалним развојем.</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Министарство државне управе и локалне самоуправе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планирана је реализација следећих програма:</w:t>
      </w:r>
    </w:p>
    <w:p w:rsidR="005D3F21" w:rsidRPr="005D3F21" w:rsidRDefault="005D3F21" w:rsidP="005D3F21">
      <w:pPr>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w:t>
      </w:r>
      <w:r w:rsidRPr="005D3F21">
        <w:rPr>
          <w:rFonts w:ascii="Arial" w:eastAsia="Times New Roman" w:hAnsi="Arial" w:cs="Arial"/>
          <w:i/>
          <w:iCs/>
          <w:noProof w:val="0"/>
          <w:color w:val="000000"/>
          <w:lang w:eastAsia="sr-Latn-RS"/>
        </w:rPr>
        <w:t>Посебни програм обуке државних службеника</w:t>
      </w:r>
      <w:r w:rsidRPr="005D3F21">
        <w:rPr>
          <w:rFonts w:ascii="Arial" w:eastAsia="Times New Roman" w:hAnsi="Arial" w:cs="Arial"/>
          <w:noProof w:val="0"/>
          <w:color w:val="000000"/>
          <w:lang w:eastAsia="sr-Latn-RS"/>
        </w:rPr>
        <w:t>:</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Припреми овог програма претходио је поступак утврђивања потреба за стручним усавршавањем државних службеника и припрема Извештаја о анализи потреба за стручним. Анализа је указала да државни службеници поседују тражене компетенције, али да је за даље обликовање њиховог понашања и постизање очекиване радне успешности, посебно у реформским процесима у јавној управи, потребно да континуирано стичу нова или унапређују постојећа знања и вештине. Циљ Посебног програма обуке за 2021. годину јесте да се државним службеницима обезбеди приступ праву на посебно стручно усавршавање у складу са личним потребама и потребама државног органа, што треба да има позитиван исход на процес вредновања радне успешности, напредовања и награђивања у државнослужбеничком систему. Носиоци реализације овог програма јесу акредитовани реализатори/спроводиоци за конкретну област стручног усвршавања уписан/и у Сталну листу предавача и других реализатора обука коју води Национална академија за јавну управу, а циљна група државни службеници запослени у Министарству.</w:t>
      </w:r>
    </w:p>
    <w:p w:rsidR="005D3F21" w:rsidRPr="005D3F21" w:rsidRDefault="005D3F21" w:rsidP="005D3F21">
      <w:pPr>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w:t>
      </w:r>
      <w:r w:rsidRPr="005D3F21">
        <w:rPr>
          <w:rFonts w:ascii="Arial" w:eastAsia="Times New Roman" w:hAnsi="Arial" w:cs="Arial"/>
          <w:i/>
          <w:iCs/>
          <w:noProof w:val="0"/>
          <w:color w:val="000000"/>
          <w:lang w:eastAsia="sr-Latn-RS"/>
        </w:rPr>
        <w:t>Секторски посебни програм обуке матичара </w:t>
      </w:r>
      <w:r w:rsidRPr="005D3F21">
        <w:rPr>
          <w:rFonts w:ascii="Arial" w:eastAsia="Times New Roman" w:hAnsi="Arial" w:cs="Arial"/>
          <w:noProof w:val="0"/>
          <w:color w:val="000000"/>
          <w:lang w:eastAsia="sr-Latn-RS"/>
        </w:rPr>
        <w:t>за 2021. годину: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Припреми овог програма претходио је поступак утврђивања потреба за стручним усавршавањем матичара и заменика матичара и припрема Ивештаја о анализи потреба за стручним усавршавањем матичара за 2021. годину на основу којег је утврђен висок степен потребе матичара, али и њихових руководилаца, за унапређење капацитета и стицање нових знања, вештина и способности ове категорије запослених у јединицама локалне самоуправе.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Циљ доношења Секторског посебног програма обуке матичара за 2021. годину је: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да се обезбеди једнак квалитет стручног усавршавања и једнак приступ праву на стручно усавршавање матичара, као и било којој другој категорији запослених у јединицама локалне самоуправе; обезбеђивање унапређења постојећих и стицање нових знања и вештина, односно способности матичара за успешно извршавање послова вођења матичних књига и решавање у првостепеном управном поступку у области матичних књига, као и задовољења потреба грађана у овој области; корисника програма; обезбеђивање извршавања поверених послова у складу са законом, уз остваривање основних начела општег управног поступка, електронске управе и заштите података о личности; унапређење компетенција органа државне управе у чијем делокругу су послови матичних књига у вези са обезбеђењем правилне примене прописа и законитог вршења поверених послова матичних књига; обезбеђивање ефикасног и делотворног остваривања права странака и њихових правних интереса, уз поштовање личности и достојанства странака.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Носиоци реализације овог програма јесу акредитовани реализатори за област стручног усавршавања Матичне књиге, уписани у Сталну листу предавача и других реализатора обука коју води Национална академија за јавну управу, а циљна група су сви матичари и заменици матичара (1.349).</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i/>
          <w:iCs/>
          <w:noProof w:val="0"/>
          <w:color w:val="000000"/>
          <w:lang w:eastAsia="sr-Latn-RS"/>
        </w:rPr>
        <w:t>Унапређење система осигурања квалитета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Систем квалитета обезбеђен је применом одредаба Закона о државним службеницима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бр. 79/05, 81/05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исправка, 83/05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исправка, 64/07, 67/07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исправка, 116/08, 104/09, 99/14, 94/17 и 95/18), Закона о запосленима у аутономним покрајинама и јединицама локалне самоуправе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бр. 21/16, 113/17, 113/17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др. закон, 95/18), као и Уредбе о акредитацији, начину ангажовања и накнадама реализатора и спроводилаца програма стручног усавршавања у јавној управи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 90/18 и 71/19), Правилником о критеријумима и мерилима за вредновање програма стручног усавршавања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101/18) и Упутством о методологији за утврђивање потреба за стручним усавршавањем у органима јавне управе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32/19) и Правилника о централној евиденцији програма стручног усавршавања у јавној управи и издавању уверења о учешћу у програму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102/18).</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Министарство омладине и спорта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Министарство омладине и спорта ће подржати програме и пројекте за развој и спровођење омладинске политике, подршку јединицама локалних самоуправа које имају основану канцеларију за младе, пројектима и програмима подршке младима у образовању, васпитању, безбедности, здрављу и партиципацији, као и програме и пројекте подршке младима у запошљавању, самозапошљавању и предузетништву, а које реализују удружења за младе, удружења младих, њихови савези и канцеларије за младе. Програми су намењени младима од навршених 15 до 30 година, подизању њихових личних и професионалних капацитета и процењује се да ће обухватити до 70.000 директних корисника. У зависности од активности програма и пројеката, они су углавном намењени свим категоријама младих, али додатну вредност сваком пројекту доноси укључивање маргинализованих категорија и младих у ризику од социјалне искључености (жена, инвалида, млади са рурала, Роми, НЕЕТ категорија младих итд), док се поједини пројекти баве искључиво овом категоријом младих. Подједнако, пројекти и програми доприносе и развоју не само компетенција младих, већ и омладинских радника и координатора канцеларија за младе за унапређење капацитета рада са младима и јачању самих планова и програма организација, канцеларија за младе, локалних заједница и доприносе мултисекторској сарадњи.</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Министарство здравља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планирана је реализација Програма образовања и обучавања за осетљиве групе, у циљу унапређивања доступности здравствене заштите ромске популације;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Министарство здравља планира обухват ромске популације од укупно 147.000 и обуку 85 здравствених медијаторки.</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Министарство правде, Управа за извршење кривичних санкција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2021. години планирана је реализација следећих програма: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Активности формалног и неформалног образовања одраслих су планиране у Казненопоправном заводу у Београду, Казнено-поправном заводу у Ћуприји, Казнено-поправном заводу у Нишу, Казнено-поправном заводу у Београду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Падинској Скели, Казненопоправном заводу Панчево, Казнено-поправном заводу у Пожаревцу, Казнено-поправном заводу у Шапцу, Казнено-поправном заводу Сремска Митровица, Казнено-поправном заводу Ваљево, Окружном затвору Београд, Окружном затвору Чачак, Казнено-поправном заводу Крушевац и у Окружном затвору Крагујевац. У оквиру ових установа предвиђена је реализација следећих програма: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Програм ФООО за 404 лица,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Програми неформалног образовања за 2049 лица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обуке за рад у струци (обука за пекара, обука за заваривача, обука за производњу раног поврћа у заштићеном простору, обука за руковаоца пољопривредном механизацијом, обука за молера, обука за кувара, обука за конобара, обука за фризера, обука за столара, обука за бравара, обука за израду ПВЦ и АЛУ столарије, обука за израду и монтажу намештаја од плочастог материјала); обуке за унапређивање кључних компетенција (основна информатичка обука, обука страних језика) ; обуке за преквалификацију.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Програми обуке за запослене у делокрузима њиховог описа посла, услед промена законских прописа.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Списак министарстава и других организација које планирају реализацију активности образовања одраслих полазника, планирани број полазника, извор и оквирни обим средстава, дати су </w:t>
      </w:r>
      <w:r w:rsidRPr="005D3F21">
        <w:rPr>
          <w:rFonts w:ascii="Arial" w:eastAsia="Times New Roman" w:hAnsi="Arial" w:cs="Arial"/>
          <w:i/>
          <w:iCs/>
          <w:noProof w:val="0"/>
          <w:color w:val="000000"/>
          <w:lang w:eastAsia="sr-Latn-RS"/>
        </w:rPr>
        <w:t>у </w:t>
      </w:r>
      <w:r w:rsidRPr="005D3F21">
        <w:rPr>
          <w:rFonts w:ascii="Arial" w:eastAsia="Times New Roman" w:hAnsi="Arial" w:cs="Arial"/>
          <w:noProof w:val="0"/>
          <w:color w:val="000000"/>
          <w:lang w:eastAsia="sr-Latn-RS"/>
        </w:rPr>
        <w:t>Прилогу бр. 7.</w:t>
      </w:r>
      <w:r w:rsidRPr="005D3F21">
        <w:rPr>
          <w:rFonts w:ascii="Arial" w:eastAsia="Times New Roman" w:hAnsi="Arial" w:cs="Arial"/>
          <w:i/>
          <w:iCs/>
          <w:noProof w:val="0"/>
          <w:color w:val="000000"/>
          <w:lang w:eastAsia="sr-Latn-RS"/>
        </w:rPr>
        <w:t> </w:t>
      </w:r>
      <w:r w:rsidRPr="005D3F21">
        <w:rPr>
          <w:rFonts w:ascii="Arial" w:eastAsia="Times New Roman" w:hAnsi="Arial" w:cs="Arial"/>
          <w:noProof w:val="0"/>
          <w:color w:val="000000"/>
          <w:lang w:eastAsia="sr-Latn-RS"/>
        </w:rPr>
        <w:t>који је</w:t>
      </w:r>
      <w:r w:rsidRPr="005D3F21">
        <w:rPr>
          <w:rFonts w:ascii="Arial" w:eastAsia="Times New Roman" w:hAnsi="Arial" w:cs="Arial"/>
          <w:i/>
          <w:iCs/>
          <w:noProof w:val="0"/>
          <w:color w:val="000000"/>
          <w:lang w:eastAsia="sr-Latn-RS"/>
        </w:rPr>
        <w:t> </w:t>
      </w:r>
      <w:r w:rsidRPr="005D3F21">
        <w:rPr>
          <w:rFonts w:ascii="Arial" w:eastAsia="Times New Roman" w:hAnsi="Arial" w:cs="Arial"/>
          <w:noProof w:val="0"/>
          <w:color w:val="000000"/>
          <w:lang w:eastAsia="sr-Latn-RS"/>
        </w:rPr>
        <w:t>одштампан уз ГПОО за 2021. годину и чини његов саставни део.</w:t>
      </w:r>
    </w:p>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1.2. Повећање релевантности система образовања и обучавања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Трансформативне промене, као што су глобализација, нови облици организовања рада и напредак у аутоматизацији и вештачкој интелигенцији, имају важне импликације на свет рада и свеукупну позицију једне економије на глобалној листи конкурентности. Стога, обезбеђивање квалитетне радне снаге која понудом знања, компетенција и вештина које поседује може да одговори на потражњу и захтеве које поставља сектор привреде задатак је свих актера на тржишту рада. Владе треба да усвоје и обезбеде услове за спровођење политика које, као свој исход, имају радну снагу која поседује вештине које су потребне и прилагођене брзим променама тржишта рада. Што је више образованих и продуктивних људи, економија је боља. Уколико радну снагу чине иновативни појединци са напреднијим вештинама, економије ће бити у могућности да развијају креативна решења. Лица са квалификацијама и вештинама вероватније ће наћи посао или напредовати, што ће заузврат користити економији смањењем притиска на систем накнада. Такође, што је нижа стопа незапослености, држава мора више новца да уложи у друге ствари. Истовремено, системи образовања и обуке морају да искористе предности нових образовних технологија и посвете већу пажњу дигиталним вештинама. Предузећа и послодавци морају, како би подржали економски раст и своју позицију у тржишној утакмици, да прошире своје учешће у образовању и обуци, односно формама кроз које запослени стичу додатна знања и вештине. А лица, било да су у статусу запосленог или незапосленог, морају да проактивно надограђују своје способности или стичу нове, управо кроз обуку, образовање и целоживотно учење, како би одржали запослење, обезбедили предуслове за даљи каријерни развој и напредовање, односно за успешан први улазак или повратак у свет рада. Такође, успешан повратак у систем образовања и обуке има позитивне импликације на друштвене интеракције појединца и повећање самопоуздања и самовредновања.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Стога је оправдана и очекивана све већа улога система образовања одраслих, посебно неформалног, који не представља субститут формалном образовању, већ је, с обзиром да омогућава да наставне методе буду прилагођене потребама и могућностима појединца, флексибилан кључ и основа за лични и професионални развој појединца.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наредном периоду, потребно је обезбедити континуитет праћења промена на тржишту рада које сигнализирају промене у потребама за занимањима и стручним компетенцијама, а које би се потом, у сарадњи сектора запошљавања и образовања (укључујући и сектор привреде, али и друге заинтересоване стране), имплементирале у постојећи систем неформалног образовања и обуке, осигуравајући његову ажурност и сврсисходност. С тим у вези, даљи развој програма обуке </w:t>
      </w:r>
      <w:r w:rsidRPr="005D3F21">
        <w:rPr>
          <w:rFonts w:ascii="Arial" w:eastAsia="Times New Roman" w:hAnsi="Arial" w:cs="Arial"/>
          <w:b/>
          <w:bCs/>
          <w:noProof w:val="0"/>
          <w:color w:val="000000"/>
          <w:lang w:eastAsia="sr-Latn-RS"/>
        </w:rPr>
        <w:t>одраслих заснованих на стандарду квалификација</w:t>
      </w:r>
      <w:r w:rsidRPr="005D3F21">
        <w:rPr>
          <w:rFonts w:ascii="Arial" w:eastAsia="Times New Roman" w:hAnsi="Arial" w:cs="Arial"/>
          <w:noProof w:val="0"/>
          <w:color w:val="000000"/>
          <w:lang w:eastAsia="sr-Latn-RS"/>
        </w:rPr>
        <w:t xml:space="preserve">, које ће реализовати превасходно ЈПОА, а који ће омогућити стицање компетенција и/или дела квалификације, са посебним акцентом на практични део (и кроз спровођење програма учења на радном месту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workplace learning) омогућиће незапосленим лицима да, у релативно кратком року, кроз стицање конкретних знања и вештина за којима постоји исказана потреба од стране послодаваца, унапреде своју позицију и ефикасно се интегришу на тржиште рада.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Ради унапређивања релевантности система квалификаицја и система образовања у целини од 2019. године у РС спроводи се ИПА 2014 Пројекат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Развој интегрисаног система националних квалификација у Републици Србији</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Уз подршку наведеног пројекта у претходном периоду развијена је нова </w:t>
      </w:r>
      <w:r w:rsidRPr="005D3F21">
        <w:rPr>
          <w:rFonts w:ascii="Arial" w:eastAsia="Times New Roman" w:hAnsi="Arial" w:cs="Arial"/>
          <w:b/>
          <w:bCs/>
          <w:noProof w:val="0"/>
          <w:color w:val="000000"/>
          <w:lang w:eastAsia="sr-Latn-RS"/>
        </w:rPr>
        <w:t>Методологија за развој стандарда квалификација</w:t>
      </w:r>
      <w:r w:rsidRPr="005D3F21">
        <w:rPr>
          <w:rFonts w:ascii="Arial" w:eastAsia="Times New Roman" w:hAnsi="Arial" w:cs="Arial"/>
          <w:noProof w:val="0"/>
          <w:color w:val="000000"/>
          <w:lang w:eastAsia="sr-Latn-RS"/>
        </w:rPr>
        <w:t>. До краја пројекта очекује се да се по новој Методологији развије укупно 60 стандарда квалификација.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Од посебне је важности истаћи успостављање функционалног институционалног оквира за имплементацију система НОКС-а, односно за развој тржишно релевантних стандарда квалификација. У складу са Законом о НОКС-у иницијативу за развијање и усвајање стандарда за нову квалификацију може да поднесе Секторско веће, Савет за стручно образовање и образовање одраслих, Национални просветни савет, Национални савет за високо образовање, НСЗ, високошколска установа, државни орган и друго правно лице (привредно друштво, ЈПОА ОО и др.). Одлуку да ли је иницијатива оправдана или не утврђује надлежно секторско веће које је тело засновано на принципу социјалног партнерства и у чији састав улазе представници како привреде, тришта рада, синдиката, скруковних удружења, комора, представника ресорних министарстава, предствници система образовања и др. На тај начин осигурава се додатни квалитет у одлучивању и креирању релевантног система квалификаицја и система образовања у целини.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Увођење нове квалификације у систем подразумева развој одговарајућег програма учења на основу стандарда квалификације. Заснованост програма на стандарду квалификације омогућује повезивање исказаних потреба за компетенцијама у одређеним занимањима са одговарајућим описом исхода учења.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Ради унапређивања релевантности система квалификаицја и система образовања у целини планирано је да у 2021. години, по моделу дуалног образовања, посебна пажња буде усмерена на даље јачање веза између ЈПОА и послодаваца, локалне привреде и сл., али и </w:t>
      </w:r>
      <w:r w:rsidRPr="005D3F21">
        <w:rPr>
          <w:rFonts w:ascii="Arial" w:eastAsia="Times New Roman" w:hAnsi="Arial" w:cs="Arial"/>
          <w:b/>
          <w:bCs/>
          <w:noProof w:val="0"/>
          <w:color w:val="000000"/>
          <w:lang w:eastAsia="sr-Latn-RS"/>
        </w:rPr>
        <w:t>унапређивање квалитета обучавања код послодаваца</w:t>
      </w:r>
      <w:r w:rsidRPr="005D3F21">
        <w:rPr>
          <w:rFonts w:ascii="Arial" w:eastAsia="Times New Roman" w:hAnsi="Arial" w:cs="Arial"/>
          <w:noProof w:val="0"/>
          <w:color w:val="000000"/>
          <w:lang w:eastAsia="sr-Latn-RS"/>
        </w:rPr>
        <w:t>. Оснаживање сарадње ЈПОА и послодаваца обезбедиће ефикаснији одговор система обучавања на потребе привреде и тржишта рада, технолошке промене и потребе за новим компетенцијама (знањима, вештинама, способностима и ставовима). Квалитет компетенција полазника обука биће унапређен, што ће осигурати њихову лакшу транзицију у свет рада.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Посебан изазов у систему образовања и обучавања у 2021. години биће и обезбеђивање </w:t>
      </w:r>
      <w:r w:rsidRPr="005D3F21">
        <w:rPr>
          <w:rFonts w:ascii="Arial" w:eastAsia="Times New Roman" w:hAnsi="Arial" w:cs="Arial"/>
          <w:b/>
          <w:bCs/>
          <w:noProof w:val="0"/>
          <w:color w:val="000000"/>
          <w:lang w:eastAsia="sr-Latn-RS"/>
        </w:rPr>
        <w:t>доступности стручног образовања за осетљиве групе (двогодишњи и трогодишњи програми за осетљиве групе)</w:t>
      </w:r>
      <w:r w:rsidRPr="005D3F21">
        <w:rPr>
          <w:rFonts w:ascii="Arial" w:eastAsia="Times New Roman" w:hAnsi="Arial" w:cs="Arial"/>
          <w:noProof w:val="0"/>
          <w:color w:val="000000"/>
          <w:lang w:eastAsia="sr-Latn-RS"/>
        </w:rPr>
        <w:t> као и повећање доступности средњег стручног образовања за све са нарочитом пажњом за маргинализоване и рањиве групе, ученике са посебним образовним потребама као и оне који остварују слабије резултате у учењу, кроз изградњу отвореног, флексибилног и проходног система средњег стручног образовања.</w:t>
      </w:r>
      <w:r w:rsidRPr="005D3F21">
        <w:rPr>
          <w:rFonts w:ascii="Arial" w:eastAsia="Times New Roman" w:hAnsi="Arial" w:cs="Arial"/>
          <w:b/>
          <w:bCs/>
          <w:noProof w:val="0"/>
          <w:color w:val="000000"/>
          <w:lang w:eastAsia="sr-Latn-RS"/>
        </w:rPr>
        <w:t> </w:t>
      </w:r>
      <w:r w:rsidRPr="005D3F21">
        <w:rPr>
          <w:rFonts w:ascii="Arial" w:eastAsia="Times New Roman" w:hAnsi="Arial" w:cs="Arial"/>
          <w:noProof w:val="0"/>
          <w:color w:val="000000"/>
          <w:lang w:eastAsia="sr-Latn-RS"/>
        </w:rPr>
        <w:t>Ради остваривања наведеног приоритета, у наредном периоду</w:t>
      </w:r>
      <w:r w:rsidRPr="005D3F21">
        <w:rPr>
          <w:rFonts w:ascii="Arial" w:eastAsia="Times New Roman" w:hAnsi="Arial" w:cs="Arial"/>
          <w:b/>
          <w:bCs/>
          <w:noProof w:val="0"/>
          <w:color w:val="000000"/>
          <w:lang w:eastAsia="sr-Latn-RS"/>
        </w:rPr>
        <w:t> </w:t>
      </w:r>
      <w:r w:rsidRPr="005D3F21">
        <w:rPr>
          <w:rFonts w:ascii="Arial" w:eastAsia="Times New Roman" w:hAnsi="Arial" w:cs="Arial"/>
          <w:noProof w:val="0"/>
          <w:color w:val="000000"/>
          <w:lang w:eastAsia="sr-Latn-RS"/>
        </w:rPr>
        <w:t>биће реализоване следеће активности: Унапређење понуде служби и тимова за каријерно вођење и саветовање и изградњу система за признавање неформалног и информалног учења; Примену савремених система и метода подршке у циљу смањења прераног изласка из система средњег стручног образовања (dropout); Уклањање баријера у приступу образовању за ризичне групе, посебно за одрасле са ниским нивоом вештина; Проширење понуде сталног стручног усавршавања како би се омогућило унапређење вештина радника и брза реакција на нове захтеве за знањима и вештинама; Ширење понуде оспособљавања за област дигитализације и дигиталне трансформације друштва и боља интеграција континуираног стручног образовања и обучавања у мере активне политике НСЗ и тржишта рада.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Значајна активност у систему образовања и обучавања одраслих представља </w:t>
      </w:r>
      <w:r w:rsidRPr="005D3F21">
        <w:rPr>
          <w:rFonts w:ascii="Arial" w:eastAsia="Times New Roman" w:hAnsi="Arial" w:cs="Arial"/>
          <w:b/>
          <w:bCs/>
          <w:noProof w:val="0"/>
          <w:color w:val="000000"/>
          <w:lang w:eastAsia="sr-Latn-RS"/>
        </w:rPr>
        <w:t>активност каријерно вођење и саветовање</w:t>
      </w:r>
      <w:r w:rsidRPr="005D3F21">
        <w:rPr>
          <w:rFonts w:ascii="Arial" w:eastAsia="Times New Roman" w:hAnsi="Arial" w:cs="Arial"/>
          <w:noProof w:val="0"/>
          <w:color w:val="000000"/>
          <w:lang w:eastAsia="sr-Latn-RS"/>
        </w:rPr>
        <w:t>, те је доношење стандарда била значајна претпоставка за имплементацију правилника којим се регулише процес стицања статуса ЈПОА. Процес успостављање стандарда за ову активност образовања одраслих допринео је усаглашавању политика, не само унутар система образовања на различитим нивоима и областима, већ и у односу на имплементацију активности каријерног вођења и саветовања у оквиру различитих сектора (рад, запошљавањe, омладинска и социјална политика).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Правилник о стандардима услуга каријерног вођења и саветовања усвојен је 2019. године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43/19). Стандарди услуга каријерног вођења и саветовања део су јавних политика које примењују државни органи, институције и друге организације у области образовања, запошљавања, социјалне заштите и омладинске политике.</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складу са чланом 11. Закона о НОКС, 2019. године Савет за Национални оквир квалификација Републике Србије донeo je </w:t>
      </w:r>
      <w:r w:rsidRPr="005D3F21">
        <w:rPr>
          <w:rFonts w:ascii="Arial" w:eastAsia="Times New Roman" w:hAnsi="Arial" w:cs="Arial"/>
          <w:i/>
          <w:iCs/>
          <w:noProof w:val="0"/>
          <w:color w:val="000000"/>
          <w:lang w:eastAsia="sr-Latn-RS"/>
        </w:rPr>
        <w:t>Препоруке за имплементацију плана примене</w:t>
      </w:r>
      <w:r w:rsidRPr="005D3F21">
        <w:rPr>
          <w:rFonts w:ascii="Arial" w:eastAsia="Times New Roman" w:hAnsi="Arial" w:cs="Arial"/>
          <w:noProof w:val="0"/>
          <w:color w:val="000000"/>
          <w:lang w:eastAsia="sr-Latn-RS"/>
        </w:rPr>
        <w:t> стандарда услуга каријерног вођења и саветовања.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току 2021. године посебна пажња биће усмерена у правцу унапређивања услова за одобравање програма Каријерног вођења и саветовања (КВиС), односно развоја капацитета ЈПОА за развој услуга КВиС и њихово мотивисање за стицањем статуса ЈПОА за КВиС. Посебна пажља биће посвећена оснаживању ЈПОА акредитованих за пружање услуга КВиС-а да примењују стандарде КВиС као и стандарде осигурања квалитета и то кроз организовање обука, инфо сесија и сл.</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склопу подршке активностима каријерног вођења и саветовања у школама, почевши од </w:t>
      </w:r>
      <w:r w:rsidRPr="005D3F21">
        <w:rPr>
          <w:rFonts w:ascii="Arial" w:eastAsia="Times New Roman" w:hAnsi="Arial" w:cs="Arial"/>
          <w:b/>
          <w:bCs/>
          <w:noProof w:val="0"/>
          <w:color w:val="000000"/>
          <w:lang w:eastAsia="sr-Latn-RS"/>
        </w:rPr>
        <w:t>Euroguidance </w:t>
      </w:r>
      <w:r w:rsidRPr="005D3F21">
        <w:rPr>
          <w:rFonts w:ascii="Arial" w:eastAsia="Times New Roman" w:hAnsi="Arial" w:cs="Arial"/>
          <w:noProof w:val="0"/>
          <w:color w:val="000000"/>
          <w:lang w:eastAsia="sr-Latn-RS"/>
        </w:rPr>
        <w:t>и </w:t>
      </w:r>
      <w:r w:rsidRPr="005D3F21">
        <w:rPr>
          <w:rFonts w:ascii="Arial" w:eastAsia="Times New Roman" w:hAnsi="Arial" w:cs="Arial"/>
          <w:b/>
          <w:bCs/>
          <w:noProof w:val="0"/>
          <w:color w:val="000000"/>
          <w:lang w:eastAsia="sr-Latn-RS"/>
        </w:rPr>
        <w:t>Europass </w:t>
      </w:r>
      <w:r w:rsidRPr="005D3F21">
        <w:rPr>
          <w:rFonts w:ascii="Arial" w:eastAsia="Times New Roman" w:hAnsi="Arial" w:cs="Arial"/>
          <w:noProof w:val="0"/>
          <w:color w:val="000000"/>
          <w:lang w:eastAsia="sr-Latn-RS"/>
        </w:rPr>
        <w:t>центар у 2021. наставиће са организацијом неколико различитих обука за наставнике, стручне сараднике и остале запослене у основним и средњим школа. Све обуке Euroguidance и Еuropass центра као и остале активности Фондације Темпус су бесплатне. Обуке су намењене наставницима, стручним сарадницима, из основних и средњих и школа за образовање одраслих, као и педагошким и андрагошким асистентима, а теме обука су следеће: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Основна обука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Каријерно вођење и саветовање у средњoj школи</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Обука је намењена наставницима, стручним сарадницима и другим запосленима у средњим школама који немају много искуства у области каријерног вођења и саветовања и желе да се упознају са овом облашћу и улогом наставника у спровођењу ових активности. Током обуке учесници могу сазнати више о модерном појму каријере и активностима каријерног вођења и саветовања које су већ успешно реализоване од стране њихових колега у школама.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Напредна обука: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Унапређење квалитета активности каријерног вођења кроз ефикасно планирање рада школског тима за каријерно вођење и саветовање/професионалну оријентацију</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Ова обука је намењена наставницима и стручним сарадницима који већ спроводе активности каријерног вођења/професионалне оријентације и учествују и/или координишу радом школског Тима за каријерно вођење и световање (КВиС)/професионалну оријентацију (ПО). Учествовањем на овој обуци наставници и стручни сарадници ће моћи да унапреде своје знање о вештинама које су битне за ученике да би могли да управљају својом каријером и да сазнају о начинима организације активности тима које би доприносиле развоју релевантних вештина код ученика у складу са Предлогом стандарда услуга КВиС.</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Онлајн обука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Унапређење компетенција наставника и стручних сарадника за спровођење активности каријерног вођења и саветовања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Ова обука се одвија претежно путем онлајн платформе са једним сусретом уживо у трајању од 18 сати која се одвија током пет недеља. Циљ обуке је унапређење компетенција полазника у складу са оквиром компетенција дефинисаним у Предлогу стандарда услуга каријерног вођења и саветовања (КВиС) и другим документима посвећеним квалитету каријерног вођења и саветовања.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Припрема ученика за тржиште рада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самопроцена вештина и представљање послодавцима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Ова обука има за циљ обучавање наставника и стручних сарадника за самостално вођење наставних и ваннаставних активности припреме ученика за тржиште рада, са посебним нагласком на самопроцену компетенција и вештине представљања послодавцима. Обука је осмишљена тако да кроз интерактиван рад и размену међу учесницима, унапреди компетенције наставника и стручних сарадника за припрему ученика за тржиште рада.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Каријерно информисање ученика и европски Еuropass алати за представљање вештина и знања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Ова онлајн обука Europass центра у трајању од 5 недеља посвећена је обучавању наставника и стручних сарадника за коришћење Europass алата за представљање вештина и знања у раду са ученицима као и за организовање активности каријерног информисања ученика. Први сусрет током ове обуке реализује се непосредно у трајању од два сата, а остатак обуке реализује се онлајн путем платформе за учење.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Поред наведених обука Euroguidance центар у склопу својих редовних активности, и у 2021. години организоваће додатне активности попут конференција, индивидуалних консултација, студијских посета као и публиковање материјала на тему каријерног вођења и саветовања намењених каријерним практичарима као подршка њиховом раду.</w:t>
      </w:r>
    </w:p>
    <w:p w:rsidR="005D3F21" w:rsidRPr="005D3F21" w:rsidRDefault="005D3F21" w:rsidP="005D3F21">
      <w:pPr>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1.3. Повећање ефикасности система образовања одраслих</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Већој релевантности система образовања допринеће и успостављање </w:t>
      </w:r>
      <w:r w:rsidRPr="005D3F21">
        <w:rPr>
          <w:rFonts w:ascii="Arial" w:eastAsia="Times New Roman" w:hAnsi="Arial" w:cs="Arial"/>
          <w:b/>
          <w:bCs/>
          <w:noProof w:val="0"/>
          <w:color w:val="000000"/>
          <w:lang w:eastAsia="sr-Latn-RS"/>
        </w:rPr>
        <w:t>регионалних тренинг центарa</w:t>
      </w:r>
      <w:r w:rsidRPr="005D3F21">
        <w:rPr>
          <w:rFonts w:ascii="Arial" w:eastAsia="Times New Roman" w:hAnsi="Arial" w:cs="Arial"/>
          <w:noProof w:val="0"/>
          <w:color w:val="000000"/>
          <w:lang w:eastAsia="sr-Latn-RS"/>
        </w:rPr>
        <w:t> у оквиру средњих стручних школа као вида подршке, како формалног дуалног тако и неформалног образовања кроз обуке, стручно оспособљавање, доквалификацију и преквалификацију кадрова за које се укаже потреба на тржишту рада. Одређени тренинг центри ће бити успостављени у оквиру постојећих капацитета средњих стручних школа уз осавремењивање опреме, док ће за друге бити изграђена и потребна инфраструктура. Центри ће бити основани за све гране индустрије и привреде у којима Србија бележи значајан привредни раст и има конкурентску предност у региону, а пре свега 1) машинство, електротехника и рачунарство (мехатроника), 2) индустријска производња (текстилство, хемија и графичарство, прерада хране), 3) саобраћај, логистика, прерада дрвета и грађевинарство, 4) здравство и социјална заштита, и 5) туризам, угоститељство и сродне услуге.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Успостављањем регионалних тренинг центарa доприноси ефикаснијем одговору на потребе привреде, тржишта рада, технолошке промене, за новим вештинама и компетенцијама у наведеним областима; постиже се максимална искоришћеност постојећих установа за образовање (средњих стручних школа) у циљу одговора јавног сектора на потребе привредног развоја Србије; рационализација коришћења доступних буџетских средстава из домена мера политике запошљавања као и тржишно функционисање установа стручног образовања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развој адекватног модела финансијског управљања на националном и локалном нивоу.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Тежећи томе да учење не делимо на место и време стицања знања (школе) и место и време примене стеченог знања (радно место), унапређујемо начине формалног и неформалног образовања и информалног учења. На тај начин утичемо на побољшање социјалне укључености, личног развоја, самоодрживости, конкурентности и запошљивости.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Зато је потребно пре/усмеравање постојећих капацитета и ресурса на формирање мултидисциплинарних, мултифункционалних центара примењених квалификација односно, националних ресурсних центара компетенција за целоживотно учење.</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2. УНАПРЕЂЕЊЕ СИСТЕМА ОСИГУРАЊА КВАЛИТЕТА</w:t>
      </w:r>
    </w:p>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2.1. Развој и унапређење неформалног система образовања и обуке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Образовање одраслих део је јединственог система образовања Републике Србије, који одраслим особама током целог живота пружа стицање компетенција и квалификација потребних за лични и професионални развој, рад и запошљавање, као и друштвено одговорно понашање</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Најважнији елементи система образовања одраслих регулисани су Законом о образовању одраслих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 55/13, 88/17, 27/18 и 6/20) и посебним прописима. На основу поменутог Закона, министар просвете, науке и технолошког развоја усвојио је подзаконске акте којима се уређује неформално образовање одраслих и учешће институција и других организација у спровођењу активности образовања одраслих. Правилник о ближим условима у погледу програма, кадра, простора, опреме и наставних средстава за стицање статуса јавно признатог организатора активности образовања одраслих (ЈПОА) ближе дефинише услове (у смислу програма, особља, просторија, опреме и наставних средстава) под којима институције и друге организације могу стећи ЈПОА статус за активности неформалног образовања одраслих. Правилник о врсти, називу и садржају образаца и начину вођења евиденција и називу, садржају и изгледу јавних исправа и уверења у образовању одраслих детаљније поставља питање јавног документа издатог по овом систему, тј. врсту јавног документа, његов назив и садржај, изглед обрасца и начин вођења евиденције у области неформалног образовања. Одређени механизми за осигурање квалитета, као што су израда стандарда за самовредновање и екстерно оцењивање квалитета рада ЈПОА, биће регулисани подзаконским актом у складу са применом Закона о Националном оквиру квалификација Републике Србије (НОКС)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 27/18 и 6/20).</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складу са Законом о НОКС-у Влада 2018. године основала је Агенцију за квалификације, чиме је поступак за стицање статуса ЈПОА за друге организације прешао у њену надлежност. Такође, у оквиру процеса стицања статуса ЈПОА, Агенција за квалификације даје мишљење о испуњености услова у погледу плана и програма образовања одраслих, начину остваривања и кадра за основне и средње школе и друге организације у складу са Законом о НОКС-у. Са друге стране процес одобравања статуса ЈПОА за школе и даље спроводи МПНТР, у складу са Законом о образовању одраслих и другим позитивним прописима. Важно је истаћи да се упркос подели надлежности у реализацији између МПНТР и Агенције за квалификације, процес одобравања статуса ЈПОА спроводи по јединственим стандардима које кроз различита подзаконска акта прописује министар надлежан за образовање.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Узимајући у обзир да је делатност ЈПОА од изузетног значаја за Републику Србију, а све околности и проблеми са којима се суочава овај концепт нису још увек довољно расветљени, да је у претходном периоду стечено значајно искуство у поступку одобравања статуса ЈПОА као и да је дошло до промена законодавног и институционалног оквира за спровођење самог поступка, стекли су се услови за евалуацију већ успостављеног система одобравања статуса ЈПОА, за унапређивање дефинисаних стандарда, односно подзаконских аката којима су исти дефинисани.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Стога је, као подршка МПНТР, у оквиру пројекта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Знањем до посла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Е2Е</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Фаза 2, који се реализује у периоду од 1. јануара 2020. године, до 31. децембра 2021. године, започета евалуација стандарда и успостављеног система за одобравање статуса ЈПОА. Уз подршку Европске банке за обнову и развој започета је евалуација квалитета стручних обука које НСЗ организује за потребе незапослених лица, док је уз подршку НИРАС планирано одржавање фокус група са различитим субјектима који на тржишту реализују обуке, али који нису спремни да стекну статус ЈПОА. Резултати наведених истраживања биће коришћени као полазна основа за (ре)дефинисање постојећих стадарда/подзаконских аката за одобравање статуса ЈПОА када је у питању програм, кадар, простор, опрема и наставна средстава, као и за доношење нових подзаконских аката којима ће ближе бити уређени стандарди за самовредновање и екстерно оцењивање квалитета рада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Након доношења стандарда за самовредновање и екстерно оцењивање квалитета рада ЈПОА, у складу са Законом о НОКС, спољашњу проверу квалитета ЈПОА, најмање једном у току петогодишњег трајања одобрења врши Агенција за квалификације.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Ради осигурања квалитета неформалног образовања одраслих уз подршку пројекта НИРАС у току 2021. године планирано је развијање методологије за развој и оцену програма неформалног образовања утемељених на стандардима квалификација и њиховој повезаности са (стандардима) занимања.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Делокруг НАЈУ обухвата бројне активности у вези са припремом, креирањем, реализацијом и евалуацијом програма стручног усавршавања. Сходно Закону о Националној академији за јавну управу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94/17), НАЈУ пружа стручну помоћ и врши координацију послова у вези са припремом и спровођењем посебних програма стручног усавршавања са носиоцима обавезе припреме и спровођења тих програма. Када су у питању посебни програми обуке намењени државним службеницима, Закон о државним службеницима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бр. 79/05, 81/05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исправка, 83/05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исправка, 64/07, 67/07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исправка, 116/08, 104/09, 99/14, 94/17 и 95/18) предвиђа неколико могућности за њихову припрему и спровођење. Државни орган у непосредној сарадњи са НАЈУ може да одлучи следеће: 1) да самостално припрема и спроводи посебан програм обуке; 2) да посебан програм припреми НАЈУ, а орган га самостално спроводи; 3) да орган припреми посебан програм, а да спровођење повери НАЈУ или 4) да припрему и спровођење посебног програма повери НАЈУ. Исте могућности су предвиђене Законом о запосленима у аутономним покрајинама и јединицама локалне самоуправе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бр. 21/16, 113/17, 95/18 и 113/17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др. закон) када је у питању припрема и спровођење секторских посебних програма обуке и посебних програма стручног усавршавања у јединицама локалне самоуправе. У циљу праћења квалитета посебних програма, НАЈУ ће радити на развоју критеријума и стандарда за акредитацију посебних програма са тенденцијом да се тиме у наредном периоду допуне наведени прописи. На тај начин се отвара могућност да се прате сви елементи посебног програма обука јер ће се испитивати испуњеност сваког од критеријума, односно његовог показатеља. Оцена квалитета ће указати да ли се посебан програм обуке усваја и уписује у Централну евиденцију програма стручног усавршавања у јавној управи пре почетка извођења, чиме стиче својство акредитованог програма стручног усавршавања; прихвата уз мање или веће исправке и поново оцењује или одбија у потпуности.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циљу успостављања система управљања квалитетом стручног усавршавања у јавној управи, НАЈУ је био укључен у радну групу за израду Стратегије реформе јавне управе и Акционог плана за период 2021</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2025. године. Један од циљева Стратегије је Развијен и имплементиран функционалан и иновативан систем стручног усавршавања и стручних испита у јавној управи заснован на анализи потреба за унапређењем компетенција, односно знања, вештина и способности запослених у јавној управи. Један од показатеља (мера) овог циља је Успостављање стандардизације процеса и система квалитета у области стручног усавршавања у јавној управи, уз пуну примену ИКТ. Од НАЈУ се очекује да оснује организациону јединицу за спровођење система квалитета стручног усавршавања у јавној управи (quality management centre) и припреми студију о оптимизацији пословних процеса у области стручног усавршавања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анализа пословних процеса и предлог реорганизације у сврху стандардизације и дигитализације процеса стручног усавршавања у јавној управи, као и унапређења надзорне функције и примене ИКТ у овој области.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Коначно, Сектор за припрему програма обука и управљања квалитетом НАЈУ почиње да се бави истраживачким активностима. С обзиром на то да савремена управа има потребу за кадровима развијених знања, оспособљених за примену нових метода рада прилагођених другачијем окружењу, прво у низу истраживање НАЈУ бавиће се истраживањем развоја компетенције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Оријентација ка учењу и променама</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код службеника у Републици Србији у временским интервалима од годину дана.</w:t>
      </w:r>
    </w:p>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2.2. Унапређење компетенција кадра ангажованог у образовању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Континуирано професионално усавршавање и развој кадра ангажованог у образовању одраслих, као и доступност прилика за професионално усавршавање једни су од кључних фактора у циљу одржања квалитета активности образовања одраслих.</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Правилником о ближим условима у погледу програма, кадра, простора, опреме и наставних средстава за стицање статуса јавно признатог организатора активности образовања одраслих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89/15), прописани су услови у погледу кадра за остваривање активности образовања одраслих. Члан 7. став 4. Правилника прописује обавезу кадра, ангажованог код ЈПОА образовања одраслих</w:t>
      </w:r>
      <w:r w:rsidRPr="005D3F21">
        <w:rPr>
          <w:rFonts w:ascii="Arial" w:eastAsia="Times New Roman" w:hAnsi="Arial" w:cs="Arial"/>
          <w:i/>
          <w:iCs/>
          <w:noProof w:val="0"/>
          <w:color w:val="000000"/>
          <w:lang w:eastAsia="sr-Latn-RS"/>
        </w:rPr>
        <w:t>, </w:t>
      </w:r>
      <w:r w:rsidRPr="005D3F21">
        <w:rPr>
          <w:rFonts w:ascii="Arial" w:eastAsia="Times New Roman" w:hAnsi="Arial" w:cs="Arial"/>
          <w:noProof w:val="0"/>
          <w:color w:val="000000"/>
          <w:lang w:eastAsia="sr-Latn-RS"/>
        </w:rPr>
        <w:t>да у року од шест месеци</w:t>
      </w:r>
      <w:r w:rsidRPr="005D3F21">
        <w:rPr>
          <w:rFonts w:ascii="Arial" w:eastAsia="Times New Roman" w:hAnsi="Arial" w:cs="Arial"/>
          <w:i/>
          <w:iCs/>
          <w:noProof w:val="0"/>
          <w:color w:val="000000"/>
          <w:lang w:eastAsia="sr-Latn-RS"/>
        </w:rPr>
        <w:t> </w:t>
      </w:r>
      <w:r w:rsidRPr="005D3F21">
        <w:rPr>
          <w:rFonts w:ascii="Arial" w:eastAsia="Times New Roman" w:hAnsi="Arial" w:cs="Arial"/>
          <w:noProof w:val="0"/>
          <w:color w:val="000000"/>
          <w:lang w:eastAsia="sr-Latn-RS"/>
        </w:rPr>
        <w:t>од дана стицања статуса ЈПОА, кроз програме стручног усавршавања стекне стручне компетенције за рад са одраслима.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Када се ради о анрагошким компетенцијама стручног кадра, за реализацију 262 програма ЈПОА ОО акредитована закључно са 1. октобром 2020. године број ангажованих извођача програма (предавача, тренера, водитеља и инструктора) је </w:t>
      </w:r>
      <w:r w:rsidRPr="005D3F21">
        <w:rPr>
          <w:rFonts w:ascii="Arial" w:eastAsia="Times New Roman" w:hAnsi="Arial" w:cs="Arial"/>
          <w:b/>
          <w:bCs/>
          <w:noProof w:val="0"/>
          <w:color w:val="000000"/>
          <w:lang w:eastAsia="sr-Latn-RS"/>
        </w:rPr>
        <w:t>690</w:t>
      </w:r>
      <w:r w:rsidRPr="005D3F21">
        <w:rPr>
          <w:rFonts w:ascii="Arial" w:eastAsia="Times New Roman" w:hAnsi="Arial" w:cs="Arial"/>
          <w:noProof w:val="0"/>
          <w:color w:val="000000"/>
          <w:lang w:eastAsia="sr-Latn-RS"/>
        </w:rPr>
        <w:t> лица у 65 институција.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Број обучених реализатора програма који су завршили обуку по модулима је: за Модул 1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основни принципи, карактеристике и стилови учења одраслих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263 лица; Модул 2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мотивацијa у учењу одраслих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243 лица; Модул 3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управљање образовном групом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242 лица; Модул 4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методе и технике интерактивног образовног рада са одраслима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232 лица; Модул 5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методе и технике процене постигнућа полазника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231 лица; Модул 6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планирање, организацију и индивидуализацију образовног процеса укључујући и особе са инвалидитетом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198 лице; Модул 7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евалуација образовног процеса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208 лица.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Графикон бр. 8. </w:t>
      </w:r>
      <w:r w:rsidRPr="005D3F21">
        <w:rPr>
          <w:rFonts w:ascii="Arial" w:eastAsia="Times New Roman" w:hAnsi="Arial" w:cs="Arial"/>
          <w:noProof w:val="0"/>
          <w:color w:val="000000"/>
          <w:lang w:eastAsia="sr-Latn-RS"/>
        </w:rPr>
        <w:t>Број обучених реализатора програма који су завршили обуку по модулима</w:t>
      </w:r>
    </w:p>
    <w:p w:rsidR="005D3F21" w:rsidRPr="005D3F21" w:rsidRDefault="005D3F21" w:rsidP="005D3F21">
      <w:pPr>
        <w:contextualSpacing w:val="0"/>
        <w:jc w:val="center"/>
        <w:rPr>
          <w:rFonts w:ascii="Arial" w:eastAsia="Times New Roman" w:hAnsi="Arial" w:cs="Arial"/>
          <w:noProof w:val="0"/>
          <w:color w:val="000000"/>
          <w:lang w:eastAsia="sr-Latn-RS"/>
        </w:rPr>
      </w:pPr>
      <w:r w:rsidRPr="005D3F21">
        <w:rPr>
          <w:rFonts w:ascii="Arial" w:eastAsia="Times New Roman" w:hAnsi="Arial" w:cs="Arial"/>
          <w:color w:val="000000"/>
          <w:lang w:eastAsia="sr-Latn-RS"/>
        </w:rPr>
        <w:pict>
          <v:shape id="Picture 8" o:spid="_x0000_i1044" type="#_x0000_t75" alt="https://www.pravno-informacioni-sistem.rs/SlGlasnikPortal/slike/Odrasli_Page_008.png&amp;doctype=reg&amp;regactid=431835" style="width:398.25pt;height:156.75pt;visibility:visible;mso-wrap-style:square">
            <v:imagedata r:id="rId16" o:title="Odrasli_Page_008"/>
          </v:shape>
        </w:pic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Због епидемиолошке ситуације у земљи привремено је обустављено одржавања обука за стицање андрагошких компетенција, због чега за 144 програма обуке (38 програма је акредитовано у 2020. години у 12 институција) није ангажован стручни кадар са одређеним андрагошких компетенција по модулима. У наредном периоду наставиће се са реализацијом обука.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Преглед ангажованаг кадра код ЈПОА ОО и њихова обученост у складу са прописима дати су у Прилогу бр 8</w:t>
      </w:r>
      <w:r w:rsidRPr="005D3F21">
        <w:rPr>
          <w:rFonts w:ascii="Arial" w:eastAsia="Times New Roman" w:hAnsi="Arial" w:cs="Arial"/>
          <w:i/>
          <w:iCs/>
          <w:noProof w:val="0"/>
          <w:color w:val="000000"/>
          <w:lang w:eastAsia="sr-Latn-RS"/>
        </w:rPr>
        <w:t>. </w:t>
      </w:r>
      <w:r w:rsidRPr="005D3F21">
        <w:rPr>
          <w:rFonts w:ascii="Arial" w:eastAsia="Times New Roman" w:hAnsi="Arial" w:cs="Arial"/>
          <w:noProof w:val="0"/>
          <w:color w:val="000000"/>
          <w:lang w:eastAsia="sr-Latn-RS"/>
        </w:rPr>
        <w:t>који је одштампан уз ГПОО за 2021. годину, и чини његов саставни део.</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Ради осигурања квалитета поступка одобравања статуса ЈПОА у контексту компетенција кадра ангажованог у образовању одраслих, уз подршку НИРАС пројекта, за 2021. годину планиран је развој стандарда андрагошких компетенција дефинисаних Правилником о ближим условима у погледу програма, кадра, простора, опреме и наставних средстава за стицање статуса јавно признатог организатора активности образовања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Реализовање концепције ФООО је од самога почетка захтевало посебну обуку кадрова ангажованих на његовом спровођењу, која је у више наврата спровођена.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У 65 основних школа које планирају реализацију програма основног образовања одраслих (ФООО) за око 6200 полазника учествује 834 наставника. Стручно усавршавање за реализацију програма ФООО у 2021. години планирано је за 268 наставника за Модул 1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основне андрагошке вештине. За Модул 2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обука за имплементацију појединачних предмета у програму ФООО планирана је обука за 792 наставника. Модул 3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обука андрагошких асистената, у 2021. години, потребно је спровести за 43 андрагошка асистента. У протеклом периоду 447 наставника је већ унапредило своје компетенције за имплементацију програма за ФООО и за рад са одраслима. Када говоримо о андрагошким асистентима, њих 30 је већ обучено на прописани начин, док је за 43 потребно организовати обуку. Очекујемо да ће се у школама након потребног обучавања наставника и андрагошких асистената, проценат осипања полазника смањити, да ће се квалитет реализације програма знатније повећати и да ће наставници имати трансфер стечених компетенција и на редовну наставу (дефинисање исхода, пројектна настава, дигиталне вештине, коришћење ЕПАЛЕ платформе у раду, процена напредовања, стратегије учења).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Што се тиче потребе за обучавањем наставног кадра, како би испунили стандарде прописане концептом ФООО и подзаконским актима, важно је истаћи да је она последица пензионисања једног броја обучених наставника, али и њихове велике флуктуације. Образовне интервенције са наставницима ФООО, које су у протеклом периоду реализоване дале су запажене резултате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укупан број наставника којима је још увек потребна обука из базичних андрагошких вештина је 268, док њих 477 је успешно завршио поменуте обуке. Ситуација образовног дефицита наставника по питању стручних предмета је значајно већа, где више од 50 % наставног кадра није завршило своје прописано обучавање. Сигурно је да би обученост наставника допринела квалитету њихове перформансе, али и мањем осипању полазника. Стога би се морао фокус ставити на обезбеђивање финансијских средстава у сврху њиховог даљег стручног обучавања, како би оно било на нивоу прописаних стандарда, али и о побољшању позиције наставника, јер ће њихова флуктуација анулирати покушаје да се обучавањем трајно реши њихов образовни дефицит.</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Планирана подршка унапређења компетенција наставног и стручног кадра, односно спровођења обука, као и већ остварена подршка за унапређивање компетенцијa наставног и стручног кадра у области формалног основног образовања одраслих (ФООО) дата су у Прилогу бр. 9. који је одштампан уз ГПОО за 2021. годину, и чини његов саставни део.</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Усавршавање кадрова није пресудно само за квалитет у формалном образовању, већ и у државној управи. НАЈУ ће у сарадњи са Саветом Европе на пројекту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Управљање људским ресурсима у локалној самоуправи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фаза 2</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2021. години посебну пажњу посветити унапређењу стандарда андрагошких компетенција тренера, </w:t>
      </w:r>
      <w:r w:rsidRPr="005D3F21">
        <w:rPr>
          <w:rFonts w:ascii="Arial" w:eastAsia="Times New Roman" w:hAnsi="Arial" w:cs="Arial"/>
          <w:b/>
          <w:bCs/>
          <w:noProof w:val="0"/>
          <w:color w:val="000000"/>
          <w:lang w:eastAsia="sr-Latn-RS"/>
        </w:rPr>
        <w:t>алата за самопроцену тренерских вештина</w:t>
      </w:r>
      <w:r w:rsidRPr="005D3F21">
        <w:rPr>
          <w:rFonts w:ascii="Arial" w:eastAsia="Times New Roman" w:hAnsi="Arial" w:cs="Arial"/>
          <w:noProof w:val="0"/>
          <w:color w:val="000000"/>
          <w:lang w:eastAsia="sr-Latn-RS"/>
        </w:rPr>
        <w:t> и </w:t>
      </w:r>
      <w:r w:rsidRPr="005D3F21">
        <w:rPr>
          <w:rFonts w:ascii="Arial" w:eastAsia="Times New Roman" w:hAnsi="Arial" w:cs="Arial"/>
          <w:b/>
          <w:bCs/>
          <w:noProof w:val="0"/>
          <w:color w:val="000000"/>
          <w:lang w:eastAsia="sr-Latn-RS"/>
        </w:rPr>
        <w:t>протокола за праћење рада тренера</w:t>
      </w:r>
      <w:r w:rsidRPr="005D3F21">
        <w:rPr>
          <w:rFonts w:ascii="Arial" w:eastAsia="Times New Roman" w:hAnsi="Arial" w:cs="Arial"/>
          <w:noProof w:val="0"/>
          <w:color w:val="000000"/>
          <w:lang w:eastAsia="sr-Latn-RS"/>
        </w:rPr>
        <w:t> приликом симулације на интерном конкурсу и касније током извођења тренинга. Додатно, изградиће се </w:t>
      </w:r>
      <w:r w:rsidRPr="005D3F21">
        <w:rPr>
          <w:rFonts w:ascii="Arial" w:eastAsia="Times New Roman" w:hAnsi="Arial" w:cs="Arial"/>
          <w:b/>
          <w:bCs/>
          <w:noProof w:val="0"/>
          <w:color w:val="000000"/>
          <w:lang w:eastAsia="sr-Latn-RS"/>
        </w:rPr>
        <w:t>модел поступка акредитације ментора и коучева</w:t>
      </w:r>
      <w:r w:rsidRPr="005D3F21">
        <w:rPr>
          <w:rFonts w:ascii="Arial" w:eastAsia="Times New Roman" w:hAnsi="Arial" w:cs="Arial"/>
          <w:noProof w:val="0"/>
          <w:color w:val="000000"/>
          <w:lang w:eastAsia="sr-Latn-RS"/>
        </w:rPr>
        <w:t> као реализатора стручног усавршавања НАЈУ, уз утврђивање процедуре њиховог ангажовања.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сарадњи са пројектом Савета Европе, НАЈУ очекује оснивање и развој </w:t>
      </w:r>
      <w:r w:rsidRPr="005D3F21">
        <w:rPr>
          <w:rFonts w:ascii="Arial" w:eastAsia="Times New Roman" w:hAnsi="Arial" w:cs="Arial"/>
          <w:b/>
          <w:bCs/>
          <w:noProof w:val="0"/>
          <w:color w:val="000000"/>
          <w:lang w:eastAsia="sr-Latn-RS"/>
        </w:rPr>
        <w:t>Assessment центра</w:t>
      </w:r>
      <w:r w:rsidRPr="005D3F21">
        <w:rPr>
          <w:rFonts w:ascii="Arial" w:eastAsia="Times New Roman" w:hAnsi="Arial" w:cs="Arial"/>
          <w:noProof w:val="0"/>
          <w:color w:val="000000"/>
          <w:lang w:eastAsia="sr-Latn-RS"/>
        </w:rPr>
        <w:t> као методе процене којим ће процењивати тренерске компетенције. Биће припремљен и реализован програм обуке за запослене у НАЈУ за примену методе Assessment центра. Кроз ову обуку, запослени НАЈУ ће научити како да припреме инструменте и задатке за потребе процене, упознаће се са начином оцењивања компетенција и усклађивањем процена различитих процењивача.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оквиру Фондације Темпус функционишу национални тимови за спровођење неколико европских мрежа које кроз своје редовне активности омогућавају наставно ангажованом кадру прилике за професионални развој и усавршавање на националном и међународном нивоу.</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ЕПАЛЕ</w:t>
      </w:r>
      <w:r w:rsidRPr="005D3F21">
        <w:rPr>
          <w:rFonts w:ascii="Arial" w:eastAsia="Times New Roman" w:hAnsi="Arial" w:cs="Arial"/>
          <w:noProof w:val="0"/>
          <w:color w:val="000000"/>
          <w:sz w:val="15"/>
          <w:szCs w:val="15"/>
          <w:vertAlign w:val="superscript"/>
          <w:lang w:eastAsia="sr-Latn-RS"/>
        </w:rPr>
        <w:t>14</w:t>
      </w:r>
      <w:r w:rsidRPr="005D3F21">
        <w:rPr>
          <w:rFonts w:ascii="Arial" w:eastAsia="Times New Roman" w:hAnsi="Arial" w:cs="Arial"/>
          <w:noProof w:val="0"/>
          <w:color w:val="000000"/>
          <w:lang w:eastAsia="sr-Latn-RS"/>
        </w:rPr>
        <w:t>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електронска платформа за образовање одраслих у Европи, једна је од тих мрежа и направљена је као иницијатива Европске комисије са циљем да на једном месту окупи све професионалце у образовању одраслих, укључујући и едукаторе, тренере, и друге практичаре, доносиоце политика, истраживаче и друге актере који се баве образовањем одраслих. ЕПАЛЕ мрежа функционише под окриљем највећег европског програма за подршку образовању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Еразмус+ и доступна је у 38 европских земаља. На европском нивоу мрежом координира Централни тим за подршку (ЦСС) док у свакој мрежу спроводи Национални тим за подршку (НСС). У Републици Србији НСС функционише у оквиру Фондације Темпус од 2017. године и тренутно броји преко 1600 регистрованих чланова. У оквиру својих редовних активности ЕПАЛЕ национални тим за подршку у Републици Србији спроводи низ активности које за циљ имају промоцију образовања одраслих, подршку систему образовања одраслих и професионално усавршавање кадра ангажованог у образовању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оквиру редовних активности ове мреже у Републици Србији током 2021. године планиране су следеће активности: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организовање ЕПАЛЕ регионалне конференције, која окупља практичаре и професионалце у области образовања одраслих из Републике Србије и региона на тему унапређења дигиталних компетенција одраслих. Овај догађај био је планиран за 2020. годину, међутим, услед пандемије корона вируса, одложен је за наредну годину;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организовање наградних конкурса за најбољи блог на ЕПАЛЕ платформи и слање аутора најбољих текстова (практичара у образовању одраслих) на усавршавање на међународним конференцијама у области образовања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учешће делегације Републике Србије на годишњој ЕПАЛЕ конференцији у Европи;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одржавање семинара у сарадњи са Euroguidance центром за запослене у сектору социјалне заштите који раде са одраслима који формирају план активације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тражења запослења и/или додатно школовање. Запослени у сектору социјалне заштите упознаће основне појмове и ресурсе КВиС, планирати активности КВиС за кориснике услуга и сарадњу са КВиС актерима на локалу. Семинари ће бити бесплатни за учеснике и биће организовани периодично током године у различитим деловима Републике Србије. Приликом избора учесника тежиће се обухвату различитих практичара који раде као водитељи случаја или на другачији начин са корисницима услуга социјалне заштите управо на њиховом оснаживању да развију компетенције, донесу одлуке, укључе се у додатне програме образовања и обука;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одржавање предавања на интернету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вебинара са циљем упознавања наставног и радно ангажованог кадра у образовању одраслих и шире јавности са могућностима и функционалностима ЕПАЛЕ мреже, као и са актуелним темама у образовању одраслих на националном и европском нивоу;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учешће професионалаца у образовању одраслих у међународним конференцијама уживо и путем интернета у организацији ЦСС-а и националних тимова за подршку из других земаља.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Додатно, кроз редовне активности као што су објављивање блогова, публикација, вести, догађаја, подстицање сарадње кроз учешће у групама и повезивање са колегама из других европских земаља, ЕПАЛЕ национални тим за подршку током целе године ради на информисању практичара и професионалаца у образовању одраслих, те на промоцији образовања одраслих и актуелних тема у овој области на националном и европском нивоу, затим на промовисању примера добрих пракси у образовању одраслих, подстицању дискусија и сакупљању информација и материјала од значаја за сектор образовања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Поред тога, ЕПАЛЕ мрежа се константно унапређује, те ће у 2021. години, платформа добити и посебну секцију намењену приликама за професионално усавршавање кадра ангажованог у образовању одраслих. Такође, ЕПАЛЕ нуди и могућност умрежавања и повезивања са колегама широм Европе, могућности за сарадњу и учење од колега (peer learning).</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Поред активности ЕПАЛЕ мреже, у оквиру Фондације Темпус у 2021. години наставиће са радом и друге мреже које ће као део редовних активности организовати акредитоване семинаре и конференције.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склопу подршке активностима каријерног вођења и саветовања у школама, почевши од Euroguidance и Еuropass центар у 2021. години, наставиће са организацијом неколико различитих обука за наставнике, стручне сараднике и остале запослене у основним и средњим школа.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Још једна европска мрежа намењена запосленима у образовању, која функционише у оквиру Фондације Темпус, а у оквиру које се реализују различите активности професионалног усавршавања наставног кадра јесте </w:t>
      </w:r>
      <w:r w:rsidRPr="005D3F21">
        <w:rPr>
          <w:rFonts w:ascii="Arial" w:eastAsia="Times New Roman" w:hAnsi="Arial" w:cs="Arial"/>
          <w:i/>
          <w:iCs/>
          <w:noProof w:val="0"/>
          <w:color w:val="000000"/>
          <w:lang w:eastAsia="sr-Latn-RS"/>
        </w:rPr>
        <w:t>eTwinning</w:t>
      </w:r>
      <w:r w:rsidRPr="005D3F21">
        <w:rPr>
          <w:rFonts w:ascii="Arial" w:eastAsia="Times New Roman" w:hAnsi="Arial" w:cs="Arial"/>
          <w:noProof w:val="0"/>
          <w:color w:val="000000"/>
          <w:sz w:val="15"/>
          <w:szCs w:val="15"/>
          <w:vertAlign w:val="superscript"/>
          <w:lang w:eastAsia="sr-Latn-RS"/>
        </w:rPr>
        <w:t>15</w:t>
      </w:r>
      <w:r w:rsidRPr="005D3F21">
        <w:rPr>
          <w:rFonts w:ascii="Arial" w:eastAsia="Times New Roman" w:hAnsi="Arial" w:cs="Arial"/>
          <w:noProof w:val="0"/>
          <w:color w:val="000000"/>
          <w:lang w:eastAsia="sr-Latn-RS"/>
        </w:rPr>
        <w:t>. У оквиру редовних активности eTwinning мреже, у 2021. години планирана је реализација акредитованих семинара, једне националне конференције и једне међународне конференције. Ови догађаји намењени су наставницима у основним и средњим школама као и у школама које реализују функционално основно образовање одраслих и покривају теме као што су примена ИКТ алата у настави. Кроз ове семинаре наставно особље унапређује своје дигиталне компетенције а такође и учи како да кроз примену ИКТ алата у настави унапреди дигиталне вештине ученика и полазника.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оквиру активности промоције и подршке за учешће Еразмус+ програму и подношење и спровођење институционалних пројеката у области образовања одраслих, планирано је одржавање радионица за писање пројеката мобилности и стратешких партнерстава у оквиру Еразмус+ програма са циљем подизања компетенција запослених у образовању у области спровођења пројеката и успостављања међународне сарадње.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p>
    <w:p w:rsidR="005D3F21" w:rsidRPr="005D3F21" w:rsidRDefault="005D3F21" w:rsidP="005D3F21">
      <w:pPr>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14 </w:t>
      </w:r>
      <w:hyperlink r:id="rId17" w:tgtFrame="_blank" w:history="1">
        <w:r w:rsidRPr="005D3F21">
          <w:rPr>
            <w:rFonts w:ascii="Arial" w:eastAsia="Times New Roman" w:hAnsi="Arial" w:cs="Arial"/>
            <w:i/>
            <w:iCs/>
            <w:noProof w:val="0"/>
            <w:color w:val="008000"/>
            <w:sz w:val="15"/>
            <w:szCs w:val="15"/>
            <w:lang w:eastAsia="sr-Latn-RS"/>
          </w:rPr>
          <w:t>https://epale.ec.europa.eu/sr/home-page</w:t>
        </w:r>
      </w:hyperlink>
    </w:p>
    <w:p w:rsidR="005D3F21" w:rsidRPr="005D3F21" w:rsidRDefault="005D3F21" w:rsidP="005D3F21">
      <w:pPr>
        <w:spacing w:after="150"/>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15 eTwinning мрежа је електронски портал, који је настао 2005. године, под окриљем програма Еразмус+ и намењен наставном особљу и запосленима у основним и средњим школама као и школама које реализује програме функционалног основног образовања одраслих. Тренутно, на порталу је регистровано око 850.000 наставника, око 300.000 школа и реализује се више од 100.000 пројеката. Путем eTwinning портала, наставници могу у виртуелном окружењу да сарађују, спроводе виртуелне пројекте и унапреде своју наставу кроз мноштво ИКТ алата који су саставни део портала. Поред тога, портал је заснован на принципима пројектно-оријентисане наставе и као такав помаже наставницима да овај концепт интегришу у свој свакодневни рад и наставу. Портал такође укључује и део који је намењен професионалном усавршавању наставника, те тако регистровани чланови могу да приступе мноштву предавања, курсева и семинара који се одвијају на овом порталу.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w:t>
      </w:r>
    </w:p>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2.3. Унапређење стратешког и нормативног оквира у области неформалног образовања, на основу резултата спроведене евалуације стандарда и система за одобравање статуса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Дефинисање стратешких циљева и активности у области образовања одраслих у оквиру израде нове Стратегије развоја образовања и науке до 2030. године иду у правцу:</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i/>
          <w:iCs/>
          <w:noProof w:val="0"/>
          <w:color w:val="000000"/>
          <w:lang w:eastAsia="sr-Latn-RS"/>
        </w:rPr>
        <w:t>Унапређивање квалитета образовања одраслих кроз: </w:t>
      </w:r>
      <w:r w:rsidRPr="005D3F21">
        <w:rPr>
          <w:rFonts w:ascii="Arial" w:eastAsia="Times New Roman" w:hAnsi="Arial" w:cs="Arial"/>
          <w:noProof w:val="0"/>
          <w:color w:val="000000"/>
          <w:lang w:eastAsia="sr-Latn-RS"/>
        </w:rPr>
        <w:t>успостављање ефикаснијег система функционалног основног образовања одраслих; увођење система вредновања квалитета институција за формално и неформално образовање одраслих на свим нивоима у циљу адекватног одговора образовног система на потребе одраслих за завршавањем основног образовања и стицање прве квалификације кроз: ширење мреже установа и организација за остваривање ФООО на територији Републике Србије; успостављање механизама финансирања обука за полазнике који завршавају трећи циклус ФООО; увођење система мера за олакшани приступ програму ФООО специфичним циљним групама (мигрантима, особама са посебним потребама, затвореницима, ромској популацији, незапосленима, запосленима, одраслима из руралних средина..); развој и унапређење неформалног система образовања и обуке и успостављање система квалитета рада институција за образовање одраслих; успостављање функционалне мреже ЈПОА која је усклађена са потребама тржишта рада и демографском структуром становништва; континуирано стручно усавршавање кадра за спровођење активности образовања одраслих и унапређивање компетенција радно ангажованог кадра (за рад са одраслима, реализацију програма, спровођење ППУ, остваривање каријерног саветовања...учешће на пројектима); унапређивање законских и подзаконских аката који регулишу ситем неформалног образовања одраслих.</w:t>
      </w:r>
    </w:p>
    <w:p w:rsidR="005D3F21" w:rsidRPr="005D3F21" w:rsidRDefault="005D3F21" w:rsidP="005D3F21">
      <w:pPr>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w:t>
      </w:r>
      <w:r w:rsidRPr="005D3F21">
        <w:rPr>
          <w:rFonts w:ascii="Arial" w:eastAsia="Times New Roman" w:hAnsi="Arial" w:cs="Arial"/>
          <w:i/>
          <w:iCs/>
          <w:noProof w:val="0"/>
          <w:color w:val="000000"/>
          <w:lang w:eastAsia="sr-Latn-RS"/>
        </w:rPr>
        <w:t>Повећање обухвата/укључености одраслих у програме образовања и обучавања: </w:t>
      </w:r>
      <w:r w:rsidRPr="005D3F21">
        <w:rPr>
          <w:rFonts w:ascii="Arial" w:eastAsia="Times New Roman" w:hAnsi="Arial" w:cs="Arial"/>
          <w:noProof w:val="0"/>
          <w:color w:val="000000"/>
          <w:lang w:eastAsia="sr-Latn-RS"/>
        </w:rPr>
        <w:t>повећање обухвата одраслих програмом ФООО; повећање обухвата одраслих обукама, програмима преквалификације, доквалификације и специјализације у средњим стручним школама и код ЈПОА; повећање обухвата одраслих програмима неформалног образовања; повећање обухвата полазника програмима кратких циклуса у високом образовању; повећање обухвата одраслих програмима обучавања на радном месту (дуално образовање и обучавање код послодаваца).</w:t>
      </w:r>
    </w:p>
    <w:p w:rsidR="005D3F21" w:rsidRPr="005D3F21" w:rsidRDefault="005D3F21" w:rsidP="005D3F21">
      <w:pPr>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w:t>
      </w:r>
      <w:r w:rsidRPr="005D3F21">
        <w:rPr>
          <w:rFonts w:ascii="Arial" w:eastAsia="Times New Roman" w:hAnsi="Arial" w:cs="Arial"/>
          <w:i/>
          <w:iCs/>
          <w:noProof w:val="0"/>
          <w:color w:val="000000"/>
          <w:lang w:eastAsia="sr-Latn-RS"/>
        </w:rPr>
        <w:t>Повећање релевантности</w:t>
      </w:r>
      <w:r w:rsidRPr="005D3F21">
        <w:rPr>
          <w:rFonts w:ascii="Arial" w:eastAsia="Times New Roman" w:hAnsi="Arial" w:cs="Arial"/>
          <w:noProof w:val="0"/>
          <w:color w:val="000000"/>
          <w:lang w:eastAsia="sr-Latn-RS"/>
        </w:rPr>
        <w:t> система образовања и обучавања одраслих кроз: развој програма образовања и обуке заснованих на стандарду квалификација; доступност стручног образовања и обучавања за осетљиве групе (двогодишњи и трогодишњи програми и програми обуке за осетљиве групе). Имплeментација поступка признавања претходног учења (ППУ) је неизоставна у даљем развоју политике целоживотног учења.</w:t>
      </w:r>
    </w:p>
    <w:p w:rsidR="005D3F21" w:rsidRPr="005D3F21" w:rsidRDefault="005D3F21" w:rsidP="005D3F21">
      <w:pPr>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w:t>
      </w:r>
      <w:r w:rsidRPr="005D3F21">
        <w:rPr>
          <w:rFonts w:ascii="Arial" w:eastAsia="Times New Roman" w:hAnsi="Arial" w:cs="Arial"/>
          <w:i/>
          <w:iCs/>
          <w:noProof w:val="0"/>
          <w:color w:val="000000"/>
          <w:lang w:eastAsia="sr-Latn-RS"/>
        </w:rPr>
        <w:t>Повећање ефикасности система образовања одраслих кроз: </w:t>
      </w:r>
      <w:r w:rsidRPr="005D3F21">
        <w:rPr>
          <w:rFonts w:ascii="Arial" w:eastAsia="Times New Roman" w:hAnsi="Arial" w:cs="Arial"/>
          <w:noProof w:val="0"/>
          <w:color w:val="000000"/>
          <w:lang w:eastAsia="sr-Latn-RS"/>
        </w:rPr>
        <w:t>успостављање 10 Националних ресурсних центара компетенција за целоживотно учење (НРЦК) у средњим стручним школама у Републици Србији за област машинства, електротехнике, здравства, туризма, текстилства, грађевинске индустрије чиме се повећава понуда провајдера који одговарају на различите потребе одраслих, привреде и друштва у целини.</w:t>
      </w:r>
    </w:p>
    <w:p w:rsidR="005D3F21" w:rsidRPr="005D3F21" w:rsidRDefault="005D3F21" w:rsidP="005D3F21">
      <w:pPr>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w:t>
      </w:r>
      <w:r w:rsidRPr="005D3F21">
        <w:rPr>
          <w:rFonts w:ascii="Arial" w:eastAsia="Times New Roman" w:hAnsi="Arial" w:cs="Arial"/>
          <w:i/>
          <w:iCs/>
          <w:noProof w:val="0"/>
          <w:color w:val="000000"/>
          <w:lang w:eastAsia="sr-Latn-RS"/>
        </w:rPr>
        <w:t>Дигитализације у образовању одраслих, Е-учење, on line курсеви и успостављање информационог система о полазницима, школама и програмима у образовању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Поред израде Предлога Стратегије до 2027. године у току 2020. године предузимане су активности на изради у усвајању подзаконских аката који проистичу из Закона о НОКС-у. Тако је усвојен Правилник о садржају и изгледу обрасца иницијативе за развијање и усвајање стандарда квалификације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53/20), док је Правилник о методологији за развој стандарда квалификација у процесу објављивања. Такође усвојен је и Правилник о стандардима и начину спровођења поступка признавања претходног учења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148/20) чиме су се стекли услови за имплементацију ППУ као активности образовања одраслих што осигурава препознавање и признавање информалног учења, као и флексибилност путева и проходност у систему формалног и неформалног образовања. У наредном периоду очекује се усвајање Правилника о садржају и начину вођења Регистра НОКС и Правилник о систему за разврставање и шифрирање квалификација у НОКС као основе за успостављање Регистра НОКС, који ће даље допринети обезбеђивању разумљивости, прегледности и транспарентности квалификација, као и њихове међусобне повезаности.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наредном периоду планирано је унапређивање законодавног оквира у систему образовања одраслих, те измена Закона о образовању одраслих али и других позитивних прописа који регулишу систем образовања одраслих. Посебна пажња биће посвећена измени подзаконских акта којима су дефинисани ближи услови у погледу програма, кадра, простора, опреме и наставних средстава за стицање статуса ЈПОА, односно доношењу акта којим се дефинишу стандарди за спољашње вредновање и самовредновање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Један од циљева нове Стратегије реформе јавне управе је развијен и имплементиран функционалан и иновативан систем стручног усавршавања и стручних испита у јавној управи заснован на анализи потреба за унапређењем компетенција, односно знања, вештина и способности запослених у јавној управи. Један од показатеља (мера) овог циља је Унапређење нормативног оквира који уређује област стручног усавршавања у јавној управи. У складу са тим, од НАЈУ се очекује да почетком 2021. године вреднује учинак и преиспита подзаконске прописе који су донети на основу закона који уређују област стручног усавршавања у јавној управи ex-post анализом подзаконских прописа. На основу члана 97ј став 2. Закона о државним службеницима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бр. 79/05, 81/05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исправка, 83/05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исправка, 64/07, 67/07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исправка, 116/08, 104/09, 99/14, 94/17) и члан 122ј стан 2. Закона о запосленима у аутономним покрајинама и јединицама локалне самоуправе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бр. 21/16, 113/17, 113/17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др. закон) и члана 15. став 2. Закона о државној управи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бр. 79/05, 101/07, 95/10, 99/14, 30/18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др. закон и 47/18), у сарадњи са Саветом за стручно усавршавање запослених у јединицама локалне самоуправе, НАЈУ је донела Правилник о критеријумима и мерилима за вредновање програма стручног усавршавања којим су утврђени критеријуми и мерила за вредновање програма стручног усавршавања у јавној управи. Вредновање програма стручног усавршавања који је акредитован код НАЈУ обухвата прикупљање података о спроведеној програмској активности и процену њихове релевантности и ефеката у светлу критеријума и мерила утврђених овим правилником. Општи критеријум за вредновање програма јесте остварени учинак стручног усавршавања на подизање нивоа компетенција и на обављање послова у јавној управи.</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3. РАЗВОЈ СИСТЕМА ЗА ПРИЗНАВАЊЕ ПРЕТХОДНОГ УЧЕЊА И ПРОМОЦИЈА ЦЕЛОЖИВОТНОГ УЧЕЊА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Иако преовлађујући, систем формалног образовања и обуке није једини начин на који људи могу да стекну или развијају знања и вештине. Континуирано повећање броја лица која разумеју важност и укључују су у процес целоживотног учења, као и доступност едукативног материјала путем различитих мултимедијалних платформи, утицали су и на повећање броја лица која знања и вештине стичу неформалним или информалним учењем. Послодавци можда неће лако препознати вештине стечене на овај начин, а појединци који поседују такве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неверификоване</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вештине у неповољном су положају у процесу проналажења посла или напретка у каријери. Чињеница да су ове вештине невидљиве увећава изазов неискоришћења и неусклађености вештина и доприноси искључености са тржишта рада значајног дела контигента радне снаге. Признавање претходног учења (ППУ) има многе предности, а најочигледнија је могућност стицања квалификације/а, на основу претходног искуства.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Потенцијал ППУ огледа се и у домену унапређења запошљивости и мобилности појединца, целоживотног учења, социјалне укључености и самопоштовања. Све је више земаља у процесу успостављања ППУ система, за које су кључни покретачи</w:t>
      </w:r>
      <w:r w:rsidRPr="005D3F21">
        <w:rPr>
          <w:rFonts w:ascii="Arial" w:eastAsia="Times New Roman" w:hAnsi="Arial" w:cs="Arial"/>
          <w:noProof w:val="0"/>
          <w:color w:val="000000"/>
          <w:sz w:val="15"/>
          <w:szCs w:val="15"/>
          <w:vertAlign w:val="superscript"/>
          <w:lang w:eastAsia="sr-Latn-RS"/>
        </w:rPr>
        <w:t>16</w:t>
      </w:r>
      <w:r w:rsidRPr="005D3F21">
        <w:rPr>
          <w:rFonts w:ascii="Arial" w:eastAsia="Times New Roman" w:hAnsi="Arial" w:cs="Arial"/>
          <w:noProof w:val="0"/>
          <w:color w:val="000000"/>
          <w:lang w:eastAsia="sr-Latn-RS"/>
        </w:rPr>
        <w:t>:</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Промовисање социјалне инклузије и равноправности за групе у неповољном положају (лица која су рано напустила школовање, припадници етничких мањина и сл.) кроз вредновање искуственог учења и пружање могућности за стицање квалификација;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Подстицање целоживотног учења ради стварања компетентне и прилагодљиве радне снаге која може да одговори на изазове тржишта рада;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Обезбеђивање приступа вишим нивоима квалификација;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Испуњавање регулаторних захтева у појединим секторима у погледу запошљавања квалификованих лица;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Побољшање ефикасности и флексибилности образовног система кроз омогућавање алтернативних видова учења (радно место, неформално и информално учење</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 стицања квалификација у релативно кратком року;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Унапређење запошљивости, а тиме и бољих, пристојних послова;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Допринос транзицији из неформалне у формалну економију.</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систему квалификација у Републици Србији традиционално се квалификације стичу кроз формалан систем образовања. Законским решењима у области образовања одраслих</w:t>
      </w:r>
      <w:r w:rsidRPr="005D3F21">
        <w:rPr>
          <w:rFonts w:ascii="Arial" w:eastAsia="Times New Roman" w:hAnsi="Arial" w:cs="Arial"/>
          <w:noProof w:val="0"/>
          <w:color w:val="000000"/>
          <w:sz w:val="15"/>
          <w:szCs w:val="15"/>
          <w:vertAlign w:val="superscript"/>
          <w:lang w:eastAsia="sr-Latn-RS"/>
        </w:rPr>
        <w:t>17</w:t>
      </w:r>
      <w:r w:rsidRPr="005D3F21">
        <w:rPr>
          <w:rFonts w:ascii="Arial" w:eastAsia="Times New Roman" w:hAnsi="Arial" w:cs="Arial"/>
          <w:noProof w:val="0"/>
          <w:color w:val="000000"/>
          <w:lang w:eastAsia="sr-Latn-RS"/>
        </w:rPr>
        <w:t> са циљем успостављања флексибилнијих путева достизања квалификација најављено је уређење система признавања квалификација стечених у неформалном образовању, или кроз процес информалног учења.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Законом о НОКС-у</w:t>
      </w:r>
      <w:r w:rsidRPr="005D3F21">
        <w:rPr>
          <w:rFonts w:ascii="Arial" w:eastAsia="Times New Roman" w:hAnsi="Arial" w:cs="Arial"/>
          <w:noProof w:val="0"/>
          <w:color w:val="000000"/>
          <w:sz w:val="15"/>
          <w:szCs w:val="15"/>
          <w:vertAlign w:val="superscript"/>
          <w:lang w:eastAsia="sr-Latn-RS"/>
        </w:rPr>
        <w:t>18</w:t>
      </w:r>
      <w:r w:rsidRPr="005D3F21">
        <w:rPr>
          <w:rFonts w:ascii="Arial" w:eastAsia="Times New Roman" w:hAnsi="Arial" w:cs="Arial"/>
          <w:noProof w:val="0"/>
          <w:color w:val="000000"/>
          <w:lang w:eastAsia="sr-Latn-RS"/>
        </w:rPr>
        <w:t> признавање претходног учења (у даљем тексту ППУ) дефинисано је као активност образовања одраслих која се остварује проценом знања, вештина, способности и ставова стечених образовањем, животним или радним искуством и која омогућава даље учење и повећање конкурентности на тржишту рада у складу са Европским препорукама за валидацију неформалног и информалног учења. Закон о НОКС-у наглашава да се термин ППУ изједначава са термином валидација неформалног и информалног учења, а у складу са Европским препорукама за валидацију неформалног и информалног учењa.</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Почетак развоја концепта ППУ у Републици Србији огледа се у формирању Радне групе за израду </w:t>
      </w:r>
      <w:r>
        <w:rPr>
          <w:rFonts w:ascii="Arial" w:eastAsia="Times New Roman" w:hAnsi="Arial" w:cs="Arial"/>
          <w:i/>
          <w:iCs/>
          <w:noProof w:val="0"/>
          <w:color w:val="000000"/>
          <w:lang w:eastAsia="sr-Latn-RS"/>
        </w:rPr>
        <w:t>"</w:t>
      </w:r>
      <w:r w:rsidRPr="005D3F21">
        <w:rPr>
          <w:rFonts w:ascii="Arial" w:eastAsia="Times New Roman" w:hAnsi="Arial" w:cs="Arial"/>
          <w:i/>
          <w:iCs/>
          <w:noProof w:val="0"/>
          <w:color w:val="000000"/>
          <w:lang w:eastAsia="sr-Latn-RS"/>
        </w:rPr>
        <w:t>Концепције признавања претходног учења</w:t>
      </w:r>
      <w:r>
        <w:rPr>
          <w:rFonts w:ascii="Arial" w:eastAsia="Times New Roman" w:hAnsi="Arial" w:cs="Arial"/>
          <w:i/>
          <w:iCs/>
          <w:noProof w:val="0"/>
          <w:color w:val="000000"/>
          <w:lang w:eastAsia="sr-Latn-RS"/>
        </w:rPr>
        <w:t>"</w:t>
      </w:r>
      <w:r w:rsidRPr="005D3F21">
        <w:rPr>
          <w:rFonts w:ascii="Arial" w:eastAsia="Times New Roman" w:hAnsi="Arial" w:cs="Arial"/>
          <w:i/>
          <w:iCs/>
          <w:noProof w:val="0"/>
          <w:color w:val="000000"/>
          <w:lang w:eastAsia="sr-Latn-RS"/>
        </w:rPr>
        <w:t>,</w:t>
      </w:r>
      <w:r w:rsidRPr="005D3F21">
        <w:rPr>
          <w:rFonts w:ascii="Arial" w:eastAsia="Times New Roman" w:hAnsi="Arial" w:cs="Arial"/>
          <w:noProof w:val="0"/>
          <w:color w:val="000000"/>
          <w:lang w:eastAsia="sr-Latn-RS"/>
        </w:rPr>
        <w:t> у којој су били заступљени стручњаци за ту област и представници релевантних институција из сектора образовања, рада и запошљавања. Као резултат овог процеса 2015. године развијен је документ </w:t>
      </w:r>
      <w:r>
        <w:rPr>
          <w:rFonts w:ascii="Arial" w:eastAsia="Times New Roman" w:hAnsi="Arial" w:cs="Arial"/>
          <w:i/>
          <w:iCs/>
          <w:noProof w:val="0"/>
          <w:color w:val="000000"/>
          <w:lang w:eastAsia="sr-Latn-RS"/>
        </w:rPr>
        <w:t>"</w:t>
      </w:r>
      <w:r w:rsidRPr="005D3F21">
        <w:rPr>
          <w:rFonts w:ascii="Arial" w:eastAsia="Times New Roman" w:hAnsi="Arial" w:cs="Arial"/>
          <w:i/>
          <w:iCs/>
          <w:noProof w:val="0"/>
          <w:color w:val="000000"/>
          <w:lang w:eastAsia="sr-Latn-RS"/>
        </w:rPr>
        <w:t>Концепција признавања претходног учења</w:t>
      </w:r>
      <w:r>
        <w:rPr>
          <w:rFonts w:ascii="Arial" w:eastAsia="Times New Roman" w:hAnsi="Arial" w:cs="Arial"/>
          <w:i/>
          <w:iCs/>
          <w:noProof w:val="0"/>
          <w:color w:val="000000"/>
          <w:lang w:eastAsia="sr-Latn-RS"/>
        </w:rPr>
        <w:t>"</w:t>
      </w:r>
      <w:r w:rsidRPr="005D3F21">
        <w:rPr>
          <w:rFonts w:ascii="Arial" w:eastAsia="Times New Roman" w:hAnsi="Arial" w:cs="Arial"/>
          <w:i/>
          <w:iCs/>
          <w:noProof w:val="0"/>
          <w:color w:val="000000"/>
          <w:lang w:eastAsia="sr-Latn-RS"/>
        </w:rPr>
        <w:t>,</w:t>
      </w:r>
      <w:r w:rsidRPr="005D3F21">
        <w:rPr>
          <w:rFonts w:ascii="Arial" w:eastAsia="Times New Roman" w:hAnsi="Arial" w:cs="Arial"/>
          <w:noProof w:val="0"/>
          <w:color w:val="000000"/>
          <w:lang w:eastAsia="sr-Latn-RS"/>
        </w:rPr>
        <w:t> који представља оквир и полазну основу за увођење и развој система ППУ у Републици Србији. Наведени документ</w:t>
      </w:r>
      <w:r w:rsidRPr="005D3F21">
        <w:rPr>
          <w:rFonts w:ascii="Arial" w:eastAsia="Times New Roman" w:hAnsi="Arial" w:cs="Arial"/>
          <w:i/>
          <w:iCs/>
          <w:noProof w:val="0"/>
          <w:color w:val="000000"/>
          <w:lang w:eastAsia="sr-Latn-RS"/>
        </w:rPr>
        <w:t> </w:t>
      </w:r>
      <w:r w:rsidRPr="005D3F21">
        <w:rPr>
          <w:rFonts w:ascii="Arial" w:eastAsia="Times New Roman" w:hAnsi="Arial" w:cs="Arial"/>
          <w:noProof w:val="0"/>
          <w:color w:val="000000"/>
          <w:lang w:eastAsia="sr-Latn-RS"/>
        </w:rPr>
        <w:t>дефинише базична начела, претпоставке, смернице и стандарде за будућу организацију и реализацију ППУ.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У јуну 2019. године формирана је нова, проширена Радна група за развој концепта признавања претходног учења ради спровођења активности у оквиру пројекта: ИПА 2014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Подршка успостављању система Националног оквира квалификација у Републици Србији</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коју чине 18 представника различитих, релевантних институција.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Као део реализације пројектних активности у току 2020. године усвојен је Правилник о стандардима и начину спровођења поступка признавања претходног учења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148/20) којим се утврђују стандарди за признавање претходног учења као и начин спровођења поступка признавања претходног учења.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Уз подршку ИПА 2014 експерата сачињен је и План пилотирања ППУ, припремљен је Водич за школе, селектоване су квалификације и школе које ће бити укључене у пилотирање поступка ППУ, сачињен је Нацрт смерница за осигурање квалитета за ЈПОА за ППУ, Нацрт смерница за процењивање процеса ППУ.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Када је реч о квалификацијама, предложено је да у оквиру пилотирања поступка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ППУ буду обухваћене следеће квалификације: Пекар, Кувар, Месар, Столар, Модни кројач, Армирач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бетонирац, Зидар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фасадер, Руковалац грађевинском механизацијом и Тесар.</w:t>
      </w:r>
      <w:r w:rsidRPr="005D3F21">
        <w:rPr>
          <w:rFonts w:ascii="Arial" w:eastAsia="Times New Roman" w:hAnsi="Arial" w:cs="Arial"/>
          <w:b/>
          <w:bCs/>
          <w:noProof w:val="0"/>
          <w:color w:val="000000"/>
          <w:lang w:eastAsia="sr-Latn-RS"/>
        </w:rPr>
        <w:t> </w:t>
      </w:r>
      <w:r w:rsidRPr="005D3F21">
        <w:rPr>
          <w:rFonts w:ascii="Arial" w:eastAsia="Times New Roman" w:hAnsi="Arial" w:cs="Arial"/>
          <w:noProof w:val="0"/>
          <w:color w:val="000000"/>
          <w:lang w:eastAsia="sr-Latn-RS"/>
        </w:rPr>
        <w:t>Приликом селекције квалификација у обзир је узет законодавни оквир Републике Србије, затим најучесталија занимања на којима на тржишту радне снаге раде потенцијални кандидати за ППУ из редова незапослених са евиденције НСЗ, постојање стандарда квалификација, као и подаци о положају на тржишту рада лица са селектованим квалификацијама, односно података о запошљавању лица на занимањима релевантних за селектоване квалификације. Препоруку да се наведене квалификације могу стећи и кроз поступак ППУ дала су и надлежна секторска већа.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Ради учешћа у пилотирању поступка ППУ селектовано је 30 средњих стручних школа. Приликом селекције школа у обзир је узета верификација школе за реализацију плана и програма наставе и учења за одређено подручје рада тј. предложену квалификацију, реализација уписа ученика у школској 2020/2021. години за предложене квалификације, усклађеност територијалне дистрибуције школа са филијалама НСЗ где је идентификован највећи број незапослених лица без квалификација са најмање три године радног искуства у једном занимању</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потенцијалних кандидата за ППУ и територијална заступљеност школа из различитих региона Републике Србије. Од наведеног броја школа, заинтересованост за укључивање у пилотирање поступка ППУ исказала је 21 школа за чије потребе је у 2020. години организована обука директора као део процеса оснаживања капацитета школа за имплементацију поступка ППУ.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16 ILO, 2015: Recognition of prior learning: Key success factors and the building blocks of an effective system, Ashwani Aggarwal</w:t>
      </w:r>
    </w:p>
    <w:p w:rsidR="005D3F21" w:rsidRPr="005D3F21" w:rsidRDefault="005D3F21" w:rsidP="005D3F21">
      <w:pPr>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 xml:space="preserve">17 Закон о образовању одраслих </w:t>
      </w:r>
      <w:r>
        <w:rPr>
          <w:rFonts w:ascii="Arial" w:eastAsia="Times New Roman" w:hAnsi="Arial" w:cs="Arial"/>
          <w:i/>
          <w:iCs/>
          <w:noProof w:val="0"/>
          <w:color w:val="000000"/>
          <w:sz w:val="15"/>
          <w:szCs w:val="15"/>
          <w:lang w:eastAsia="sr-Latn-RS"/>
        </w:rPr>
        <w:t>"</w:t>
      </w:r>
      <w:r w:rsidRPr="005D3F21">
        <w:rPr>
          <w:rFonts w:ascii="Arial" w:eastAsia="Times New Roman" w:hAnsi="Arial" w:cs="Arial"/>
          <w:i/>
          <w:iCs/>
          <w:noProof w:val="0"/>
          <w:color w:val="000000"/>
          <w:sz w:val="15"/>
          <w:szCs w:val="15"/>
          <w:lang w:eastAsia="sr-Latn-RS"/>
        </w:rPr>
        <w:t>Службени гласник РС</w:t>
      </w:r>
      <w:r>
        <w:rPr>
          <w:rFonts w:ascii="Arial" w:eastAsia="Times New Roman" w:hAnsi="Arial" w:cs="Arial"/>
          <w:i/>
          <w:iCs/>
          <w:noProof w:val="0"/>
          <w:color w:val="000000"/>
          <w:sz w:val="15"/>
          <w:szCs w:val="15"/>
          <w:lang w:eastAsia="sr-Latn-RS"/>
        </w:rPr>
        <w:t>"</w:t>
      </w:r>
      <w:r w:rsidRPr="005D3F21">
        <w:rPr>
          <w:rFonts w:ascii="Arial" w:eastAsia="Times New Roman" w:hAnsi="Arial" w:cs="Arial"/>
          <w:i/>
          <w:iCs/>
          <w:noProof w:val="0"/>
          <w:color w:val="000000"/>
          <w:sz w:val="15"/>
          <w:szCs w:val="15"/>
          <w:lang w:eastAsia="sr-Latn-RS"/>
        </w:rPr>
        <w:t xml:space="preserve">, бр. 55/13, 88/17 </w:t>
      </w:r>
      <w:r>
        <w:rPr>
          <w:rFonts w:ascii="Arial" w:eastAsia="Times New Roman" w:hAnsi="Arial" w:cs="Arial"/>
          <w:i/>
          <w:iCs/>
          <w:noProof w:val="0"/>
          <w:color w:val="000000"/>
          <w:sz w:val="15"/>
          <w:szCs w:val="15"/>
          <w:lang w:eastAsia="sr-Latn-RS"/>
        </w:rPr>
        <w:t>-</w:t>
      </w:r>
      <w:r w:rsidRPr="005D3F21">
        <w:rPr>
          <w:rFonts w:ascii="Arial" w:eastAsia="Times New Roman" w:hAnsi="Arial" w:cs="Arial"/>
          <w:i/>
          <w:iCs/>
          <w:noProof w:val="0"/>
          <w:color w:val="000000"/>
          <w:sz w:val="15"/>
          <w:szCs w:val="15"/>
          <w:lang w:eastAsia="sr-Latn-RS"/>
        </w:rPr>
        <w:t xml:space="preserve"> др. закон и 27018 </w:t>
      </w:r>
      <w:r>
        <w:rPr>
          <w:rFonts w:ascii="Arial" w:eastAsia="Times New Roman" w:hAnsi="Arial" w:cs="Arial"/>
          <w:i/>
          <w:iCs/>
          <w:noProof w:val="0"/>
          <w:color w:val="000000"/>
          <w:sz w:val="15"/>
          <w:szCs w:val="15"/>
          <w:lang w:eastAsia="sr-Latn-RS"/>
        </w:rPr>
        <w:t>-</w:t>
      </w:r>
      <w:r w:rsidRPr="005D3F21">
        <w:rPr>
          <w:rFonts w:ascii="Arial" w:eastAsia="Times New Roman" w:hAnsi="Arial" w:cs="Arial"/>
          <w:i/>
          <w:iCs/>
          <w:noProof w:val="0"/>
          <w:color w:val="000000"/>
          <w:sz w:val="15"/>
          <w:szCs w:val="15"/>
          <w:lang w:eastAsia="sr-Latn-RS"/>
        </w:rPr>
        <w:t xml:space="preserve"> др. закон </w:t>
      </w:r>
      <w:hyperlink r:id="rId18" w:tgtFrame="_blank" w:history="1">
        <w:r w:rsidRPr="005D3F21">
          <w:rPr>
            <w:rFonts w:ascii="Arial" w:eastAsia="Times New Roman" w:hAnsi="Arial" w:cs="Arial"/>
            <w:i/>
            <w:iCs/>
            <w:noProof w:val="0"/>
            <w:color w:val="008000"/>
            <w:sz w:val="15"/>
            <w:szCs w:val="15"/>
            <w:lang w:eastAsia="sr-Latn-RS"/>
          </w:rPr>
          <w:t>http://www.mpn.gov.rs/wp-content/uploads/2015/08/Zakono-obrazovanju-odraslih.pdf</w:t>
        </w:r>
      </w:hyperlink>
    </w:p>
    <w:p w:rsidR="005D3F21" w:rsidRPr="005D3F21" w:rsidRDefault="005D3F21" w:rsidP="005D3F21">
      <w:pPr>
        <w:ind w:firstLine="480"/>
        <w:contextualSpacing w:val="0"/>
        <w:jc w:val="both"/>
        <w:rPr>
          <w:rFonts w:ascii="Arial" w:eastAsia="Times New Roman" w:hAnsi="Arial" w:cs="Arial"/>
          <w:i/>
          <w:iCs/>
          <w:noProof w:val="0"/>
          <w:color w:val="000000"/>
          <w:sz w:val="15"/>
          <w:szCs w:val="15"/>
          <w:lang w:eastAsia="sr-Latn-RS"/>
        </w:rPr>
      </w:pPr>
      <w:r w:rsidRPr="005D3F21">
        <w:rPr>
          <w:rFonts w:ascii="Arial" w:eastAsia="Times New Roman" w:hAnsi="Arial" w:cs="Arial"/>
          <w:i/>
          <w:iCs/>
          <w:noProof w:val="0"/>
          <w:color w:val="000000"/>
          <w:sz w:val="15"/>
          <w:szCs w:val="15"/>
          <w:lang w:eastAsia="sr-Latn-RS"/>
        </w:rPr>
        <w:t>18 </w:t>
      </w:r>
      <w:hyperlink r:id="rId19" w:tgtFrame="_blank" w:history="1">
        <w:r w:rsidRPr="005D3F21">
          <w:rPr>
            <w:rFonts w:ascii="Arial" w:eastAsia="Times New Roman" w:hAnsi="Arial" w:cs="Arial"/>
            <w:i/>
            <w:iCs/>
            <w:noProof w:val="0"/>
            <w:color w:val="008000"/>
            <w:sz w:val="15"/>
            <w:szCs w:val="15"/>
            <w:lang w:eastAsia="sr-Latn-RS"/>
          </w:rPr>
          <w:t>http://www.mpn.gov.rs/wp-content/uploads/2018/05/ZAKON-NOKS-18.pdf</w:t>
        </w:r>
      </w:hyperlink>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w:t>
      </w:r>
    </w:p>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3.1. Успостављање система признавања неформалног и информалног учења (ППУ)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току 2021. године планирано је да се у складу са Правилником о стандардима и начину спровођења поступка признавања претходног учења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број 148/20) спроведе поступак одобравање статуса ЈПОА за активност ППУ. Планирано је да 21 селектована стручна школа стекне статус ЈПОА за неформално образовање као и за активност ППУ.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Истовремено уз подршку ИПА 2014 Пројекта као део процеса оснаживања капацитета школа за имплементацију поступка ППУ планирана је реализација обука кадра за имплементацију поступка ППУ. Обуке ће бити прилагођене различитим улогама које ће кадар имати у поступку ППУ. Тако ће посебне обуке бити организоване за потребе оцењивача школе, спољних оцењивача (представници из реда послодаваца), саветника из школе, саветника из НСЗ, кадра задуженог за администрацију и сл. Имајући у виду да ће једна од кључних циљних група корисника ППУ бити лица у статусу незапосленог без или са ниским нивоом квалификација, од изузетне је важности обезбедити висок ниво квалитета сарадње институција из система образовања и система запошљавања, како у процесу развоја концепта, тако и у делу идентификације и селекције потенцијалних корисника и фази саветовања (у смислу информисања о доступности подршке овог типа) од стране саветника за запошљавање у Националној служби за запошљавање. Наведено подразумева и спровођење обуке саветника за запошљавање за разумевање процеса ППУ, односно за усвајање потребног нивоа информација које ће омогућити адекватно информисање незапослених лица/потенцијалних кандидата за ППУ.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Посебнa пажња у 2021. години биће посвећена изради инструмената за процену који ће се користити за сваку квалификацију која ће бити пилотирана кроз поступак ППУ и то: Портфолио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израда упутства за сакупљање и оцењивање листе доказа са којима кандидат може да демонстрира знање и компетенције стечене кроз претходно образовање, живот и стручно искуство; Израда обрасца за самопроцену за сваку квалификацију; Предлог најмање 2 метода процене специфичне за сваку квалификацију (нпр. директно посматрање практичног рада, писмени/усмени тестови, пројектни рад); Одређивање броја задатака за сваку квалификацију/дела квалификације и развој пратећих (потребних) инструмената процене; Развој инструмената за евидентирање резултата кандидата и сл.</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Пилотирање поступка ППУ биће реализовано у сарадњи са Министарством за рад, запошљавање, борачка и социјална питања, односно Националном службом за запошљавање. У складу са тим НСЗ ће из реда незапослених идентификовати кандидате који су стекли низ компетенција везаних за једну од изабраних квалификацијa за укључивање у поступак ППУ.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току имплементације поступка ППУ планиран је развој и применa стандарда екстерне и интерне евалуације пружања услуга ППУ. Тако да ће након имплементације поступка ППУ бити реализована евалуација спроведних поступака, тј. израда извештаја о пилотирању поступка ППУ са закључцима и препорукама који ће представљати основ за измену и допуну Правилника о стандардима и начину спровођења поступка признавања претходног учења.</w:t>
      </w:r>
    </w:p>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3.2. Промоција ППУ и концепта целоживотног учења кроз организацију округлих столова, фокус група, конференција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Ради информисања шире јавности и осигурања веће видљивости ППУ као активности образовања одраслих 2021. година биће посвећена дисеминацији информација о концепту ППУ, тако да ће бити организована Национална конференција о ППУ, као и низ инфо сесија на територији целе Републике Србије.</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Посебна пажња биће посвећена пружању подршке у реализацији циљаних локалних кампања за промоцију активности ППУ, одобравања програма неформалног образовања који одговарају потребама локалног тржишта рада, за подизање свести о концепту, приступу, значају целоживотног учења, месту неформалног образовања и ППУ у систему целоживотног учења, предностима одобравања програма неформалног образовања, о значају COBISS</w:t>
      </w:r>
      <w:r w:rsidRPr="005D3F21">
        <w:rPr>
          <w:rFonts w:ascii="Arial" w:eastAsia="Times New Roman" w:hAnsi="Arial" w:cs="Arial"/>
          <w:b/>
          <w:bCs/>
          <w:noProof w:val="0"/>
          <w:color w:val="000000"/>
          <w:lang w:eastAsia="sr-Latn-RS"/>
        </w:rPr>
        <w:t>-</w:t>
      </w:r>
      <w:r w:rsidRPr="005D3F21">
        <w:rPr>
          <w:rFonts w:ascii="Arial" w:eastAsia="Times New Roman" w:hAnsi="Arial" w:cs="Arial"/>
          <w:noProof w:val="0"/>
          <w:color w:val="000000"/>
          <w:lang w:eastAsia="sr-Latn-RS"/>
        </w:rPr>
        <w:t>а (</w:t>
      </w:r>
      <w:r w:rsidRPr="005D3F21">
        <w:rPr>
          <w:rFonts w:ascii="Arial" w:eastAsia="Times New Roman" w:hAnsi="Arial" w:cs="Arial"/>
          <w:i/>
          <w:iCs/>
          <w:noProof w:val="0"/>
          <w:color w:val="000000"/>
          <w:lang w:eastAsia="sr-Latn-RS"/>
        </w:rPr>
        <w:t>Co-operative Online Bibliographic System &amp; Services</w:t>
      </w:r>
      <w:r w:rsidRPr="005D3F21">
        <w:rPr>
          <w:rFonts w:ascii="Arial" w:eastAsia="Times New Roman" w:hAnsi="Arial" w:cs="Arial"/>
          <w:noProof w:val="0"/>
          <w:color w:val="000000"/>
          <w:lang w:eastAsia="sr-Latn-RS"/>
        </w:rPr>
        <w:t>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Задружни интернетски библиографски систем и услуге) у сфери неформалног образовања одраслих.</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 току 2021. године планиран је развој промотивних материјала као што су видео материјали, брошуре, лифлети, постери и сл.</w:t>
      </w:r>
    </w:p>
    <w:p w:rsidR="005D3F21" w:rsidRPr="005D3F21" w:rsidRDefault="005D3F21" w:rsidP="005D3F21">
      <w:pPr>
        <w:spacing w:before="330" w:after="120"/>
        <w:ind w:firstLine="480"/>
        <w:contextualSpacing w:val="0"/>
        <w:jc w:val="center"/>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4. УСПОСТАВЉАЊЕ ПОДРЕГИСТРА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Законом о НОКС-у прописано је успостављање Регистра НОКС-а, који се састоји из Подрегистра националних квалификација, Подрегистра стандарда квалификације и Подрегистра ЈПОА са послодавцима код којих ЈПОА реализује практичан рад.</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Израда подзаконског акта о садржини и начину вођења Регистра је у току и објављивање тог прописа се очекује до краја 2020 године. Израду подзаконског акта којим ће се прописати садржина Регистра НОКС одвија се уз помоћ пројекта из програма ИПА 2014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Развој интегрисаног Система Националног оквира квалификација у Србији</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 успостављању Регистра НОКС, подаци квалификацијама и стандардима квалификација биће доступни и на европском порталу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Плотеус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Подрегистар ЈПОА успоставиће се за потребе управљања подацима о ЈПОА (и школама и другим организацијама) којима су дата или одузета одобрења, одобреним активностима образовања одраслих и послодавцима код којих ЈПОА реализују практичан рад.</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 xml:space="preserve">Подрегистар ЈПОА садржи следеће податке: назив ЈПОА; шифра ЈПОА у Подрегистру; статус ЈПОА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активан или архивиран, и датум архивирања; врсту активности образовања одраслих за коју је ЈПОА добио одобрење; опште податке о ЈПОА: податке о програмима за које је ЈПОА добио одобрење (назив програма; шифра програма; статус програма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активан или архивиран, и датум архивирања; врста активности образовања одраслих; подсектор Међународног стандарда класификације образовања (ИСЦЕД 13Ф) према Националном систему класификовања квалификација (КЛАСНОКС-у); назив јавне исправе, уверења, односно потврде која се издаје за завршетак програма; податке из Подрегистра стандарда квалификација, уколико се програмом стиче квалификација, стандард стручних компетенција, односно делимично остварен стандард стручних компетенција; кратак опис програма; предуслов за упис на програм; посебни предуслови за упис на програм; трајање програма (теоријски, практични део и укупно); податке о квалификацијама реализатора теоријског и практичног дела обуке и стручних сарадника; податке о условима у погледу простора, опреме и наставних средстава и записник просветног инспектора о извршеној провери испуњености услова; издавалац, број и датум издавања решења о одобрењу програма; датум истека одобрења програма; издавалац, број, датум и разлог одузимања одобрења програма; веб страна ЈПОА на којој се налази извештај о самовредновању; извештај о спољашњем вредновању квалитета; податке о послодавцима код којих се реализује практични рад (назив послодавца; статус послодавца - активан или архивиран и датум архивирања; матични/регистарски број; порески идентификациони број; адресу седишта; контакт податке - број телефона, интернет страницу и електронску адресу; назив и регистарски број ЈПОА који код тог послодавца обавља практични рад; назив програма код ЈПОА код кога послодавац реализује практични рад).</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Регистар ће у складу са Законом о НОКС, водити Агенција за квалификације, у електронском облику. Подаци из Регистра биће отворени и доступни преко званичне интернет странице Агенције за квалификације.</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Узимајући у обзир да су у току 2020. године дефинисани елементи Подрегистра ЈПОА као и да је развијен одговарајући софтвер, у току 2021. године биће предузмане следеће активности:</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припрема и унос података у Подрегистар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ажурирање Подрегистра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израда упутства за унос података у Подрегиста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обука ЈПОА за унос података у ЈИСП.</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Припрема и унос података у Подрегистар ЈПОА</w:t>
      </w:r>
      <w:r w:rsidRPr="005D3F21">
        <w:rPr>
          <w:rFonts w:ascii="Arial" w:eastAsia="Times New Roman" w:hAnsi="Arial" w:cs="Arial"/>
          <w:noProof w:val="0"/>
          <w:color w:val="000000"/>
          <w:lang w:eastAsia="sr-Latn-RS"/>
        </w:rPr>
        <w:t>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за све друге организације и школе које већ имају одобрен статус ЈПОА Министратво просвете, науке и технолошког развоја и Агенција за квалификације ће у складу са елементима из Подрегистра ЈПОА припремити податке и исте ће Агенција за квалификаицје унети у Подрегистар ЈПОА.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Ажурирање Подрегистра ЈПОА</w:t>
      </w:r>
      <w:r w:rsidRPr="005D3F21">
        <w:rPr>
          <w:rFonts w:ascii="Arial" w:eastAsia="Times New Roman" w:hAnsi="Arial" w:cs="Arial"/>
          <w:noProof w:val="0"/>
          <w:color w:val="000000"/>
          <w:lang w:eastAsia="sr-Latn-RS"/>
        </w:rPr>
        <w:t>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податке о другим организацијама којима ће у наредном перидоу бити дата или одузета одобрења за стицање статуса ЈПОА, Агенција ће уписату у Подрегистар ЈПОА наредног дана од дана доношења решења о одобрењу или одузимању одобрења.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Податке о основним и средњим школама којима ће у наредном периоду бити дата или одузета одобрења за стицање статуса ЈПОА, Агенција ће уписати у Подрегистар ЈПОА наредног дана од дана достављања обавештења о одобрењу или одузимању одобрења од стране Министарства просвете, науке и технолошког развоја.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Програми за које ЈПОА не добије ново одобрење, односно за које се одузме одобрење, пребацују се у архиву Подрегистра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ЈПОА који нема ниједан активан програм пребацује се у архиву Подрегистра ЈПОА.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Послодаваци код којих се реализује практични рад којима престане уговор са ЈПОА, односно који престану да реализују практични рад, пребацују се у архиву Подрегистра ЈПОА.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 xml:space="preserve">Израда упутства за унос података у Подрегистар ЈПОА </w:t>
      </w:r>
      <w:r>
        <w:rPr>
          <w:rFonts w:ascii="Arial" w:eastAsia="Times New Roman" w:hAnsi="Arial" w:cs="Arial"/>
          <w:b/>
          <w:bCs/>
          <w:noProof w:val="0"/>
          <w:color w:val="000000"/>
          <w:lang w:eastAsia="sr-Latn-RS"/>
        </w:rPr>
        <w:t>-</w:t>
      </w:r>
      <w:r w:rsidRPr="005D3F21">
        <w:rPr>
          <w:rFonts w:ascii="Arial" w:eastAsia="Times New Roman" w:hAnsi="Arial" w:cs="Arial"/>
          <w:b/>
          <w:bCs/>
          <w:noProof w:val="0"/>
          <w:color w:val="000000"/>
          <w:lang w:eastAsia="sr-Latn-RS"/>
        </w:rPr>
        <w:t> </w:t>
      </w:r>
      <w:r w:rsidRPr="005D3F21">
        <w:rPr>
          <w:rFonts w:ascii="Arial" w:eastAsia="Times New Roman" w:hAnsi="Arial" w:cs="Arial"/>
          <w:noProof w:val="0"/>
          <w:color w:val="000000"/>
          <w:lang w:eastAsia="sr-Latn-RS"/>
        </w:rPr>
        <w:t>након развоја софтвера за Подрегистар ЈПОА биће сачињено корисничко упутство за рад у апликацији Подрегистра ЈПОА које ће осигурати једнообразност у попуњавању апликације.</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 xml:space="preserve">Обука ЈПОА за унос података у ЈИСП </w:t>
      </w:r>
      <w:r>
        <w:rPr>
          <w:rFonts w:ascii="Arial" w:eastAsia="Times New Roman" w:hAnsi="Arial" w:cs="Arial"/>
          <w:b/>
          <w:bCs/>
          <w:noProof w:val="0"/>
          <w:color w:val="000000"/>
          <w:lang w:eastAsia="sr-Latn-RS"/>
        </w:rPr>
        <w:t>-</w:t>
      </w:r>
      <w:r w:rsidRPr="005D3F21">
        <w:rPr>
          <w:rFonts w:ascii="Arial" w:eastAsia="Times New Roman" w:hAnsi="Arial" w:cs="Arial"/>
          <w:b/>
          <w:bCs/>
          <w:noProof w:val="0"/>
          <w:color w:val="000000"/>
          <w:lang w:eastAsia="sr-Latn-RS"/>
        </w:rPr>
        <w:t> </w:t>
      </w:r>
      <w:r w:rsidRPr="005D3F21">
        <w:rPr>
          <w:rFonts w:ascii="Arial" w:eastAsia="Times New Roman" w:hAnsi="Arial" w:cs="Arial"/>
          <w:noProof w:val="0"/>
          <w:color w:val="000000"/>
          <w:lang w:eastAsia="sr-Latn-RS"/>
        </w:rPr>
        <w:t>у току 2021. године биће организване обуке за ЈПОА како би били у прилици да на одговарајући начин уносе податке о полазницима програма/кандидатима, чији су подаци саставни део Регистра деце, ученика, одраслих, студената, полазника као дела Јединственог информационог система просвете.</w:t>
      </w:r>
    </w:p>
    <w:p w:rsidR="005D3F21" w:rsidRPr="005D3F21" w:rsidRDefault="005D3F21" w:rsidP="005D3F21">
      <w:pPr>
        <w:ind w:firstLine="480"/>
        <w:contextualSpacing w:val="0"/>
        <w:jc w:val="center"/>
        <w:rPr>
          <w:rFonts w:ascii="Arial" w:eastAsia="Times New Roman" w:hAnsi="Arial" w:cs="Arial"/>
          <w:b/>
          <w:bCs/>
          <w:noProof w:val="0"/>
          <w:color w:val="000000"/>
          <w:lang w:eastAsia="sr-Latn-RS"/>
        </w:rPr>
      </w:pPr>
      <w:r w:rsidRPr="005D3F21">
        <w:rPr>
          <w:rFonts w:ascii="Arial" w:eastAsia="Times New Roman" w:hAnsi="Arial" w:cs="Arial"/>
          <w:b/>
          <w:bCs/>
          <w:noProof w:val="0"/>
          <w:color w:val="000000"/>
          <w:lang w:eastAsia="sr-Latn-RS"/>
        </w:rPr>
        <w:t>V. ОКВИРНИ ОБИМ ФИНАНСИЈСКИХ СРЕДСТАВА ЗА РЕАЛИЗАЦИЈУ ГОДИШЊЕГ ПЛАНА ОБРАЗОВАЊА ОДРАСЛИХ ЗА 2021. ГОДИНУ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Полазећи од одредби Закона о образовању одраслих које прописују начин планирања и финансирања образовања одраслих, ГПОО за 2021. годину садржи активности које се финансирају из буџета Републике Србије, у складу са чланом 59. став 1. тачка 2) овог закона.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Оквирни обим потребних финансијских средстава за реализацију ГПОО за 2021. годину приказан је детаљно за активности образовања одраслих које je Министарство просвете, науке и технолошког развоја прeдвидело средства у буџету Републике Србије за 2021. годину у укупном износу од </w:t>
      </w:r>
      <w:r w:rsidRPr="005D3F21">
        <w:rPr>
          <w:rFonts w:ascii="Arial" w:eastAsia="Times New Roman" w:hAnsi="Arial" w:cs="Arial"/>
          <w:b/>
          <w:bCs/>
          <w:noProof w:val="0"/>
          <w:color w:val="000000"/>
          <w:lang w:eastAsia="sr-Latn-RS"/>
        </w:rPr>
        <w:t>506.792.000,00</w:t>
      </w:r>
      <w:r w:rsidRPr="005D3F21">
        <w:rPr>
          <w:rFonts w:ascii="Arial" w:eastAsia="Times New Roman" w:hAnsi="Arial" w:cs="Arial"/>
          <w:noProof w:val="0"/>
          <w:color w:val="000000"/>
          <w:lang w:eastAsia="sr-Latn-RS"/>
        </w:rPr>
        <w:t> динара</w:t>
      </w:r>
    </w:p>
    <w:p w:rsidR="005D3F21" w:rsidRPr="005D3F21" w:rsidRDefault="005D3F21" w:rsidP="005D3F21">
      <w:pPr>
        <w:ind w:firstLine="480"/>
        <w:contextualSpacing w:val="0"/>
        <w:rPr>
          <w:rFonts w:ascii="Arial" w:eastAsia="Times New Roman" w:hAnsi="Arial" w:cs="Arial"/>
          <w:noProof w:val="0"/>
          <w:color w:val="000000"/>
          <w:lang w:eastAsia="sr-Latn-RS"/>
        </w:rPr>
      </w:pPr>
      <w:r w:rsidRPr="005D3F21">
        <w:rPr>
          <w:rFonts w:ascii="Arial" w:eastAsia="Times New Roman" w:hAnsi="Arial" w:cs="Arial"/>
          <w:b/>
          <w:bCs/>
          <w:noProof w:val="0"/>
          <w:color w:val="000000"/>
          <w:lang w:eastAsia="sr-Latn-RS"/>
        </w:rPr>
        <w:t>Преглед оквирног обима средстава за активности образовања одраслих у 2021. години која се обезбеђују од стране Министарства просвете, науке и технолошког развоја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650"/>
        <w:gridCol w:w="4908"/>
        <w:gridCol w:w="1376"/>
        <w:gridCol w:w="2126"/>
      </w:tblGrid>
      <w:tr w:rsidR="005D3F21" w:rsidRPr="005D3F21" w:rsidTr="005D3F21">
        <w:tc>
          <w:tcPr>
            <w:tcW w:w="1198" w:type="pct"/>
            <w:vMerge w:val="restar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1. Основно</w:t>
            </w:r>
          </w:p>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образовање одраслих</w:t>
            </w:r>
          </w:p>
        </w:tc>
        <w:tc>
          <w:tcPr>
            <w:tcW w:w="221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Активности</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Извор средстава</w:t>
            </w:r>
          </w:p>
        </w:tc>
        <w:tc>
          <w:tcPr>
            <w:tcW w:w="96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Потребна средства у 2021.</w:t>
            </w:r>
          </w:p>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(у динарима)</w:t>
            </w:r>
          </w:p>
        </w:tc>
      </w:tr>
      <w:tr w:rsidR="005D3F21" w:rsidRPr="005D3F21" w:rsidTr="005D3F21">
        <w:tc>
          <w:tcPr>
            <w:tcW w:w="1198" w:type="pct"/>
            <w:vMerge/>
            <w:tcBorders>
              <w:top w:val="single" w:sz="6" w:space="0" w:color="000000"/>
              <w:left w:val="single" w:sz="6" w:space="0" w:color="000000"/>
              <w:bottom w:val="single" w:sz="6" w:space="0" w:color="000000"/>
              <w:right w:val="single" w:sz="6" w:space="0" w:color="000000"/>
            </w:tcBorders>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221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Ангажовање наставника и андрагошких асистената</w:t>
            </w:r>
            <w:r w:rsidRPr="005D3F21">
              <w:rPr>
                <w:rFonts w:ascii="Arial" w:eastAsia="Times New Roman" w:hAnsi="Arial" w:cs="Arial"/>
                <w:b/>
                <w:bCs/>
                <w:noProof w:val="0"/>
                <w:sz w:val="20"/>
                <w:szCs w:val="20"/>
                <w:lang w:eastAsia="sr-Latn-RS"/>
              </w:rPr>
              <w:t> (</w:t>
            </w:r>
            <w:r w:rsidRPr="005D3F21">
              <w:rPr>
                <w:rFonts w:ascii="Arial" w:eastAsia="Times New Roman" w:hAnsi="Arial" w:cs="Arial"/>
                <w:noProof w:val="0"/>
                <w:sz w:val="20"/>
                <w:szCs w:val="20"/>
                <w:lang w:eastAsia="sr-Latn-RS"/>
              </w:rPr>
              <w:t>школе + КПЗ</w:t>
            </w:r>
            <w:r w:rsidRPr="005D3F21">
              <w:rPr>
                <w:rFonts w:ascii="Arial" w:eastAsia="Times New Roman" w:hAnsi="Arial" w:cs="Arial"/>
                <w:b/>
                <w:bCs/>
                <w:noProof w:val="0"/>
                <w:sz w:val="20"/>
                <w:szCs w:val="20"/>
                <w:lang w:eastAsia="sr-Latn-RS"/>
              </w:rPr>
              <w:t>)</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МПНТР</w:t>
            </w:r>
          </w:p>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(буџет РС)</w:t>
            </w:r>
          </w:p>
        </w:tc>
        <w:tc>
          <w:tcPr>
            <w:tcW w:w="96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501.742.000,00</w:t>
            </w:r>
          </w:p>
        </w:tc>
      </w:tr>
      <w:tr w:rsidR="005D3F21" w:rsidRPr="005D3F21" w:rsidTr="005D3F21">
        <w:tc>
          <w:tcPr>
            <w:tcW w:w="11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Укупно 1</w:t>
            </w:r>
          </w:p>
        </w:tc>
        <w:tc>
          <w:tcPr>
            <w:tcW w:w="2841" w:type="pct"/>
            <w:gridSpan w:val="2"/>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96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r>
      <w:tr w:rsidR="005D3F21" w:rsidRPr="005D3F21" w:rsidTr="005D3F21">
        <w:tc>
          <w:tcPr>
            <w:tcW w:w="1198" w:type="pct"/>
            <w:vMerge w:val="restar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2. Средње образовање одраслих</w:t>
            </w:r>
          </w:p>
        </w:tc>
        <w:tc>
          <w:tcPr>
            <w:tcW w:w="221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Активности</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Извор средстава</w:t>
            </w:r>
          </w:p>
        </w:tc>
        <w:tc>
          <w:tcPr>
            <w:tcW w:w="96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Потребна средства у 2021.</w:t>
            </w:r>
          </w:p>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(у динарима)</w:t>
            </w:r>
          </w:p>
        </w:tc>
      </w:tr>
      <w:tr w:rsidR="005D3F21" w:rsidRPr="005D3F21" w:rsidTr="005D3F21">
        <w:tc>
          <w:tcPr>
            <w:tcW w:w="1198" w:type="pct"/>
            <w:vMerge/>
            <w:tcBorders>
              <w:top w:val="single" w:sz="6" w:space="0" w:color="000000"/>
              <w:left w:val="single" w:sz="6" w:space="0" w:color="000000"/>
              <w:bottom w:val="single" w:sz="6" w:space="0" w:color="000000"/>
              <w:right w:val="single" w:sz="6" w:space="0" w:color="000000"/>
            </w:tcBorders>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2219"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Ванредни ученици старији од 17</w:t>
            </w:r>
          </w:p>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година</w:t>
            </w:r>
          </w:p>
        </w:tc>
        <w:tc>
          <w:tcPr>
            <w:tcW w:w="622"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МПНТР</w:t>
            </w:r>
          </w:p>
          <w:p w:rsidR="005D3F21" w:rsidRPr="005D3F21" w:rsidRDefault="005D3F21" w:rsidP="005D3F21">
            <w:pPr>
              <w:spacing w:after="150"/>
              <w:contextualSpacing w:val="0"/>
              <w:rPr>
                <w:rFonts w:ascii="Arial" w:eastAsia="Times New Roman" w:hAnsi="Arial" w:cs="Arial"/>
                <w:noProof w:val="0"/>
                <w:sz w:val="20"/>
                <w:szCs w:val="20"/>
                <w:lang w:eastAsia="sr-Latn-RS"/>
              </w:rPr>
            </w:pPr>
            <w:r w:rsidRPr="005D3F21">
              <w:rPr>
                <w:rFonts w:ascii="Arial" w:eastAsia="Times New Roman" w:hAnsi="Arial" w:cs="Arial"/>
                <w:noProof w:val="0"/>
                <w:sz w:val="20"/>
                <w:szCs w:val="20"/>
                <w:lang w:eastAsia="sr-Latn-RS"/>
              </w:rPr>
              <w:t>(буџет РС)</w:t>
            </w:r>
          </w:p>
        </w:tc>
        <w:tc>
          <w:tcPr>
            <w:tcW w:w="96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5.050.000,00</w:t>
            </w:r>
          </w:p>
        </w:tc>
      </w:tr>
      <w:tr w:rsidR="005D3F21" w:rsidRPr="005D3F21" w:rsidTr="005D3F21">
        <w:tc>
          <w:tcPr>
            <w:tcW w:w="1198"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Укупно 1+2</w:t>
            </w:r>
          </w:p>
        </w:tc>
        <w:tc>
          <w:tcPr>
            <w:tcW w:w="2841" w:type="pct"/>
            <w:gridSpan w:val="2"/>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p>
        </w:tc>
        <w:tc>
          <w:tcPr>
            <w:tcW w:w="961" w:type="pc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5D3F21" w:rsidRPr="005D3F21" w:rsidRDefault="005D3F21" w:rsidP="005D3F21">
            <w:pPr>
              <w:contextualSpacing w:val="0"/>
              <w:rPr>
                <w:rFonts w:ascii="Arial" w:eastAsia="Times New Roman" w:hAnsi="Arial" w:cs="Arial"/>
                <w:noProof w:val="0"/>
                <w:sz w:val="20"/>
                <w:szCs w:val="20"/>
                <w:lang w:eastAsia="sr-Latn-RS"/>
              </w:rPr>
            </w:pPr>
            <w:r w:rsidRPr="005D3F21">
              <w:rPr>
                <w:rFonts w:ascii="Arial" w:eastAsia="Times New Roman" w:hAnsi="Arial" w:cs="Arial"/>
                <w:b/>
                <w:bCs/>
                <w:noProof w:val="0"/>
                <w:sz w:val="20"/>
                <w:szCs w:val="20"/>
                <w:lang w:eastAsia="sr-Latn-RS"/>
              </w:rPr>
              <w:t>506.792.000,00</w:t>
            </w:r>
          </w:p>
        </w:tc>
      </w:tr>
    </w:tbl>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Ова средства су планирана Законом о буџету Републике Србије за 2021. годину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брoj 149/20) на разделу 26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Министарства просвете, науке и технолошког развоја, у оквиру:</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Главе 26.1 Основно образовање, Програм 2003 Основно образовање, Функција 910, Програмска активност 0001 Реализација делатности основног образовања, економска класификација 411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Плате, додаци и накнаде запослених (зараде), у износу од 299.955.000,00 динара, економска класификација 412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Социјални доприноси на терет послодавца, у износу од 48.443.000,00 динара и 463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Трансфери осталим нивоима власти, у износу од 153.344,00 динара, укупно 501.742.000,00 динара;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Главе 26.2 Средње образовање, Програм 2004 Средње образовање, Функција 920, Програмска активност 0001 Реализација делатности средњег образовања и образовања одраслих, економска класификација 411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Плате, додаци и накнаде запослених (зараде), у износу од 3.035.000,00 динара, економска класификација 412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Социјални доприноси на терет послодавца, у износу од 490.000,00 динара и 463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Трансфери осталим нивоима власти, у износу од 1.525.000,00 динара, укупно 5.050.000,00 динара;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Главе 26.6 Завод за унапређивање образовања и васпитања, Програм 2001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Уређење, надзор и развој свих нивоа образовног система, Функција 980, Програмска активност 0006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Стручно образовање и образовање одраслих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500.000,00 динара.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sidRPr="005D3F21">
        <w:rPr>
          <w:rFonts w:ascii="Arial" w:eastAsia="Times New Roman" w:hAnsi="Arial" w:cs="Arial"/>
          <w:noProof w:val="0"/>
          <w:color w:val="000000"/>
          <w:lang w:eastAsia="sr-Latn-RS"/>
        </w:rPr>
        <w:t>Остала планирана средства за реализацију ГПОО за 2021. годину, према достављеним подацима других корисника буџетских средстава, а планираних Законом о буџету Републике Србије за 2021. годину, налазе се на следећим позицијама: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 разделу 23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Министарство правде, Глава 23.1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Управа за извршење кривичних санкција, Програм 1607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Управљање извршењем кривичних санкција, Функција 340, Програмска активност 0002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Подршка лицима лишених слободе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7.608.000,00 динара;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 разделу 59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Национална академија за јавну управу, Програм 0615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Стручно усавршавање у јавној управи, Функција 110, Програмска активност 0001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Администрација и управљање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27.000.000,00 динара;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 разделу 30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Министарство за рад, запошљавање, борачка и социјална питања, Програм 0803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Активна политика запошљавања, Функција 412, Програмска активност 0005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Подстицање запошљавања особа са инвалидитетом путем Националне службе за запошљавање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550.000.000,00 динара;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 разделу 21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Министарство привреде, Програм 1509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Подстицаји развоју конкурентности привреде, Функција 410, Програмска активност 4003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Подршка кроз стандардизовани сет услуга за МСПП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38.500.000,00 динара;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 разделу 24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Министарство пољопривреде, шумарства и водопривреде, Глава 24.9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Управа за аграрна плаћања, Програм 0103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Подстицаји у пољопривреди и руралном развоју, Функција 420, Програмска активност 0002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Мере руралног развоја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10.500.000,00 динара;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 разделу 20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Министарство државне управе и локалне самоуправе, Програм 0607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Систем јавне управе, Функција 411, Програмска активност 0009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Администрација и управљање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3.000.000,00 динара, и Функција 111, Програмска активност 0011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Стручно усавршавање и стручни испити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2.709.000,00 динара;</w:t>
      </w:r>
    </w:p>
    <w:p w:rsidR="005D3F21" w:rsidRP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 разделу 31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Министарство омладине и спорта, Програм 1302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Омладинска политика, Функција 810, Програмска активност 0006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Програми и пројекти подршке младима у запошљавању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100.000.000,00 динара, и Програмска активност 0004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Развој и спровођење омладинске политике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23.500.000,00 динара, и Програмска активност 0005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Програми и програми подршке младима у образовању, васпитању, безбедности, здрављу и партиципацији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85.000.000,00 динара;</w:t>
      </w:r>
    </w:p>
    <w:p w:rsidR="005D3F21" w:rsidRDefault="005D3F21" w:rsidP="005D3F21">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На разделу 27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Министарство здравља, Програм 1802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Превентивна здравствена заштита, Функција 760, Програмска активност 0010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Унапређење доступности здравствене заштите ромској популацији </w:t>
      </w:r>
      <w:r>
        <w:rPr>
          <w:rFonts w:ascii="Arial" w:eastAsia="Times New Roman" w:hAnsi="Arial" w:cs="Arial"/>
          <w:noProof w:val="0"/>
          <w:color w:val="000000"/>
          <w:lang w:eastAsia="sr-Latn-RS"/>
        </w:rPr>
        <w:t>-</w:t>
      </w:r>
      <w:r w:rsidRPr="005D3F21">
        <w:rPr>
          <w:rFonts w:ascii="Arial" w:eastAsia="Times New Roman" w:hAnsi="Arial" w:cs="Arial"/>
          <w:noProof w:val="0"/>
          <w:color w:val="000000"/>
          <w:lang w:eastAsia="sr-Latn-RS"/>
        </w:rPr>
        <w:t xml:space="preserve"> у износу од 48.800.000,00 динара.</w:t>
      </w:r>
    </w:p>
    <w:p w:rsidR="005D3F21" w:rsidRDefault="005D3F21" w:rsidP="00497C37">
      <w:pPr>
        <w:rPr>
          <w:rFonts w:ascii="Arial" w:hAnsi="Arial" w:cs="Arial"/>
        </w:rPr>
      </w:pPr>
    </w:p>
    <w:p w:rsidR="005D3F21" w:rsidRDefault="005D3F21" w:rsidP="00497C37">
      <w:pPr>
        <w:rPr>
          <w:rFonts w:ascii="Arial" w:hAnsi="Arial" w:cs="Arial"/>
        </w:rPr>
      </w:pPr>
    </w:p>
    <w:p w:rsidR="005D3F21" w:rsidRDefault="005D3F21" w:rsidP="00497C37">
      <w:pPr>
        <w:rPr>
          <w:rFonts w:ascii="Arial" w:hAnsi="Arial" w:cs="Arial"/>
        </w:rPr>
      </w:pPr>
    </w:p>
    <w:p w:rsidR="005D3F21" w:rsidRDefault="005D3F21" w:rsidP="005D3F21">
      <w:pPr>
        <w:pStyle w:val="BodyText"/>
        <w:ind w:left="755"/>
        <w:rPr>
          <w:sz w:val="20"/>
        </w:rPr>
      </w:pPr>
      <w:r w:rsidRPr="005D3F21">
        <w:rPr>
          <w:noProof/>
          <w:sz w:val="20"/>
          <w:lang w:eastAsia="sr-Latn-RS"/>
        </w:rPr>
        <w:pict>
          <v:shape id="Image 33" o:spid="_x0000_i1233" type="#_x0000_t75" style="width:478.5pt;height:706.5pt;visibility:visible;mso-wrap-style:square">
            <v:imagedata r:id="rId20" o:title=""/>
            <o:lock v:ext="edit" aspectratio="f"/>
          </v:shape>
        </w:pict>
      </w:r>
    </w:p>
    <w:p w:rsidR="005D3F21" w:rsidRDefault="005D3F21" w:rsidP="005D3F21">
      <w:pPr>
        <w:rPr>
          <w:sz w:val="20"/>
        </w:rPr>
        <w:sectPr w:rsidR="005D3F21" w:rsidSect="005D3F21">
          <w:footerReference w:type="default" r:id="rId21"/>
          <w:pgSz w:w="12480" w:h="15690"/>
          <w:pgMar w:top="280" w:right="740" w:bottom="280" w:left="740" w:header="720" w:footer="436" w:gutter="0"/>
          <w:cols w:space="720"/>
        </w:sectPr>
      </w:pPr>
    </w:p>
    <w:p w:rsidR="005D3F21" w:rsidRDefault="005D3F21" w:rsidP="005D3F21">
      <w:pPr>
        <w:pStyle w:val="BodyText"/>
        <w:ind w:left="471"/>
        <w:rPr>
          <w:sz w:val="20"/>
        </w:rPr>
      </w:pPr>
      <w:r w:rsidRPr="005D3F21">
        <w:rPr>
          <w:noProof/>
          <w:sz w:val="20"/>
          <w:lang w:eastAsia="sr-Latn-RS"/>
        </w:rPr>
        <w:pict>
          <v:shape id="Image 34" o:spid="_x0000_i2902" type="#_x0000_t75" style="width:478.5pt;height:717.75pt;visibility:visible;mso-wrap-style:square">
            <v:imagedata r:id="rId22" o:title=""/>
            <o:lock v:ext="edit" aspectratio="f"/>
          </v:shape>
        </w:pict>
      </w:r>
    </w:p>
    <w:p w:rsidR="005D3F21" w:rsidRDefault="005D3F21" w:rsidP="005D3F21">
      <w:pPr>
        <w:rPr>
          <w:sz w:val="20"/>
        </w:rPr>
        <w:sectPr w:rsidR="005D3F21" w:rsidSect="005D3F21">
          <w:pgSz w:w="12480" w:h="15690"/>
          <w:pgMar w:top="280" w:right="740" w:bottom="280" w:left="740" w:header="720" w:footer="436" w:gutter="0"/>
          <w:cols w:space="720"/>
        </w:sectPr>
      </w:pPr>
    </w:p>
    <w:p w:rsidR="005D3F21" w:rsidRDefault="005D3F21" w:rsidP="005D3F21">
      <w:pPr>
        <w:pStyle w:val="BodyText"/>
        <w:ind w:left="755"/>
        <w:rPr>
          <w:sz w:val="20"/>
        </w:rPr>
      </w:pPr>
      <w:r w:rsidRPr="005D3F21">
        <w:rPr>
          <w:noProof/>
          <w:sz w:val="20"/>
          <w:lang w:eastAsia="sr-Latn-RS"/>
        </w:rPr>
        <w:pict>
          <v:shape id="Image 35" o:spid="_x0000_i2901" type="#_x0000_t75" style="width:478.5pt;height:711.75pt;visibility:visible;mso-wrap-style:square">
            <v:imagedata r:id="rId23" o:title=""/>
            <o:lock v:ext="edit" aspectratio="f"/>
          </v:shape>
        </w:pict>
      </w:r>
    </w:p>
    <w:p w:rsidR="005D3F21" w:rsidRDefault="005D3F21" w:rsidP="005D3F21">
      <w:pPr>
        <w:rPr>
          <w:sz w:val="20"/>
        </w:rPr>
        <w:sectPr w:rsidR="005D3F21" w:rsidSect="005D3F21">
          <w:pgSz w:w="12480" w:h="15690"/>
          <w:pgMar w:top="280" w:right="740" w:bottom="280" w:left="740" w:header="720" w:footer="436" w:gutter="0"/>
          <w:cols w:space="720"/>
        </w:sectPr>
      </w:pPr>
    </w:p>
    <w:p w:rsidR="005D3F21" w:rsidRDefault="005D3F21" w:rsidP="005D3F21">
      <w:pPr>
        <w:pStyle w:val="BodyText"/>
        <w:ind w:left="471"/>
        <w:rPr>
          <w:sz w:val="20"/>
        </w:rPr>
      </w:pPr>
      <w:r w:rsidRPr="005D3F21">
        <w:rPr>
          <w:noProof/>
          <w:sz w:val="20"/>
          <w:lang w:eastAsia="sr-Latn-RS"/>
        </w:rPr>
        <w:pict>
          <v:shape id="Image 36" o:spid="_x0000_i2900" type="#_x0000_t75" style="width:478.5pt;height:155.25pt;visibility:visible;mso-wrap-style:square">
            <v:imagedata r:id="rId24" o:title=""/>
            <o:lock v:ext="edit" aspectratio="f"/>
          </v:shape>
        </w:pict>
      </w:r>
    </w:p>
    <w:p w:rsidR="005D3F21" w:rsidRDefault="005D3F21" w:rsidP="005D3F21">
      <w:pPr>
        <w:rPr>
          <w:sz w:val="20"/>
        </w:rPr>
        <w:sectPr w:rsidR="005D3F21" w:rsidSect="005D3F21">
          <w:pgSz w:w="12480" w:h="15690"/>
          <w:pgMar w:top="280" w:right="740" w:bottom="280" w:left="740" w:header="720" w:footer="436" w:gutter="0"/>
          <w:cols w:space="720"/>
        </w:sectPr>
      </w:pPr>
    </w:p>
    <w:p w:rsidR="005D3F21" w:rsidRDefault="005D3F21" w:rsidP="005D3F21">
      <w:pPr>
        <w:pStyle w:val="BodyText"/>
        <w:spacing w:before="5"/>
        <w:rPr>
          <w:sz w:val="15"/>
        </w:rPr>
      </w:pPr>
    </w:p>
    <w:p w:rsidR="005D3F21" w:rsidRDefault="005D3F21" w:rsidP="005D3F21">
      <w:pPr>
        <w:pStyle w:val="BodyText"/>
        <w:ind w:left="104"/>
        <w:rPr>
          <w:sz w:val="20"/>
        </w:rPr>
      </w:pPr>
      <w:r w:rsidRPr="005D3F21">
        <w:rPr>
          <w:noProof/>
          <w:sz w:val="20"/>
          <w:lang w:eastAsia="sr-Latn-RS"/>
        </w:rPr>
        <w:pict>
          <v:shape id="Image 37" o:spid="_x0000_i2899" type="#_x0000_t75" style="width:720.75pt;height:469.5pt;visibility:visible;mso-wrap-style:square">
            <v:imagedata r:id="rId25" o:title=""/>
            <o:lock v:ext="edit" aspectratio="f"/>
          </v:shape>
        </w:pict>
      </w:r>
    </w:p>
    <w:p w:rsidR="005D3F21" w:rsidRDefault="005D3F21" w:rsidP="005D3F21">
      <w:pPr>
        <w:rPr>
          <w:sz w:val="20"/>
        </w:rPr>
        <w:sectPr w:rsidR="005D3F21" w:rsidSect="005D3F21">
          <w:pgSz w:w="15690" w:h="12480" w:orient="landscape"/>
          <w:pgMar w:top="1400" w:right="140" w:bottom="280" w:left="680" w:header="720" w:footer="436" w:gutter="0"/>
          <w:cols w:space="720"/>
        </w:sectPr>
      </w:pPr>
    </w:p>
    <w:p w:rsidR="005D3F21" w:rsidRDefault="005D3F21" w:rsidP="005D3F21">
      <w:pPr>
        <w:pStyle w:val="BodyText"/>
        <w:ind w:left="404"/>
        <w:rPr>
          <w:sz w:val="20"/>
        </w:rPr>
      </w:pPr>
      <w:r w:rsidRPr="005D3F21">
        <w:rPr>
          <w:noProof/>
          <w:sz w:val="20"/>
          <w:lang w:eastAsia="sr-Latn-RS"/>
        </w:rPr>
        <w:pict>
          <v:shape id="Image 38" o:spid="_x0000_i2898" type="#_x0000_t75" style="width:690.75pt;height:460.5pt;visibility:visible;mso-wrap-style:square">
            <v:imagedata r:id="rId26" o:title=""/>
            <o:lock v:ext="edit" aspectratio="f"/>
          </v:shape>
        </w:pict>
      </w:r>
    </w:p>
    <w:p w:rsidR="005D3F21" w:rsidRDefault="005D3F21" w:rsidP="005D3F21">
      <w:pPr>
        <w:rPr>
          <w:sz w:val="20"/>
        </w:rPr>
        <w:sectPr w:rsidR="005D3F21" w:rsidSect="005D3F21">
          <w:pgSz w:w="15690" w:h="12480" w:orient="landscape"/>
          <w:pgMar w:top="1180" w:right="140" w:bottom="280" w:left="680" w:header="720" w:footer="436" w:gutter="0"/>
          <w:cols w:space="720"/>
        </w:sectPr>
      </w:pPr>
    </w:p>
    <w:p w:rsidR="005D3F21" w:rsidRDefault="005D3F21" w:rsidP="005D3F21">
      <w:pPr>
        <w:pStyle w:val="BodyText"/>
        <w:spacing w:before="2"/>
        <w:rPr>
          <w:sz w:val="5"/>
        </w:rPr>
      </w:pPr>
    </w:p>
    <w:p w:rsidR="005D3F21" w:rsidRDefault="005D3F21" w:rsidP="005D3F21">
      <w:pPr>
        <w:pStyle w:val="BodyText"/>
        <w:ind w:left="414"/>
        <w:rPr>
          <w:sz w:val="20"/>
        </w:rPr>
      </w:pPr>
      <w:r w:rsidRPr="005D3F21">
        <w:rPr>
          <w:noProof/>
          <w:sz w:val="20"/>
          <w:lang w:eastAsia="sr-Latn-RS"/>
        </w:rPr>
        <w:pict>
          <v:shape id="Image 39" o:spid="_x0000_i2897" type="#_x0000_t75" style="width:690pt;height:452.25pt;visibility:visible;mso-wrap-style:square">
            <v:imagedata r:id="rId27" o:title=""/>
            <o:lock v:ext="edit" aspectratio="f"/>
          </v:shape>
        </w:pict>
      </w:r>
    </w:p>
    <w:p w:rsidR="005D3F21" w:rsidRDefault="005D3F21" w:rsidP="005D3F21">
      <w:pPr>
        <w:rPr>
          <w:sz w:val="20"/>
        </w:rPr>
        <w:sectPr w:rsidR="005D3F21" w:rsidSect="005D3F21">
          <w:pgSz w:w="15690" w:h="12480" w:orient="landscape"/>
          <w:pgMar w:top="1400" w:right="140" w:bottom="280" w:left="680" w:header="720" w:footer="436" w:gutter="0"/>
          <w:cols w:space="720"/>
        </w:sectPr>
      </w:pPr>
    </w:p>
    <w:p w:rsidR="005D3F21" w:rsidRDefault="005D3F21" w:rsidP="005D3F21">
      <w:pPr>
        <w:pStyle w:val="BodyText"/>
        <w:ind w:left="414"/>
        <w:rPr>
          <w:sz w:val="20"/>
        </w:rPr>
      </w:pPr>
      <w:r w:rsidRPr="005D3F21">
        <w:rPr>
          <w:noProof/>
          <w:sz w:val="20"/>
          <w:lang w:eastAsia="sr-Latn-RS"/>
        </w:rPr>
        <w:pict>
          <v:shape id="Image 40" o:spid="_x0000_i2896" type="#_x0000_t75" style="width:690pt;height:456.75pt;visibility:visible;mso-wrap-style:square">
            <v:imagedata r:id="rId28" o:title=""/>
            <o:lock v:ext="edit" aspectratio="f"/>
          </v:shape>
        </w:pict>
      </w:r>
    </w:p>
    <w:p w:rsidR="005D3F21" w:rsidRDefault="005D3F21" w:rsidP="005D3F21">
      <w:pPr>
        <w:rPr>
          <w:sz w:val="20"/>
        </w:rPr>
        <w:sectPr w:rsidR="005D3F21" w:rsidSect="005D3F21">
          <w:pgSz w:w="15690" w:h="12480" w:orient="landscape"/>
          <w:pgMar w:top="1180" w:right="140" w:bottom="280" w:left="680" w:header="720" w:footer="436" w:gutter="0"/>
          <w:cols w:space="720"/>
        </w:sectPr>
      </w:pPr>
    </w:p>
    <w:p w:rsidR="005D3F21" w:rsidRDefault="005D3F21" w:rsidP="005D3F21">
      <w:pPr>
        <w:pStyle w:val="BodyText"/>
        <w:spacing w:before="2"/>
        <w:rPr>
          <w:sz w:val="5"/>
        </w:rPr>
      </w:pPr>
    </w:p>
    <w:p w:rsidR="005D3F21" w:rsidRDefault="005D3F21" w:rsidP="005D3F21">
      <w:pPr>
        <w:pStyle w:val="BodyText"/>
        <w:ind w:left="414"/>
        <w:rPr>
          <w:sz w:val="20"/>
        </w:rPr>
      </w:pPr>
      <w:r w:rsidRPr="005D3F21">
        <w:rPr>
          <w:noProof/>
          <w:sz w:val="20"/>
          <w:lang w:eastAsia="sr-Latn-RS"/>
        </w:rPr>
        <w:pict>
          <v:shape id="Image 41" o:spid="_x0000_i2895" type="#_x0000_t75" style="width:690pt;height:468.75pt;visibility:visible;mso-wrap-style:square">
            <v:imagedata r:id="rId29" o:title=""/>
            <o:lock v:ext="edit" aspectratio="f"/>
          </v:shape>
        </w:pict>
      </w:r>
    </w:p>
    <w:p w:rsidR="005D3F21" w:rsidRDefault="005D3F21" w:rsidP="005D3F21">
      <w:pPr>
        <w:rPr>
          <w:sz w:val="20"/>
        </w:rPr>
        <w:sectPr w:rsidR="005D3F21" w:rsidSect="005D3F21">
          <w:pgSz w:w="15690" w:h="12480" w:orient="landscape"/>
          <w:pgMar w:top="1400" w:right="140" w:bottom="280" w:left="680" w:header="720" w:footer="436" w:gutter="0"/>
          <w:cols w:space="720"/>
        </w:sectPr>
      </w:pPr>
    </w:p>
    <w:p w:rsidR="005D3F21" w:rsidRDefault="005D3F21" w:rsidP="005D3F21">
      <w:pPr>
        <w:pStyle w:val="BodyText"/>
        <w:ind w:left="414"/>
        <w:rPr>
          <w:sz w:val="20"/>
        </w:rPr>
      </w:pPr>
      <w:r w:rsidRPr="005D3F21">
        <w:rPr>
          <w:noProof/>
          <w:sz w:val="20"/>
          <w:lang w:eastAsia="sr-Latn-RS"/>
        </w:rPr>
        <w:pict>
          <v:shape id="Image 42" o:spid="_x0000_i2894" type="#_x0000_t75" style="width:690pt;height:480pt;visibility:visible;mso-wrap-style:square">
            <v:imagedata r:id="rId30" o:title=""/>
            <o:lock v:ext="edit" aspectratio="f"/>
          </v:shape>
        </w:pict>
      </w:r>
    </w:p>
    <w:p w:rsidR="005D3F21" w:rsidRDefault="005D3F21" w:rsidP="005D3F21">
      <w:pPr>
        <w:rPr>
          <w:sz w:val="20"/>
        </w:rPr>
        <w:sectPr w:rsidR="005D3F21" w:rsidSect="005D3F21">
          <w:pgSz w:w="15690" w:h="12480" w:orient="landscape"/>
          <w:pgMar w:top="1180" w:right="140" w:bottom="280" w:left="680" w:header="720" w:footer="436" w:gutter="0"/>
          <w:cols w:space="720"/>
        </w:sectPr>
      </w:pPr>
    </w:p>
    <w:p w:rsidR="005D3F21" w:rsidRDefault="005D3F21" w:rsidP="005D3F21">
      <w:pPr>
        <w:pStyle w:val="BodyText"/>
        <w:spacing w:before="2"/>
        <w:rPr>
          <w:sz w:val="5"/>
        </w:rPr>
      </w:pPr>
    </w:p>
    <w:p w:rsidR="005D3F21" w:rsidRDefault="005D3F21" w:rsidP="005D3F21">
      <w:pPr>
        <w:pStyle w:val="BodyText"/>
        <w:ind w:left="414"/>
        <w:rPr>
          <w:sz w:val="20"/>
        </w:rPr>
      </w:pPr>
      <w:r w:rsidRPr="005D3F21">
        <w:rPr>
          <w:noProof/>
          <w:sz w:val="20"/>
          <w:lang w:eastAsia="sr-Latn-RS"/>
        </w:rPr>
        <w:pict>
          <v:shape id="Image 43" o:spid="_x0000_i2893" type="#_x0000_t75" style="width:690pt;height:456pt;visibility:visible;mso-wrap-style:square">
            <v:imagedata r:id="rId31" o:title=""/>
            <o:lock v:ext="edit" aspectratio="f"/>
          </v:shape>
        </w:pict>
      </w:r>
    </w:p>
    <w:p w:rsidR="005D3F21" w:rsidRDefault="005D3F21" w:rsidP="005D3F21">
      <w:pPr>
        <w:rPr>
          <w:sz w:val="20"/>
        </w:rPr>
        <w:sectPr w:rsidR="005D3F21" w:rsidSect="005D3F21">
          <w:pgSz w:w="15690" w:h="12480" w:orient="landscape"/>
          <w:pgMar w:top="1400" w:right="140" w:bottom="280" w:left="680" w:header="720" w:footer="436" w:gutter="0"/>
          <w:cols w:space="720"/>
        </w:sectPr>
      </w:pPr>
    </w:p>
    <w:p w:rsidR="005D3F21" w:rsidRDefault="005D3F21" w:rsidP="005D3F21">
      <w:pPr>
        <w:pStyle w:val="BodyText"/>
        <w:ind w:left="414"/>
        <w:rPr>
          <w:sz w:val="20"/>
        </w:rPr>
      </w:pPr>
      <w:r w:rsidRPr="005D3F21">
        <w:rPr>
          <w:noProof/>
          <w:sz w:val="20"/>
          <w:lang w:eastAsia="sr-Latn-RS"/>
        </w:rPr>
        <w:pict>
          <v:shape id="Image 44" o:spid="_x0000_i2892" type="#_x0000_t75" style="width:690pt;height:478.5pt;visibility:visible;mso-wrap-style:square">
            <v:imagedata r:id="rId32" o:title=""/>
            <o:lock v:ext="edit" aspectratio="f"/>
          </v:shape>
        </w:pict>
      </w:r>
    </w:p>
    <w:p w:rsidR="005D3F21" w:rsidRDefault="005D3F21" w:rsidP="005D3F21">
      <w:pPr>
        <w:rPr>
          <w:sz w:val="20"/>
        </w:rPr>
        <w:sectPr w:rsidR="005D3F21" w:rsidSect="005D3F21">
          <w:pgSz w:w="15690" w:h="12480" w:orient="landscape"/>
          <w:pgMar w:top="1180" w:right="140" w:bottom="280" w:left="680" w:header="720" w:footer="436" w:gutter="0"/>
          <w:cols w:space="720"/>
        </w:sectPr>
      </w:pPr>
    </w:p>
    <w:p w:rsidR="005D3F21" w:rsidRDefault="005D3F21" w:rsidP="005D3F21">
      <w:pPr>
        <w:pStyle w:val="BodyText"/>
        <w:spacing w:before="2"/>
        <w:rPr>
          <w:sz w:val="5"/>
        </w:rPr>
      </w:pPr>
    </w:p>
    <w:p w:rsidR="005D3F21" w:rsidRDefault="005D3F21" w:rsidP="005D3F21">
      <w:pPr>
        <w:pStyle w:val="BodyText"/>
        <w:ind w:left="414"/>
        <w:rPr>
          <w:sz w:val="20"/>
        </w:rPr>
      </w:pPr>
      <w:r w:rsidRPr="005D3F21">
        <w:rPr>
          <w:noProof/>
          <w:sz w:val="20"/>
          <w:lang w:eastAsia="sr-Latn-RS"/>
        </w:rPr>
        <w:pict>
          <v:shape id="Image 45" o:spid="_x0000_i2891" type="#_x0000_t75" style="width:690pt;height:480pt;visibility:visible;mso-wrap-style:square">
            <v:imagedata r:id="rId33" o:title=""/>
            <o:lock v:ext="edit" aspectratio="f"/>
          </v:shape>
        </w:pict>
      </w:r>
    </w:p>
    <w:p w:rsidR="005D3F21" w:rsidRDefault="005D3F21" w:rsidP="005D3F21">
      <w:pPr>
        <w:rPr>
          <w:sz w:val="20"/>
        </w:rPr>
        <w:sectPr w:rsidR="005D3F21" w:rsidSect="005D3F21">
          <w:pgSz w:w="15690" w:h="12480" w:orient="landscape"/>
          <w:pgMar w:top="1400" w:right="140" w:bottom="280" w:left="680" w:header="720" w:footer="436" w:gutter="0"/>
          <w:cols w:space="720"/>
        </w:sectPr>
      </w:pPr>
    </w:p>
    <w:p w:rsidR="005D3F21" w:rsidRDefault="005D3F21" w:rsidP="005D3F21">
      <w:pPr>
        <w:pStyle w:val="BodyText"/>
        <w:ind w:left="414"/>
        <w:rPr>
          <w:sz w:val="20"/>
        </w:rPr>
      </w:pPr>
      <w:r w:rsidRPr="005D3F21">
        <w:rPr>
          <w:noProof/>
          <w:sz w:val="20"/>
          <w:lang w:eastAsia="sr-Latn-RS"/>
        </w:rPr>
        <w:pict>
          <v:shape id="Image 46" o:spid="_x0000_i2890" type="#_x0000_t75" style="width:690pt;height:466.5pt;visibility:visible;mso-wrap-style:square">
            <v:imagedata r:id="rId34" o:title=""/>
            <o:lock v:ext="edit" aspectratio="f"/>
          </v:shape>
        </w:pict>
      </w:r>
    </w:p>
    <w:p w:rsidR="005D3F21" w:rsidRDefault="005D3F21" w:rsidP="005D3F21">
      <w:pPr>
        <w:rPr>
          <w:sz w:val="20"/>
        </w:rPr>
        <w:sectPr w:rsidR="005D3F21" w:rsidSect="005D3F21">
          <w:pgSz w:w="15690" w:h="12480" w:orient="landscape"/>
          <w:pgMar w:top="1180" w:right="140" w:bottom="280" w:left="680" w:header="720" w:footer="436" w:gutter="0"/>
          <w:cols w:space="720"/>
        </w:sectPr>
      </w:pPr>
    </w:p>
    <w:p w:rsidR="005D3F21" w:rsidRDefault="005D3F21" w:rsidP="005D3F21">
      <w:pPr>
        <w:pStyle w:val="BodyText"/>
        <w:spacing w:before="2"/>
        <w:rPr>
          <w:sz w:val="5"/>
        </w:rPr>
      </w:pPr>
    </w:p>
    <w:p w:rsidR="005D3F21" w:rsidRDefault="005D3F21" w:rsidP="005D3F21">
      <w:pPr>
        <w:pStyle w:val="BodyText"/>
        <w:ind w:left="414"/>
        <w:rPr>
          <w:sz w:val="20"/>
        </w:rPr>
      </w:pPr>
      <w:r w:rsidRPr="005D3F21">
        <w:rPr>
          <w:noProof/>
          <w:sz w:val="20"/>
          <w:lang w:eastAsia="sr-Latn-RS"/>
        </w:rPr>
        <w:pict>
          <v:shape id="Image 47" o:spid="_x0000_i2889" type="#_x0000_t75" style="width:690pt;height:445.5pt;visibility:visible;mso-wrap-style:square">
            <v:imagedata r:id="rId35" o:title=""/>
            <o:lock v:ext="edit" aspectratio="f"/>
          </v:shape>
        </w:pict>
      </w:r>
    </w:p>
    <w:p w:rsidR="005D3F21" w:rsidRDefault="005D3F21" w:rsidP="005D3F21">
      <w:pPr>
        <w:rPr>
          <w:sz w:val="20"/>
        </w:rPr>
        <w:sectPr w:rsidR="005D3F21" w:rsidSect="005D3F21">
          <w:pgSz w:w="15690" w:h="12480" w:orient="landscape"/>
          <w:pgMar w:top="1400" w:right="140" w:bottom="280" w:left="680" w:header="720" w:footer="436" w:gutter="0"/>
          <w:cols w:space="720"/>
        </w:sectPr>
      </w:pPr>
    </w:p>
    <w:p w:rsidR="005D3F21" w:rsidRDefault="005D3F21" w:rsidP="005D3F21">
      <w:pPr>
        <w:pStyle w:val="BodyText"/>
        <w:ind w:left="414"/>
        <w:rPr>
          <w:sz w:val="20"/>
        </w:rPr>
      </w:pPr>
      <w:r w:rsidRPr="005D3F21">
        <w:rPr>
          <w:noProof/>
          <w:sz w:val="20"/>
          <w:lang w:eastAsia="sr-Latn-RS"/>
        </w:rPr>
        <w:pict>
          <v:shape id="Image 48" o:spid="_x0000_i2888" type="#_x0000_t75" style="width:690pt;height:480.75pt;visibility:visible;mso-wrap-style:square">
            <v:imagedata r:id="rId36" o:title=""/>
            <o:lock v:ext="edit" aspectratio="f"/>
          </v:shape>
        </w:pict>
      </w:r>
    </w:p>
    <w:p w:rsidR="005D3F21" w:rsidRDefault="005D3F21" w:rsidP="005D3F21">
      <w:pPr>
        <w:rPr>
          <w:sz w:val="20"/>
        </w:rPr>
        <w:sectPr w:rsidR="005D3F21" w:rsidSect="005D3F21">
          <w:pgSz w:w="15690" w:h="12480" w:orient="landscape"/>
          <w:pgMar w:top="1180" w:right="140" w:bottom="280" w:left="680" w:header="720" w:footer="436" w:gutter="0"/>
          <w:cols w:space="720"/>
        </w:sectPr>
      </w:pPr>
    </w:p>
    <w:p w:rsidR="005D3F21" w:rsidRDefault="005D3F21" w:rsidP="005D3F21">
      <w:pPr>
        <w:pStyle w:val="BodyText"/>
        <w:spacing w:before="2"/>
        <w:rPr>
          <w:sz w:val="5"/>
        </w:rPr>
      </w:pPr>
    </w:p>
    <w:p w:rsidR="005D3F21" w:rsidRDefault="005D3F21" w:rsidP="005D3F21">
      <w:pPr>
        <w:pStyle w:val="BodyText"/>
        <w:ind w:left="414"/>
        <w:rPr>
          <w:sz w:val="20"/>
        </w:rPr>
      </w:pPr>
      <w:r w:rsidRPr="005D3F21">
        <w:rPr>
          <w:noProof/>
          <w:sz w:val="20"/>
          <w:lang w:eastAsia="sr-Latn-RS"/>
        </w:rPr>
        <w:pict>
          <v:shape id="Image 49" o:spid="_x0000_i2887" type="#_x0000_t75" style="width:690pt;height:465.75pt;visibility:visible;mso-wrap-style:square">
            <v:imagedata r:id="rId37" o:title=""/>
            <o:lock v:ext="edit" aspectratio="f"/>
          </v:shape>
        </w:pict>
      </w:r>
    </w:p>
    <w:p w:rsidR="005D3F21" w:rsidRDefault="005D3F21" w:rsidP="005D3F21">
      <w:pPr>
        <w:rPr>
          <w:sz w:val="20"/>
        </w:rPr>
        <w:sectPr w:rsidR="005D3F21" w:rsidSect="005D3F21">
          <w:pgSz w:w="15690" w:h="12480" w:orient="landscape"/>
          <w:pgMar w:top="1400" w:right="140" w:bottom="280" w:left="680" w:header="720" w:footer="436" w:gutter="0"/>
          <w:cols w:space="720"/>
        </w:sectPr>
      </w:pPr>
    </w:p>
    <w:p w:rsidR="005D3F21" w:rsidRDefault="005D3F21" w:rsidP="005D3F21">
      <w:pPr>
        <w:pStyle w:val="BodyText"/>
        <w:ind w:left="414"/>
        <w:rPr>
          <w:sz w:val="20"/>
        </w:rPr>
      </w:pPr>
      <w:r w:rsidRPr="005D3F21">
        <w:rPr>
          <w:noProof/>
          <w:sz w:val="20"/>
          <w:lang w:eastAsia="sr-Latn-RS"/>
        </w:rPr>
        <w:pict>
          <v:shape id="Image 50" o:spid="_x0000_i2886" type="#_x0000_t75" style="width:690pt;height:474.75pt;visibility:visible;mso-wrap-style:square">
            <v:imagedata r:id="rId38" o:title=""/>
            <o:lock v:ext="edit" aspectratio="f"/>
          </v:shape>
        </w:pict>
      </w:r>
    </w:p>
    <w:p w:rsidR="005D3F21" w:rsidRDefault="005D3F21" w:rsidP="005D3F21">
      <w:pPr>
        <w:rPr>
          <w:sz w:val="20"/>
        </w:rPr>
        <w:sectPr w:rsidR="005D3F21" w:rsidSect="005D3F21">
          <w:pgSz w:w="15690" w:h="12480" w:orient="landscape"/>
          <w:pgMar w:top="1180" w:right="140" w:bottom="280" w:left="680" w:header="720" w:footer="436" w:gutter="0"/>
          <w:cols w:space="720"/>
        </w:sectPr>
      </w:pPr>
    </w:p>
    <w:p w:rsidR="005D3F21" w:rsidRDefault="005D3F21" w:rsidP="005D3F21">
      <w:pPr>
        <w:pStyle w:val="BodyText"/>
        <w:spacing w:before="2"/>
        <w:rPr>
          <w:sz w:val="5"/>
        </w:rPr>
      </w:pPr>
    </w:p>
    <w:p w:rsidR="005D3F21" w:rsidRDefault="005D3F21" w:rsidP="005D3F21">
      <w:pPr>
        <w:pStyle w:val="BodyText"/>
        <w:ind w:left="414"/>
        <w:rPr>
          <w:sz w:val="20"/>
        </w:rPr>
      </w:pPr>
      <w:r w:rsidRPr="005D3F21">
        <w:rPr>
          <w:noProof/>
          <w:sz w:val="20"/>
          <w:lang w:eastAsia="sr-Latn-RS"/>
        </w:rPr>
        <w:pict>
          <v:shape id="Image 51" o:spid="_x0000_i2885" type="#_x0000_t75" style="width:690pt;height:462pt;visibility:visible;mso-wrap-style:square">
            <v:imagedata r:id="rId39" o:title=""/>
            <o:lock v:ext="edit" aspectratio="f"/>
          </v:shape>
        </w:pict>
      </w:r>
    </w:p>
    <w:p w:rsidR="005D3F21" w:rsidRDefault="005D3F21" w:rsidP="005D3F21">
      <w:pPr>
        <w:rPr>
          <w:sz w:val="20"/>
        </w:rPr>
        <w:sectPr w:rsidR="005D3F21" w:rsidSect="005D3F21">
          <w:pgSz w:w="15690" w:h="12480" w:orient="landscape"/>
          <w:pgMar w:top="1400" w:right="140" w:bottom="280" w:left="680" w:header="720" w:footer="436" w:gutter="0"/>
          <w:cols w:space="720"/>
        </w:sectPr>
      </w:pPr>
    </w:p>
    <w:p w:rsidR="005D3F21" w:rsidRDefault="005D3F21" w:rsidP="005D3F21">
      <w:pPr>
        <w:pStyle w:val="BodyText"/>
        <w:ind w:left="414"/>
        <w:rPr>
          <w:sz w:val="20"/>
        </w:rPr>
      </w:pPr>
      <w:r w:rsidRPr="005D3F21">
        <w:rPr>
          <w:noProof/>
          <w:sz w:val="20"/>
          <w:lang w:eastAsia="sr-Latn-RS"/>
        </w:rPr>
        <w:pict>
          <v:shape id="Image 52" o:spid="_x0000_i2884" type="#_x0000_t75" style="width:690pt;height:255.75pt;visibility:visible;mso-wrap-style:square">
            <v:imagedata r:id="rId40" o:title=""/>
            <o:lock v:ext="edit" aspectratio="f"/>
          </v:shape>
        </w:pict>
      </w:r>
    </w:p>
    <w:p w:rsidR="005D3F21" w:rsidRDefault="005D3F21" w:rsidP="005D3F21">
      <w:pPr>
        <w:rPr>
          <w:sz w:val="20"/>
        </w:rPr>
        <w:sectPr w:rsidR="005D3F21" w:rsidSect="005D3F21">
          <w:pgSz w:w="15690" w:h="12480" w:orient="landscape"/>
          <w:pgMar w:top="1180" w:right="140" w:bottom="280" w:left="68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53" o:spid="_x0000_i2883" type="#_x0000_t75" style="width:468pt;height:709.5pt;visibility:visible;mso-wrap-style:square">
            <v:imagedata r:id="rId41"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54" o:spid="_x0000_i2882" type="#_x0000_t75" style="width:468pt;height:713.25pt;visibility:visible;mso-wrap-style:square">
            <v:imagedata r:id="rId42"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55" o:spid="_x0000_i2881" type="#_x0000_t75" style="width:468pt;height:709.5pt;visibility:visible;mso-wrap-style:square">
            <v:imagedata r:id="rId43"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56" o:spid="_x0000_i2880" type="#_x0000_t75" style="width:468pt;height:708pt;visibility:visible;mso-wrap-style:square">
            <v:imagedata r:id="rId44"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57" o:spid="_x0000_i2879" type="#_x0000_t75" style="width:468pt;height:717.75pt;visibility:visible;mso-wrap-style:square">
            <v:imagedata r:id="rId45"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58" o:spid="_x0000_i2878" type="#_x0000_t75" style="width:468pt;height:710.25pt;visibility:visible;mso-wrap-style:square">
            <v:imagedata r:id="rId46"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59" o:spid="_x0000_i2877" type="#_x0000_t75" style="width:468pt;height:717pt;visibility:visible;mso-wrap-style:square">
            <v:imagedata r:id="rId47"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60" o:spid="_x0000_i2876" type="#_x0000_t75" style="width:468pt;height:709.5pt;visibility:visible;mso-wrap-style:square">
            <v:imagedata r:id="rId48"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61" o:spid="_x0000_i2875" type="#_x0000_t75" style="width:468pt;height:715.5pt;visibility:visible;mso-wrap-style:square">
            <v:imagedata r:id="rId49"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62" o:spid="_x0000_i2874" type="#_x0000_t75" style="width:468pt;height:709.5pt;visibility:visible;mso-wrap-style:square">
            <v:imagedata r:id="rId50"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63" o:spid="_x0000_i2873" type="#_x0000_t75" style="width:468pt;height:718.5pt;visibility:visible;mso-wrap-style:square">
            <v:imagedata r:id="rId51"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64" o:spid="_x0000_i2872" type="#_x0000_t75" style="width:468pt;height:713.25pt;visibility:visible;mso-wrap-style:square">
            <v:imagedata r:id="rId52"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65" o:spid="_x0000_i2871" type="#_x0000_t75" style="width:468pt;height:714.75pt;visibility:visible;mso-wrap-style:square">
            <v:imagedata r:id="rId53"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66" o:spid="_x0000_i2870" type="#_x0000_t75" style="width:468pt;height:715.5pt;visibility:visible;mso-wrap-style:square">
            <v:imagedata r:id="rId54"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67" o:spid="_x0000_i2869" type="#_x0000_t75" style="width:468pt;height:710.25pt;visibility:visible;mso-wrap-style:square">
            <v:imagedata r:id="rId55"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68" o:spid="_x0000_i2868" type="#_x0000_t75" style="width:468pt;height:708pt;visibility:visible;mso-wrap-style:square">
            <v:imagedata r:id="rId56"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69" o:spid="_x0000_i2867" type="#_x0000_t75" style="width:468pt;height:708pt;visibility:visible;mso-wrap-style:square">
            <v:imagedata r:id="rId57"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70" o:spid="_x0000_i2866" type="#_x0000_t75" style="width:468pt;height:710.25pt;visibility:visible;mso-wrap-style:square">
            <v:imagedata r:id="rId58"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71" o:spid="_x0000_i2865" type="#_x0000_t75" style="width:468pt;height:706.5pt;visibility:visible;mso-wrap-style:square">
            <v:imagedata r:id="rId59"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72" o:spid="_x0000_i2864" type="#_x0000_t75" style="width:468pt;height:704.25pt;visibility:visible;mso-wrap-style:square">
            <v:imagedata r:id="rId60"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73" o:spid="_x0000_i2863" type="#_x0000_t75" style="width:468pt;height:717.75pt;visibility:visible;mso-wrap-style:square">
            <v:imagedata r:id="rId61"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74" o:spid="_x0000_i2862" type="#_x0000_t75" style="width:468pt;height:714.75pt;visibility:visible;mso-wrap-style:square">
            <v:imagedata r:id="rId62"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75" o:spid="_x0000_i2861" type="#_x0000_t75" style="width:468pt;height:716.25pt;visibility:visible;mso-wrap-style:square">
            <v:imagedata r:id="rId63"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76" o:spid="_x0000_i2860" type="#_x0000_t75" style="width:468pt;height:708.75pt;visibility:visible;mso-wrap-style:square">
            <v:imagedata r:id="rId64"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77" o:spid="_x0000_i2859" type="#_x0000_t75" style="width:468pt;height:715.5pt;visibility:visible;mso-wrap-style:square">
            <v:imagedata r:id="rId65"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78" o:spid="_x0000_i2858" type="#_x0000_t75" style="width:468pt;height:713.25pt;visibility:visible;mso-wrap-style:square">
            <v:imagedata r:id="rId66"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79" o:spid="_x0000_i2857" type="#_x0000_t75" style="width:468pt;height:709.5pt;visibility:visible;mso-wrap-style:square">
            <v:imagedata r:id="rId67"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80" o:spid="_x0000_i2856" type="#_x0000_t75" style="width:468pt;height:717pt;visibility:visible;mso-wrap-style:square">
            <v:imagedata r:id="rId68"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81" o:spid="_x0000_i2855" type="#_x0000_t75" style="width:468pt;height:718.5pt;visibility:visible;mso-wrap-style:square">
            <v:imagedata r:id="rId69"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82" o:spid="_x0000_i2854" type="#_x0000_t75" style="width:468pt;height:713.25pt;visibility:visible;mso-wrap-style:square">
            <v:imagedata r:id="rId70"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83" o:spid="_x0000_i2853" type="#_x0000_t75" style="width:468pt;height:709.5pt;visibility:visible;mso-wrap-style:square">
            <v:imagedata r:id="rId71"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84" o:spid="_x0000_i2852" type="#_x0000_t75" style="width:468pt;height:711pt;visibility:visible;mso-wrap-style:square">
            <v:imagedata r:id="rId72"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85" o:spid="_x0000_i2851" type="#_x0000_t75" style="width:468pt;height:712.5pt;visibility:visible;mso-wrap-style:square">
            <v:imagedata r:id="rId73"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86" o:spid="_x0000_i2850" type="#_x0000_t75" style="width:468pt;height:719.25pt;visibility:visible;mso-wrap-style:square">
            <v:imagedata r:id="rId74"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87" o:spid="_x0000_i2849" type="#_x0000_t75" style="width:468pt;height:714pt;visibility:visible;mso-wrap-style:square">
            <v:imagedata r:id="rId75"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88" o:spid="_x0000_i2848" type="#_x0000_t75" style="width:468pt;height:708pt;visibility:visible;mso-wrap-style:square">
            <v:imagedata r:id="rId76"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89" o:spid="_x0000_i2847" type="#_x0000_t75" style="width:468pt;height:713.25pt;visibility:visible;mso-wrap-style:square">
            <v:imagedata r:id="rId77"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90" o:spid="_x0000_i2846" type="#_x0000_t75" style="width:468pt;height:715.5pt;visibility:visible;mso-wrap-style:square">
            <v:imagedata r:id="rId78"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91" o:spid="_x0000_i2845" type="#_x0000_t75" style="width:468pt;height:712.5pt;visibility:visible;mso-wrap-style:square">
            <v:imagedata r:id="rId79"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92" o:spid="_x0000_i2844" type="#_x0000_t75" style="width:468pt;height:718.5pt;visibility:visible;mso-wrap-style:square">
            <v:imagedata r:id="rId80"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93" o:spid="_x0000_i2843" type="#_x0000_t75" style="width:468pt;height:711pt;visibility:visible;mso-wrap-style:square">
            <v:imagedata r:id="rId81"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94" o:spid="_x0000_i2842" type="#_x0000_t75" style="width:468pt;height:711pt;visibility:visible;mso-wrap-style:square">
            <v:imagedata r:id="rId82"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95" o:spid="_x0000_i2841" type="#_x0000_t75" style="width:468pt;height:709.5pt;visibility:visible;mso-wrap-style:square">
            <v:imagedata r:id="rId83"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96" o:spid="_x0000_i2840" type="#_x0000_t75" style="width:468pt;height:708.75pt;visibility:visible;mso-wrap-style:square">
            <v:imagedata r:id="rId84"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97" o:spid="_x0000_i2839" type="#_x0000_t75" style="width:468pt;height:717.75pt;visibility:visible;mso-wrap-style:square">
            <v:imagedata r:id="rId85"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98" o:spid="_x0000_i2838" type="#_x0000_t75" style="width:468pt;height:715.5pt;visibility:visible;mso-wrap-style:square">
            <v:imagedata r:id="rId86"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99" o:spid="_x0000_i2837" type="#_x0000_t75" style="width:468pt;height:717pt;visibility:visible;mso-wrap-style:square">
            <v:imagedata r:id="rId87"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100" o:spid="_x0000_i2836" type="#_x0000_t75" style="width:468pt;height:713.25pt;visibility:visible;mso-wrap-style:square">
            <v:imagedata r:id="rId88"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383"/>
        <w:rPr>
          <w:sz w:val="20"/>
        </w:rPr>
      </w:pPr>
      <w:r w:rsidRPr="005D3F21">
        <w:rPr>
          <w:noProof/>
          <w:sz w:val="20"/>
          <w:lang w:eastAsia="sr-Latn-RS"/>
        </w:rPr>
        <w:pict>
          <v:shape id="Image 101" o:spid="_x0000_i2835" type="#_x0000_t75" style="width:468pt;height:717.75pt;visibility:visible;mso-wrap-style:square">
            <v:imagedata r:id="rId89"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ind w:left="100"/>
        <w:rPr>
          <w:sz w:val="20"/>
        </w:rPr>
      </w:pPr>
      <w:r w:rsidRPr="005D3F21">
        <w:rPr>
          <w:noProof/>
          <w:sz w:val="20"/>
          <w:lang w:eastAsia="sr-Latn-RS"/>
        </w:rPr>
        <w:pict>
          <v:shape id="Image 102" o:spid="_x0000_i2834" type="#_x0000_t75" style="width:468pt;height:516.75pt;visibility:visible;mso-wrap-style:square">
            <v:imagedata r:id="rId90" o:title=""/>
            <o:lock v:ext="edit" aspectratio="f"/>
          </v:shape>
        </w:pict>
      </w:r>
    </w:p>
    <w:p w:rsidR="005D3F21" w:rsidRDefault="005D3F21" w:rsidP="005D3F21">
      <w:pPr>
        <w:rPr>
          <w:sz w:val="20"/>
        </w:rPr>
        <w:sectPr w:rsidR="005D3F21" w:rsidSect="005D3F21">
          <w:pgSz w:w="12480" w:h="15690"/>
          <w:pgMar w:top="260" w:right="1240" w:bottom="280" w:left="1240" w:header="720" w:footer="436" w:gutter="0"/>
          <w:cols w:space="720"/>
        </w:sectPr>
      </w:pPr>
    </w:p>
    <w:p w:rsidR="005D3F21" w:rsidRDefault="005D3F21" w:rsidP="005D3F21">
      <w:pPr>
        <w:pStyle w:val="BodyText"/>
        <w:rPr>
          <w:sz w:val="8"/>
        </w:rPr>
      </w:pPr>
    </w:p>
    <w:p w:rsidR="005D3F21" w:rsidRDefault="005D3F21" w:rsidP="005D3F21">
      <w:pPr>
        <w:pStyle w:val="BodyText"/>
        <w:ind w:left="656"/>
        <w:rPr>
          <w:sz w:val="20"/>
        </w:rPr>
      </w:pPr>
      <w:r w:rsidRPr="005D3F21">
        <w:rPr>
          <w:noProof/>
          <w:sz w:val="20"/>
          <w:lang w:eastAsia="sr-Latn-RS"/>
        </w:rPr>
        <w:pict>
          <v:shape id="Image 103" o:spid="_x0000_i2833" type="#_x0000_t75" style="width:669pt;height:428.25pt;visibility:visible;mso-wrap-style:square">
            <v:imagedata r:id="rId91"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04" o:spid="_x0000_i2832" type="#_x0000_t75" style="width:668.25pt;height:414pt;visibility:visible;mso-wrap-style:square">
            <v:imagedata r:id="rId92"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8"/>
        </w:rPr>
      </w:pPr>
    </w:p>
    <w:p w:rsidR="005D3F21" w:rsidRDefault="005D3F21" w:rsidP="005D3F21">
      <w:pPr>
        <w:pStyle w:val="BodyText"/>
        <w:ind w:left="665"/>
        <w:rPr>
          <w:sz w:val="20"/>
        </w:rPr>
      </w:pPr>
      <w:r w:rsidRPr="005D3F21">
        <w:rPr>
          <w:noProof/>
          <w:sz w:val="20"/>
          <w:lang w:eastAsia="sr-Latn-RS"/>
        </w:rPr>
        <w:pict>
          <v:shape id="Image 105" o:spid="_x0000_i2831" type="#_x0000_t75" style="width:668.25pt;height:408pt;visibility:visible;mso-wrap-style:square">
            <v:imagedata r:id="rId93"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06" o:spid="_x0000_i2830" type="#_x0000_t75" style="width:668.25pt;height:456pt;visibility:visible;mso-wrap-style:square">
            <v:imagedata r:id="rId94"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8"/>
        </w:rPr>
      </w:pPr>
    </w:p>
    <w:p w:rsidR="005D3F21" w:rsidRDefault="005D3F21" w:rsidP="005D3F21">
      <w:pPr>
        <w:pStyle w:val="BodyText"/>
        <w:ind w:left="665"/>
        <w:rPr>
          <w:sz w:val="20"/>
        </w:rPr>
      </w:pPr>
      <w:r w:rsidRPr="005D3F21">
        <w:rPr>
          <w:noProof/>
          <w:sz w:val="20"/>
          <w:lang w:eastAsia="sr-Latn-RS"/>
        </w:rPr>
        <w:pict>
          <v:shape id="Image 107" o:spid="_x0000_i2829" type="#_x0000_t75" style="width:668.25pt;height:480pt;visibility:visible;mso-wrap-style:square">
            <v:imagedata r:id="rId95"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08" o:spid="_x0000_i2828" type="#_x0000_t75" style="width:668.25pt;height:461.25pt;visibility:visible;mso-wrap-style:square">
            <v:imagedata r:id="rId96"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8"/>
        </w:rPr>
      </w:pPr>
    </w:p>
    <w:p w:rsidR="005D3F21" w:rsidRDefault="005D3F21" w:rsidP="005D3F21">
      <w:pPr>
        <w:pStyle w:val="BodyText"/>
        <w:ind w:left="665"/>
        <w:rPr>
          <w:sz w:val="20"/>
        </w:rPr>
      </w:pPr>
      <w:r w:rsidRPr="005D3F21">
        <w:rPr>
          <w:noProof/>
          <w:sz w:val="20"/>
          <w:lang w:eastAsia="sr-Latn-RS"/>
        </w:rPr>
        <w:pict>
          <v:shape id="Image 109" o:spid="_x0000_i2827" type="#_x0000_t75" style="width:668.25pt;height:462pt;visibility:visible;mso-wrap-style:square">
            <v:imagedata r:id="rId97"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10" o:spid="_x0000_i2826" type="#_x0000_t75" style="width:668.25pt;height:435pt;visibility:visible;mso-wrap-style:square">
            <v:imagedata r:id="rId98"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8"/>
        </w:rPr>
      </w:pPr>
    </w:p>
    <w:p w:rsidR="005D3F21" w:rsidRDefault="005D3F21" w:rsidP="005D3F21">
      <w:pPr>
        <w:pStyle w:val="BodyText"/>
        <w:ind w:left="665"/>
        <w:rPr>
          <w:sz w:val="20"/>
        </w:rPr>
      </w:pPr>
      <w:r w:rsidRPr="005D3F21">
        <w:rPr>
          <w:noProof/>
          <w:sz w:val="20"/>
          <w:lang w:eastAsia="sr-Latn-RS"/>
        </w:rPr>
        <w:pict>
          <v:shape id="Image 111" o:spid="_x0000_i2825" type="#_x0000_t75" style="width:668.25pt;height:406.5pt;visibility:visible;mso-wrap-style:square">
            <v:imagedata r:id="rId99"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12" o:spid="_x0000_i2824" type="#_x0000_t75" style="width:668.25pt;height:456pt;visibility:visible;mso-wrap-style:square">
            <v:imagedata r:id="rId100"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8"/>
        </w:rPr>
      </w:pPr>
    </w:p>
    <w:p w:rsidR="005D3F21" w:rsidRDefault="005D3F21" w:rsidP="005D3F21">
      <w:pPr>
        <w:pStyle w:val="BodyText"/>
        <w:ind w:left="665"/>
        <w:rPr>
          <w:sz w:val="20"/>
        </w:rPr>
      </w:pPr>
      <w:r w:rsidRPr="005D3F21">
        <w:rPr>
          <w:noProof/>
          <w:sz w:val="20"/>
          <w:lang w:eastAsia="sr-Latn-RS"/>
        </w:rPr>
        <w:pict>
          <v:shape id="Image 113" o:spid="_x0000_i2823" type="#_x0000_t75" style="width:668.25pt;height:6in;visibility:visible;mso-wrap-style:square">
            <v:imagedata r:id="rId101"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14" o:spid="_x0000_i2822" type="#_x0000_t75" style="width:668.25pt;height:465.75pt;visibility:visible;mso-wrap-style:square">
            <v:imagedata r:id="rId102"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5"/>
        <w:rPr>
          <w:sz w:val="8"/>
        </w:rPr>
      </w:pPr>
    </w:p>
    <w:p w:rsidR="005D3F21" w:rsidRDefault="005D3F21" w:rsidP="005D3F21">
      <w:pPr>
        <w:pStyle w:val="BodyText"/>
        <w:ind w:left="675"/>
        <w:rPr>
          <w:sz w:val="20"/>
        </w:rPr>
      </w:pPr>
      <w:r w:rsidRPr="005D3F21">
        <w:rPr>
          <w:noProof/>
          <w:sz w:val="20"/>
          <w:lang w:eastAsia="sr-Latn-RS"/>
        </w:rPr>
        <w:pict>
          <v:shape id="Image 115" o:spid="_x0000_i2821" type="#_x0000_t75" style="width:657pt;height:470.25pt;visibility:visible;mso-wrap-style:square">
            <v:imagedata r:id="rId103"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16" o:spid="_x0000_i2820" type="#_x0000_t75" style="width:668.25pt;height:382.5pt;visibility:visible;mso-wrap-style:square">
            <v:imagedata r:id="rId104"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8"/>
        </w:rPr>
      </w:pPr>
    </w:p>
    <w:p w:rsidR="005D3F21" w:rsidRDefault="005D3F21" w:rsidP="005D3F21">
      <w:pPr>
        <w:pStyle w:val="BodyText"/>
        <w:ind w:left="665"/>
        <w:rPr>
          <w:sz w:val="20"/>
        </w:rPr>
      </w:pPr>
      <w:r w:rsidRPr="005D3F21">
        <w:rPr>
          <w:noProof/>
          <w:sz w:val="20"/>
          <w:lang w:eastAsia="sr-Latn-RS"/>
        </w:rPr>
        <w:pict>
          <v:shape id="Image 117" o:spid="_x0000_i2819" type="#_x0000_t75" style="width:668.25pt;height:469.5pt;visibility:visible;mso-wrap-style:square">
            <v:imagedata r:id="rId105"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18" o:spid="_x0000_i2818" type="#_x0000_t75" style="width:668.25pt;height:402.75pt;visibility:visible;mso-wrap-style:square">
            <v:imagedata r:id="rId106"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8"/>
        </w:rPr>
      </w:pPr>
    </w:p>
    <w:p w:rsidR="005D3F21" w:rsidRDefault="005D3F21" w:rsidP="005D3F21">
      <w:pPr>
        <w:pStyle w:val="BodyText"/>
        <w:ind w:left="665"/>
        <w:rPr>
          <w:sz w:val="20"/>
        </w:rPr>
      </w:pPr>
      <w:r w:rsidRPr="005D3F21">
        <w:rPr>
          <w:noProof/>
          <w:sz w:val="20"/>
          <w:lang w:eastAsia="sr-Latn-RS"/>
        </w:rPr>
        <w:pict>
          <v:shape id="Image 119" o:spid="_x0000_i2817" type="#_x0000_t75" style="width:668.25pt;height:466.5pt;visibility:visible;mso-wrap-style:square">
            <v:imagedata r:id="rId107"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20" o:spid="_x0000_i2816" type="#_x0000_t75" style="width:668.25pt;height:446.25pt;visibility:visible;mso-wrap-style:square">
            <v:imagedata r:id="rId108"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8"/>
        </w:rPr>
      </w:pPr>
    </w:p>
    <w:p w:rsidR="005D3F21" w:rsidRDefault="005D3F21" w:rsidP="005D3F21">
      <w:pPr>
        <w:pStyle w:val="BodyText"/>
        <w:ind w:left="665"/>
        <w:rPr>
          <w:sz w:val="20"/>
        </w:rPr>
      </w:pPr>
      <w:r w:rsidRPr="005D3F21">
        <w:rPr>
          <w:noProof/>
          <w:sz w:val="20"/>
          <w:lang w:eastAsia="sr-Latn-RS"/>
        </w:rPr>
        <w:pict>
          <v:shape id="Image 121" o:spid="_x0000_i2815" type="#_x0000_t75" style="width:668.25pt;height:456pt;visibility:visible;mso-wrap-style:square">
            <v:imagedata r:id="rId109"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22" o:spid="_x0000_i2814" type="#_x0000_t75" style="width:668.25pt;height:466.5pt;visibility:visible;mso-wrap-style:square">
            <v:imagedata r:id="rId110"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8"/>
        </w:rPr>
      </w:pPr>
    </w:p>
    <w:p w:rsidR="005D3F21" w:rsidRDefault="005D3F21" w:rsidP="005D3F21">
      <w:pPr>
        <w:pStyle w:val="BodyText"/>
        <w:ind w:left="665"/>
        <w:rPr>
          <w:sz w:val="20"/>
        </w:rPr>
      </w:pPr>
      <w:r w:rsidRPr="005D3F21">
        <w:rPr>
          <w:noProof/>
          <w:sz w:val="20"/>
          <w:lang w:eastAsia="sr-Latn-RS"/>
        </w:rPr>
        <w:pict>
          <v:shape id="Image 123" o:spid="_x0000_i2813" type="#_x0000_t75" style="width:668.25pt;height:459pt;visibility:visible;mso-wrap-style:square">
            <v:imagedata r:id="rId111"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24" o:spid="_x0000_i2812" type="#_x0000_t75" style="width:668.25pt;height:396.75pt;visibility:visible;mso-wrap-style:square">
            <v:imagedata r:id="rId112"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8"/>
        </w:rPr>
      </w:pPr>
    </w:p>
    <w:p w:rsidR="005D3F21" w:rsidRDefault="005D3F21" w:rsidP="005D3F21">
      <w:pPr>
        <w:pStyle w:val="BodyText"/>
        <w:ind w:left="665"/>
        <w:rPr>
          <w:sz w:val="20"/>
        </w:rPr>
      </w:pPr>
      <w:r w:rsidRPr="005D3F21">
        <w:rPr>
          <w:noProof/>
          <w:sz w:val="20"/>
          <w:lang w:eastAsia="sr-Latn-RS"/>
        </w:rPr>
        <w:pict>
          <v:shape id="Image 125" o:spid="_x0000_i2811" type="#_x0000_t75" style="width:668.25pt;height:460.5pt;visibility:visible;mso-wrap-style:square">
            <v:imagedata r:id="rId113"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665"/>
        <w:rPr>
          <w:sz w:val="20"/>
        </w:rPr>
      </w:pPr>
      <w:r w:rsidRPr="005D3F21">
        <w:rPr>
          <w:noProof/>
          <w:sz w:val="20"/>
          <w:lang w:eastAsia="sr-Latn-RS"/>
        </w:rPr>
        <w:pict>
          <v:shape id="Image 126" o:spid="_x0000_i2810" type="#_x0000_t75" style="width:668.25pt;height:301.5pt;visibility:visible;mso-wrap-style:square">
            <v:imagedata r:id="rId114"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2" w:after="1"/>
        <w:rPr>
          <w:sz w:val="17"/>
        </w:rPr>
      </w:pPr>
    </w:p>
    <w:p w:rsidR="005D3F21" w:rsidRDefault="005D3F21" w:rsidP="005D3F21">
      <w:pPr>
        <w:pStyle w:val="BodyText"/>
        <w:ind w:left="114"/>
        <w:rPr>
          <w:sz w:val="20"/>
        </w:rPr>
      </w:pPr>
      <w:r w:rsidRPr="005D3F21">
        <w:rPr>
          <w:noProof/>
          <w:sz w:val="20"/>
          <w:lang w:eastAsia="sr-Latn-RS"/>
        </w:rPr>
        <w:pict>
          <v:shape id="Image 127" o:spid="_x0000_i2809" type="#_x0000_t75" style="width:720.75pt;height:461.25pt;visibility:visible;mso-wrap-style:square">
            <v:imagedata r:id="rId115"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124"/>
        <w:rPr>
          <w:sz w:val="20"/>
        </w:rPr>
      </w:pPr>
      <w:r w:rsidRPr="005D3F21">
        <w:rPr>
          <w:noProof/>
          <w:sz w:val="20"/>
          <w:lang w:eastAsia="sr-Latn-RS"/>
        </w:rPr>
        <w:pict>
          <v:shape id="Image 128" o:spid="_x0000_i2808" type="#_x0000_t75" style="width:721.5pt;height:445.5pt;visibility:visible;mso-wrap-style:square">
            <v:imagedata r:id="rId116" o:title=""/>
            <o:lock v:ext="edit" aspectratio="f"/>
          </v:shape>
        </w:pict>
      </w:r>
    </w:p>
    <w:p w:rsidR="005D3F21" w:rsidRDefault="005D3F21" w:rsidP="005D3F21">
      <w:pPr>
        <w:rPr>
          <w:sz w:val="20"/>
        </w:rPr>
        <w:sectPr w:rsidR="005D3F21" w:rsidSect="005D3F21">
          <w:pgSz w:w="15690" w:h="12480" w:orient="landscape"/>
          <w:pgMar w:top="1320" w:right="160" w:bottom="280" w:left="660" w:header="720" w:footer="436" w:gutter="0"/>
          <w:cols w:space="720"/>
        </w:sectPr>
      </w:pPr>
    </w:p>
    <w:p w:rsidR="005D3F21" w:rsidRDefault="005D3F21" w:rsidP="005D3F21">
      <w:pPr>
        <w:pStyle w:val="BodyText"/>
        <w:spacing w:before="2" w:after="1"/>
        <w:rPr>
          <w:sz w:val="17"/>
        </w:rPr>
      </w:pPr>
    </w:p>
    <w:p w:rsidR="005D3F21" w:rsidRDefault="005D3F21" w:rsidP="005D3F21">
      <w:pPr>
        <w:pStyle w:val="BodyText"/>
        <w:ind w:left="124"/>
        <w:rPr>
          <w:sz w:val="20"/>
        </w:rPr>
      </w:pPr>
      <w:r w:rsidRPr="005D3F21">
        <w:rPr>
          <w:noProof/>
          <w:sz w:val="20"/>
          <w:lang w:eastAsia="sr-Latn-RS"/>
        </w:rPr>
        <w:pict>
          <v:shape id="Image 129" o:spid="_x0000_i2807" type="#_x0000_t75" style="width:10in;height:450pt;visibility:visible;mso-wrap-style:square">
            <v:imagedata r:id="rId117"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124"/>
        <w:rPr>
          <w:sz w:val="20"/>
        </w:rPr>
      </w:pPr>
      <w:r w:rsidRPr="005D3F21">
        <w:rPr>
          <w:noProof/>
          <w:sz w:val="20"/>
          <w:lang w:eastAsia="sr-Latn-RS"/>
        </w:rPr>
        <w:pict>
          <v:shape id="Image 130" o:spid="_x0000_i2806" type="#_x0000_t75" style="width:721.5pt;height:444pt;visibility:visible;mso-wrap-style:square">
            <v:imagedata r:id="rId118" o:title=""/>
            <o:lock v:ext="edit" aspectratio="f"/>
          </v:shape>
        </w:pict>
      </w:r>
    </w:p>
    <w:p w:rsidR="005D3F21" w:rsidRDefault="005D3F21" w:rsidP="005D3F21">
      <w:pPr>
        <w:rPr>
          <w:sz w:val="20"/>
        </w:rPr>
        <w:sectPr w:rsidR="005D3F21" w:rsidSect="005D3F21">
          <w:pgSz w:w="15690" w:h="12480" w:orient="landscape"/>
          <w:pgMar w:top="1320" w:right="160" w:bottom="280" w:left="660" w:header="720" w:footer="436" w:gutter="0"/>
          <w:cols w:space="720"/>
        </w:sectPr>
      </w:pPr>
    </w:p>
    <w:p w:rsidR="005D3F21" w:rsidRDefault="005D3F21" w:rsidP="005D3F21">
      <w:pPr>
        <w:pStyle w:val="BodyText"/>
        <w:spacing w:before="2" w:after="1"/>
        <w:rPr>
          <w:sz w:val="17"/>
        </w:rPr>
      </w:pPr>
    </w:p>
    <w:p w:rsidR="005D3F21" w:rsidRDefault="005D3F21" w:rsidP="005D3F21">
      <w:pPr>
        <w:pStyle w:val="BodyText"/>
        <w:ind w:left="124"/>
        <w:rPr>
          <w:sz w:val="20"/>
        </w:rPr>
      </w:pPr>
      <w:r w:rsidRPr="005D3F21">
        <w:rPr>
          <w:noProof/>
          <w:sz w:val="20"/>
          <w:lang w:eastAsia="sr-Latn-RS"/>
        </w:rPr>
        <w:pict>
          <v:shape id="Image 131" o:spid="_x0000_i2805" type="#_x0000_t75" style="width:10in;height:466.5pt;visibility:visible;mso-wrap-style:square">
            <v:imagedata r:id="rId119"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124"/>
        <w:rPr>
          <w:sz w:val="20"/>
        </w:rPr>
      </w:pPr>
      <w:r w:rsidRPr="005D3F21">
        <w:rPr>
          <w:noProof/>
          <w:sz w:val="20"/>
          <w:lang w:eastAsia="sr-Latn-RS"/>
        </w:rPr>
        <w:pict>
          <v:shape id="Image 132" o:spid="_x0000_i2804" type="#_x0000_t75" style="width:721.5pt;height:423.75pt;visibility:visible;mso-wrap-style:square">
            <v:imagedata r:id="rId120" o:title=""/>
            <o:lock v:ext="edit" aspectratio="f"/>
          </v:shape>
        </w:pict>
      </w:r>
    </w:p>
    <w:p w:rsidR="005D3F21" w:rsidRDefault="005D3F21" w:rsidP="005D3F21">
      <w:pPr>
        <w:rPr>
          <w:sz w:val="20"/>
        </w:rPr>
        <w:sectPr w:rsidR="005D3F21" w:rsidSect="005D3F21">
          <w:pgSz w:w="15690" w:h="12480" w:orient="landscape"/>
          <w:pgMar w:top="1320" w:right="160" w:bottom="280" w:left="660" w:header="720" w:footer="436" w:gutter="0"/>
          <w:cols w:space="720"/>
        </w:sectPr>
      </w:pPr>
    </w:p>
    <w:p w:rsidR="005D3F21" w:rsidRDefault="005D3F21" w:rsidP="005D3F21">
      <w:pPr>
        <w:pStyle w:val="BodyText"/>
        <w:spacing w:before="2" w:after="1"/>
        <w:rPr>
          <w:sz w:val="17"/>
        </w:rPr>
      </w:pPr>
    </w:p>
    <w:p w:rsidR="005D3F21" w:rsidRDefault="005D3F21" w:rsidP="005D3F21">
      <w:pPr>
        <w:pStyle w:val="BodyText"/>
        <w:ind w:left="124"/>
        <w:rPr>
          <w:sz w:val="20"/>
        </w:rPr>
      </w:pPr>
      <w:r w:rsidRPr="005D3F21">
        <w:rPr>
          <w:noProof/>
          <w:sz w:val="20"/>
          <w:lang w:eastAsia="sr-Latn-RS"/>
        </w:rPr>
        <w:pict>
          <v:shape id="Image 133" o:spid="_x0000_i2803" type="#_x0000_t75" style="width:10in;height:442.5pt;visibility:visible;mso-wrap-style:square">
            <v:imagedata r:id="rId121"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124"/>
        <w:rPr>
          <w:sz w:val="20"/>
        </w:rPr>
      </w:pPr>
      <w:r w:rsidRPr="005D3F21">
        <w:rPr>
          <w:noProof/>
          <w:sz w:val="20"/>
          <w:lang w:eastAsia="sr-Latn-RS"/>
        </w:rPr>
        <w:pict>
          <v:shape id="Image 134" o:spid="_x0000_i2802" type="#_x0000_t75" style="width:721.5pt;height:465pt;visibility:visible;mso-wrap-style:square">
            <v:imagedata r:id="rId122" o:title=""/>
            <o:lock v:ext="edit" aspectratio="f"/>
          </v:shape>
        </w:pict>
      </w:r>
    </w:p>
    <w:p w:rsidR="005D3F21" w:rsidRDefault="005D3F21" w:rsidP="005D3F21">
      <w:pPr>
        <w:rPr>
          <w:sz w:val="20"/>
        </w:rPr>
        <w:sectPr w:rsidR="005D3F21" w:rsidSect="005D3F21">
          <w:pgSz w:w="15690" w:h="12480" w:orient="landscape"/>
          <w:pgMar w:top="1320" w:right="160" w:bottom="280" w:left="660" w:header="720" w:footer="436" w:gutter="0"/>
          <w:cols w:space="720"/>
        </w:sectPr>
      </w:pPr>
    </w:p>
    <w:p w:rsidR="005D3F21" w:rsidRDefault="005D3F21" w:rsidP="005D3F21">
      <w:pPr>
        <w:pStyle w:val="BodyText"/>
        <w:spacing w:before="2" w:after="1"/>
        <w:rPr>
          <w:sz w:val="17"/>
        </w:rPr>
      </w:pPr>
    </w:p>
    <w:p w:rsidR="005D3F21" w:rsidRDefault="005D3F21" w:rsidP="005D3F21">
      <w:pPr>
        <w:pStyle w:val="BodyText"/>
        <w:ind w:left="124"/>
        <w:rPr>
          <w:sz w:val="20"/>
        </w:rPr>
      </w:pPr>
      <w:r w:rsidRPr="005D3F21">
        <w:rPr>
          <w:noProof/>
          <w:sz w:val="20"/>
          <w:lang w:eastAsia="sr-Latn-RS"/>
        </w:rPr>
        <w:pict>
          <v:shape id="Image 135" o:spid="_x0000_i2801" type="#_x0000_t75" style="width:10in;height:334.5pt;visibility:visible;mso-wrap-style:square">
            <v:imagedata r:id="rId123"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490"/>
        <w:rPr>
          <w:sz w:val="20"/>
        </w:rPr>
      </w:pPr>
      <w:r w:rsidRPr="005D3F21">
        <w:rPr>
          <w:noProof/>
          <w:sz w:val="20"/>
          <w:lang w:eastAsia="sr-Latn-RS"/>
        </w:rPr>
        <w:pict>
          <v:shape id="Image 136" o:spid="_x0000_i2800" type="#_x0000_t75" style="width:683.25pt;height:438.75pt;visibility:visible;mso-wrap-style:square">
            <v:imagedata r:id="rId124" o:title=""/>
            <o:lock v:ext="edit" aspectratio="f"/>
          </v:shape>
        </w:pict>
      </w:r>
    </w:p>
    <w:p w:rsidR="005D3F21" w:rsidRDefault="005D3F21" w:rsidP="005D3F21">
      <w:pPr>
        <w:rPr>
          <w:sz w:val="20"/>
        </w:rPr>
        <w:sectPr w:rsidR="005D3F21" w:rsidSect="005D3F21">
          <w:pgSz w:w="15690" w:h="12480" w:orient="landscape"/>
          <w:pgMar w:top="1180" w:right="160" w:bottom="280" w:left="660" w:header="720" w:footer="436" w:gutter="0"/>
          <w:cols w:space="720"/>
        </w:sectPr>
      </w:pPr>
    </w:p>
    <w:p w:rsidR="005D3F21" w:rsidRDefault="005D3F21" w:rsidP="005D3F21">
      <w:pPr>
        <w:pStyle w:val="BodyText"/>
        <w:spacing w:before="5"/>
        <w:rPr>
          <w:sz w:val="5"/>
        </w:rPr>
      </w:pPr>
    </w:p>
    <w:p w:rsidR="005D3F21" w:rsidRDefault="005D3F21" w:rsidP="005D3F21">
      <w:pPr>
        <w:pStyle w:val="BodyText"/>
        <w:ind w:left="490"/>
        <w:rPr>
          <w:sz w:val="20"/>
        </w:rPr>
      </w:pPr>
      <w:r w:rsidRPr="005D3F21">
        <w:rPr>
          <w:noProof/>
          <w:sz w:val="20"/>
          <w:lang w:eastAsia="sr-Latn-RS"/>
        </w:rPr>
        <w:pict>
          <v:shape id="Image 137" o:spid="_x0000_i2799" type="#_x0000_t75" style="width:683.25pt;height:465pt;visibility:visible;mso-wrap-style:square">
            <v:imagedata r:id="rId125"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490"/>
        <w:rPr>
          <w:sz w:val="20"/>
        </w:rPr>
      </w:pPr>
      <w:r w:rsidRPr="005D3F21">
        <w:rPr>
          <w:noProof/>
          <w:sz w:val="20"/>
          <w:lang w:eastAsia="sr-Latn-RS"/>
        </w:rPr>
        <w:pict>
          <v:shape id="Image 138" o:spid="_x0000_i2798" type="#_x0000_t75" style="width:683.25pt;height:450pt;visibility:visible;mso-wrap-style:square">
            <v:imagedata r:id="rId126" o:title=""/>
            <o:lock v:ext="edit" aspectratio="f"/>
          </v:shape>
        </w:pict>
      </w:r>
    </w:p>
    <w:p w:rsidR="005D3F21" w:rsidRDefault="005D3F21" w:rsidP="005D3F21">
      <w:pPr>
        <w:rPr>
          <w:sz w:val="20"/>
        </w:rPr>
        <w:sectPr w:rsidR="005D3F21" w:rsidSect="005D3F21">
          <w:pgSz w:w="15690" w:h="12480" w:orient="landscape"/>
          <w:pgMar w:top="1180" w:right="160" w:bottom="280" w:left="660" w:header="720" w:footer="436" w:gutter="0"/>
          <w:cols w:space="720"/>
        </w:sectPr>
      </w:pPr>
    </w:p>
    <w:p w:rsidR="005D3F21" w:rsidRDefault="005D3F21" w:rsidP="005D3F21">
      <w:pPr>
        <w:pStyle w:val="BodyText"/>
        <w:spacing w:before="5"/>
        <w:rPr>
          <w:sz w:val="5"/>
        </w:rPr>
      </w:pPr>
    </w:p>
    <w:p w:rsidR="005D3F21" w:rsidRDefault="005D3F21" w:rsidP="005D3F21">
      <w:pPr>
        <w:pStyle w:val="BodyText"/>
        <w:ind w:left="490"/>
        <w:rPr>
          <w:sz w:val="20"/>
        </w:rPr>
      </w:pPr>
      <w:r w:rsidRPr="005D3F21">
        <w:rPr>
          <w:noProof/>
          <w:sz w:val="20"/>
          <w:lang w:eastAsia="sr-Latn-RS"/>
        </w:rPr>
        <w:pict>
          <v:shape id="Image 139" o:spid="_x0000_i2797" type="#_x0000_t75" style="width:683.25pt;height:459pt;visibility:visible;mso-wrap-style:square">
            <v:imagedata r:id="rId127"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490"/>
        <w:rPr>
          <w:sz w:val="20"/>
        </w:rPr>
      </w:pPr>
      <w:r w:rsidRPr="005D3F21">
        <w:rPr>
          <w:noProof/>
          <w:sz w:val="20"/>
          <w:lang w:eastAsia="sr-Latn-RS"/>
        </w:rPr>
        <w:pict>
          <v:shape id="Image 140" o:spid="_x0000_i2796" type="#_x0000_t75" style="width:683.25pt;height:461.25pt;visibility:visible;mso-wrap-style:square">
            <v:imagedata r:id="rId128" o:title=""/>
            <o:lock v:ext="edit" aspectratio="f"/>
          </v:shape>
        </w:pict>
      </w:r>
    </w:p>
    <w:p w:rsidR="005D3F21" w:rsidRDefault="005D3F21" w:rsidP="005D3F21">
      <w:pPr>
        <w:rPr>
          <w:sz w:val="20"/>
        </w:rPr>
        <w:sectPr w:rsidR="005D3F21" w:rsidSect="005D3F21">
          <w:pgSz w:w="15690" w:h="12480" w:orient="landscape"/>
          <w:pgMar w:top="1180" w:right="160" w:bottom="280" w:left="660" w:header="720" w:footer="436" w:gutter="0"/>
          <w:cols w:space="720"/>
        </w:sectPr>
      </w:pPr>
    </w:p>
    <w:p w:rsidR="005D3F21" w:rsidRDefault="005D3F21" w:rsidP="005D3F21">
      <w:pPr>
        <w:pStyle w:val="BodyText"/>
        <w:spacing w:before="5"/>
        <w:rPr>
          <w:sz w:val="5"/>
        </w:rPr>
      </w:pPr>
    </w:p>
    <w:p w:rsidR="005D3F21" w:rsidRDefault="005D3F21" w:rsidP="005D3F21">
      <w:pPr>
        <w:pStyle w:val="BodyText"/>
        <w:ind w:left="490"/>
        <w:rPr>
          <w:sz w:val="20"/>
        </w:rPr>
      </w:pPr>
      <w:r w:rsidRPr="005D3F21">
        <w:rPr>
          <w:noProof/>
          <w:sz w:val="20"/>
          <w:lang w:eastAsia="sr-Latn-RS"/>
        </w:rPr>
        <w:pict>
          <v:shape id="Image 141" o:spid="_x0000_i2795" type="#_x0000_t75" style="width:683.25pt;height:480.75pt;visibility:visible;mso-wrap-style:square">
            <v:imagedata r:id="rId129"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490"/>
        <w:rPr>
          <w:sz w:val="20"/>
        </w:rPr>
      </w:pPr>
      <w:r w:rsidRPr="005D3F21">
        <w:rPr>
          <w:noProof/>
          <w:sz w:val="20"/>
          <w:lang w:eastAsia="sr-Latn-RS"/>
        </w:rPr>
        <w:pict>
          <v:shape id="Image 142" o:spid="_x0000_i2794" type="#_x0000_t75" style="width:683.25pt;height:270pt;visibility:visible;mso-wrap-style:square">
            <v:imagedata r:id="rId130" o:title=""/>
            <o:lock v:ext="edit" aspectratio="f"/>
          </v:shape>
        </w:pict>
      </w:r>
    </w:p>
    <w:p w:rsidR="005D3F21" w:rsidRDefault="005D3F21" w:rsidP="005D3F21">
      <w:pPr>
        <w:rPr>
          <w:sz w:val="20"/>
        </w:rPr>
        <w:sectPr w:rsidR="005D3F21" w:rsidSect="005D3F21">
          <w:pgSz w:w="15690" w:h="12480" w:orient="landscape"/>
          <w:pgMar w:top="1180" w:right="160" w:bottom="280" w:left="660" w:header="720" w:footer="436" w:gutter="0"/>
          <w:cols w:space="720"/>
        </w:sectPr>
      </w:pPr>
    </w:p>
    <w:p w:rsidR="005D3F21" w:rsidRDefault="005D3F21" w:rsidP="005D3F21">
      <w:pPr>
        <w:pStyle w:val="BodyText"/>
        <w:spacing w:before="6"/>
        <w:rPr>
          <w:sz w:val="6"/>
        </w:rPr>
      </w:pPr>
    </w:p>
    <w:p w:rsidR="005D3F21" w:rsidRDefault="005D3F21" w:rsidP="005D3F21">
      <w:pPr>
        <w:pStyle w:val="BodyText"/>
        <w:ind w:left="575"/>
        <w:rPr>
          <w:sz w:val="20"/>
        </w:rPr>
      </w:pPr>
      <w:r w:rsidRPr="005D3F21">
        <w:rPr>
          <w:noProof/>
          <w:sz w:val="20"/>
          <w:lang w:eastAsia="sr-Latn-RS"/>
        </w:rPr>
        <w:pict>
          <v:shape id="Image 143" o:spid="_x0000_i2793" type="#_x0000_t75" style="width:675pt;height:430.5pt;visibility:visible;mso-wrap-style:square">
            <v:imagedata r:id="rId131"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585"/>
        <w:rPr>
          <w:sz w:val="20"/>
        </w:rPr>
      </w:pPr>
      <w:r w:rsidRPr="005D3F21">
        <w:rPr>
          <w:noProof/>
          <w:sz w:val="20"/>
          <w:lang w:eastAsia="sr-Latn-RS"/>
        </w:rPr>
        <w:pict>
          <v:shape id="Image 144" o:spid="_x0000_i2792" type="#_x0000_t75" style="width:675pt;height:444.75pt;visibility:visible;mso-wrap-style:square">
            <v:imagedata r:id="rId132"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6"/>
        <w:rPr>
          <w:sz w:val="6"/>
        </w:rPr>
      </w:pPr>
    </w:p>
    <w:p w:rsidR="005D3F21" w:rsidRDefault="005D3F21" w:rsidP="005D3F21">
      <w:pPr>
        <w:pStyle w:val="BodyText"/>
        <w:ind w:left="585"/>
        <w:rPr>
          <w:sz w:val="20"/>
        </w:rPr>
      </w:pPr>
      <w:r w:rsidRPr="005D3F21">
        <w:rPr>
          <w:noProof/>
          <w:sz w:val="20"/>
          <w:lang w:eastAsia="sr-Latn-RS"/>
        </w:rPr>
        <w:pict>
          <v:shape id="Image 145" o:spid="_x0000_i2791" type="#_x0000_t75" style="width:674.25pt;height:468pt;visibility:visible;mso-wrap-style:square">
            <v:imagedata r:id="rId133"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585"/>
        <w:rPr>
          <w:sz w:val="20"/>
        </w:rPr>
      </w:pPr>
      <w:r w:rsidRPr="005D3F21">
        <w:rPr>
          <w:noProof/>
          <w:sz w:val="20"/>
          <w:lang w:eastAsia="sr-Latn-RS"/>
        </w:rPr>
        <w:pict>
          <v:shape id="Image 146" o:spid="_x0000_i2790" type="#_x0000_t75" style="width:675pt;height:477.75pt;visibility:visible;mso-wrap-style:square">
            <v:imagedata r:id="rId134"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6"/>
        <w:rPr>
          <w:sz w:val="6"/>
        </w:rPr>
      </w:pPr>
    </w:p>
    <w:p w:rsidR="005D3F21" w:rsidRDefault="005D3F21" w:rsidP="005D3F21">
      <w:pPr>
        <w:pStyle w:val="BodyText"/>
        <w:ind w:left="585"/>
        <w:rPr>
          <w:sz w:val="20"/>
        </w:rPr>
      </w:pPr>
      <w:r w:rsidRPr="005D3F21">
        <w:rPr>
          <w:noProof/>
          <w:sz w:val="20"/>
          <w:lang w:eastAsia="sr-Latn-RS"/>
        </w:rPr>
        <w:pict>
          <v:shape id="Image 147" o:spid="_x0000_i2789" type="#_x0000_t75" style="width:674.25pt;height:455.25pt;visibility:visible;mso-wrap-style:square">
            <v:imagedata r:id="rId135"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585"/>
        <w:rPr>
          <w:sz w:val="20"/>
        </w:rPr>
      </w:pPr>
      <w:r w:rsidRPr="005D3F21">
        <w:rPr>
          <w:noProof/>
          <w:sz w:val="20"/>
          <w:lang w:eastAsia="sr-Latn-RS"/>
        </w:rPr>
        <w:pict>
          <v:shape id="Image 148" o:spid="_x0000_i2788" type="#_x0000_t75" style="width:675pt;height:444.75pt;visibility:visible;mso-wrap-style:square">
            <v:imagedata r:id="rId136"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6"/>
        <w:rPr>
          <w:sz w:val="6"/>
        </w:rPr>
      </w:pPr>
    </w:p>
    <w:p w:rsidR="005D3F21" w:rsidRDefault="005D3F21" w:rsidP="005D3F21">
      <w:pPr>
        <w:pStyle w:val="BodyText"/>
        <w:ind w:left="585"/>
        <w:rPr>
          <w:sz w:val="20"/>
        </w:rPr>
      </w:pPr>
      <w:r w:rsidRPr="005D3F21">
        <w:rPr>
          <w:noProof/>
          <w:sz w:val="20"/>
          <w:lang w:eastAsia="sr-Latn-RS"/>
        </w:rPr>
        <w:pict>
          <v:shape id="Image 149" o:spid="_x0000_i2787" type="#_x0000_t75" style="width:674.25pt;height:442.5pt;visibility:visible;mso-wrap-style:square">
            <v:imagedata r:id="rId137"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585"/>
        <w:rPr>
          <w:sz w:val="20"/>
        </w:rPr>
      </w:pPr>
      <w:r w:rsidRPr="005D3F21">
        <w:rPr>
          <w:noProof/>
          <w:sz w:val="20"/>
          <w:lang w:eastAsia="sr-Latn-RS"/>
        </w:rPr>
        <w:pict>
          <v:shape id="Image 150" o:spid="_x0000_i2786" type="#_x0000_t75" style="width:675pt;height:419.25pt;visibility:visible;mso-wrap-style:square">
            <v:imagedata r:id="rId138"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6"/>
        <w:rPr>
          <w:sz w:val="6"/>
        </w:rPr>
      </w:pPr>
    </w:p>
    <w:p w:rsidR="005D3F21" w:rsidRDefault="005D3F21" w:rsidP="005D3F21">
      <w:pPr>
        <w:pStyle w:val="BodyText"/>
        <w:ind w:left="585"/>
        <w:rPr>
          <w:sz w:val="20"/>
        </w:rPr>
      </w:pPr>
      <w:r w:rsidRPr="005D3F21">
        <w:rPr>
          <w:noProof/>
          <w:sz w:val="20"/>
          <w:lang w:eastAsia="sr-Latn-RS"/>
        </w:rPr>
        <w:pict>
          <v:shape id="Image 151" o:spid="_x0000_i2785" type="#_x0000_t75" style="width:674.25pt;height:477.75pt;visibility:visible;mso-wrap-style:square">
            <v:imagedata r:id="rId139"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590"/>
        <w:rPr>
          <w:sz w:val="20"/>
        </w:rPr>
      </w:pPr>
      <w:r w:rsidRPr="005D3F21">
        <w:rPr>
          <w:noProof/>
          <w:sz w:val="20"/>
          <w:lang w:eastAsia="sr-Latn-RS"/>
        </w:rPr>
        <w:pict>
          <v:shape id="Image 152" o:spid="_x0000_i2784" type="#_x0000_t75" style="width:663pt;height:465pt;visibility:visible;mso-wrap-style:square">
            <v:imagedata r:id="rId140"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6"/>
        <w:rPr>
          <w:sz w:val="6"/>
        </w:rPr>
      </w:pPr>
    </w:p>
    <w:p w:rsidR="005D3F21" w:rsidRDefault="005D3F21" w:rsidP="005D3F21">
      <w:pPr>
        <w:pStyle w:val="BodyText"/>
        <w:ind w:left="585"/>
        <w:rPr>
          <w:sz w:val="20"/>
        </w:rPr>
      </w:pPr>
      <w:r w:rsidRPr="005D3F21">
        <w:rPr>
          <w:noProof/>
          <w:sz w:val="20"/>
          <w:lang w:eastAsia="sr-Latn-RS"/>
        </w:rPr>
        <w:pict>
          <v:shape id="Image 153" o:spid="_x0000_i2783" type="#_x0000_t75" style="width:674.25pt;height:453pt;visibility:visible;mso-wrap-style:square">
            <v:imagedata r:id="rId141"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585"/>
        <w:rPr>
          <w:sz w:val="20"/>
        </w:rPr>
      </w:pPr>
      <w:r w:rsidRPr="005D3F21">
        <w:rPr>
          <w:noProof/>
          <w:sz w:val="20"/>
          <w:lang w:eastAsia="sr-Latn-RS"/>
        </w:rPr>
        <w:pict>
          <v:shape id="Image 154" o:spid="_x0000_i2782" type="#_x0000_t75" style="width:675pt;height:426.75pt;visibility:visible;mso-wrap-style:square">
            <v:imagedata r:id="rId142"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6"/>
        <w:rPr>
          <w:sz w:val="6"/>
        </w:rPr>
      </w:pPr>
    </w:p>
    <w:p w:rsidR="005D3F21" w:rsidRDefault="005D3F21" w:rsidP="005D3F21">
      <w:pPr>
        <w:pStyle w:val="BodyText"/>
        <w:ind w:left="585"/>
        <w:rPr>
          <w:sz w:val="20"/>
        </w:rPr>
      </w:pPr>
      <w:r w:rsidRPr="005D3F21">
        <w:rPr>
          <w:noProof/>
          <w:sz w:val="20"/>
          <w:lang w:eastAsia="sr-Latn-RS"/>
        </w:rPr>
        <w:pict>
          <v:shape id="Image 155" o:spid="_x0000_i2781" type="#_x0000_t75" style="width:674.25pt;height:468pt;visibility:visible;mso-wrap-style:square">
            <v:imagedata r:id="rId143"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585"/>
        <w:rPr>
          <w:sz w:val="20"/>
        </w:rPr>
      </w:pPr>
      <w:r w:rsidRPr="005D3F21">
        <w:rPr>
          <w:noProof/>
          <w:sz w:val="20"/>
          <w:lang w:eastAsia="sr-Latn-RS"/>
        </w:rPr>
        <w:pict>
          <v:shape id="Image 156" o:spid="_x0000_i2780" type="#_x0000_t75" style="width:675pt;height:473.25pt;visibility:visible;mso-wrap-style:square">
            <v:imagedata r:id="rId144"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6"/>
        <w:rPr>
          <w:sz w:val="6"/>
        </w:rPr>
      </w:pPr>
    </w:p>
    <w:p w:rsidR="005D3F21" w:rsidRDefault="005D3F21" w:rsidP="005D3F21">
      <w:pPr>
        <w:pStyle w:val="BodyText"/>
        <w:ind w:left="585"/>
        <w:rPr>
          <w:sz w:val="20"/>
        </w:rPr>
      </w:pPr>
      <w:r w:rsidRPr="005D3F21">
        <w:rPr>
          <w:noProof/>
          <w:sz w:val="20"/>
          <w:lang w:eastAsia="sr-Latn-RS"/>
        </w:rPr>
        <w:pict>
          <v:shape id="Image 157" o:spid="_x0000_i2779" type="#_x0000_t75" style="width:674.25pt;height:429pt;visibility:visible;mso-wrap-style:square">
            <v:imagedata r:id="rId145"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585"/>
        <w:rPr>
          <w:sz w:val="20"/>
        </w:rPr>
      </w:pPr>
      <w:r w:rsidRPr="005D3F21">
        <w:rPr>
          <w:noProof/>
          <w:sz w:val="20"/>
          <w:lang w:eastAsia="sr-Latn-RS"/>
        </w:rPr>
        <w:pict>
          <v:shape id="Image 158" o:spid="_x0000_i2778" type="#_x0000_t75" style="width:675pt;height:479.25pt;visibility:visible;mso-wrap-style:square">
            <v:imagedata r:id="rId146"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6"/>
        <w:rPr>
          <w:sz w:val="6"/>
        </w:rPr>
      </w:pPr>
    </w:p>
    <w:p w:rsidR="005D3F21" w:rsidRDefault="005D3F21" w:rsidP="005D3F21">
      <w:pPr>
        <w:pStyle w:val="BodyText"/>
        <w:ind w:left="585"/>
        <w:rPr>
          <w:sz w:val="20"/>
        </w:rPr>
      </w:pPr>
      <w:r w:rsidRPr="005D3F21">
        <w:rPr>
          <w:noProof/>
          <w:sz w:val="20"/>
          <w:lang w:eastAsia="sr-Latn-RS"/>
        </w:rPr>
        <w:pict>
          <v:shape id="Image 159" o:spid="_x0000_i2777" type="#_x0000_t75" style="width:674.25pt;height:473.25pt;visibility:visible;mso-wrap-style:square">
            <v:imagedata r:id="rId147"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585"/>
        <w:rPr>
          <w:sz w:val="20"/>
        </w:rPr>
      </w:pPr>
      <w:r w:rsidRPr="005D3F21">
        <w:rPr>
          <w:noProof/>
          <w:sz w:val="20"/>
          <w:lang w:eastAsia="sr-Latn-RS"/>
        </w:rPr>
        <w:pict>
          <v:shape id="Image 160" o:spid="_x0000_i2776" type="#_x0000_t75" style="width:675pt;height:454.5pt;visibility:visible;mso-wrap-style:square">
            <v:imagedata r:id="rId148"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spacing w:before="6"/>
        <w:rPr>
          <w:sz w:val="6"/>
        </w:rPr>
      </w:pPr>
    </w:p>
    <w:p w:rsidR="005D3F21" w:rsidRDefault="005D3F21" w:rsidP="005D3F21">
      <w:pPr>
        <w:pStyle w:val="BodyText"/>
        <w:ind w:left="585"/>
        <w:rPr>
          <w:sz w:val="20"/>
        </w:rPr>
      </w:pPr>
      <w:r w:rsidRPr="005D3F21">
        <w:rPr>
          <w:noProof/>
          <w:sz w:val="20"/>
          <w:lang w:eastAsia="sr-Latn-RS"/>
        </w:rPr>
        <w:pict>
          <v:shape id="Image 161" o:spid="_x0000_i2775" type="#_x0000_t75" style="width:674.25pt;height:450pt;visibility:visible;mso-wrap-style:square">
            <v:imagedata r:id="rId149"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585"/>
        <w:rPr>
          <w:sz w:val="20"/>
        </w:rPr>
      </w:pPr>
      <w:r w:rsidRPr="005D3F21">
        <w:rPr>
          <w:noProof/>
          <w:sz w:val="20"/>
          <w:lang w:eastAsia="sr-Latn-RS"/>
        </w:rPr>
        <w:pict>
          <v:shape id="Image 162" o:spid="_x0000_i2774" type="#_x0000_t75" style="width:681.75pt;height:37.5pt;visibility:visible;mso-wrap-style:square">
            <v:imagedata r:id="rId150" o:title=""/>
            <o:lock v:ext="edit" aspectratio="f"/>
          </v:shape>
        </w:pict>
      </w:r>
    </w:p>
    <w:p w:rsidR="005D3F21" w:rsidRDefault="005D3F21" w:rsidP="005D3F21">
      <w:pPr>
        <w:rPr>
          <w:sz w:val="20"/>
        </w:rPr>
        <w:sectPr w:rsidR="005D3F21" w:rsidSect="005D3F21">
          <w:pgSz w:w="15690" w:h="12480" w:orient="landscape"/>
          <w:pgMar w:top="1200" w:right="160" w:bottom="280" w:left="660" w:header="720" w:footer="436" w:gutter="0"/>
          <w:cols w:space="720"/>
        </w:sectPr>
      </w:pPr>
    </w:p>
    <w:p w:rsidR="005D3F21" w:rsidRDefault="005D3F21" w:rsidP="005D3F21">
      <w:pPr>
        <w:pStyle w:val="BodyText"/>
        <w:rPr>
          <w:sz w:val="15"/>
        </w:rPr>
      </w:pPr>
    </w:p>
    <w:p w:rsidR="005D3F21" w:rsidRDefault="005D3F21" w:rsidP="005D3F21">
      <w:pPr>
        <w:pStyle w:val="BodyText"/>
        <w:ind w:left="124"/>
        <w:rPr>
          <w:sz w:val="20"/>
        </w:rPr>
      </w:pPr>
      <w:r w:rsidRPr="005D3F21">
        <w:rPr>
          <w:noProof/>
          <w:sz w:val="20"/>
          <w:lang w:eastAsia="sr-Latn-RS"/>
        </w:rPr>
        <w:pict>
          <v:shape id="Image 163" o:spid="_x0000_i2773" type="#_x0000_t75" style="width:719.25pt;height:439.5pt;visibility:visible;mso-wrap-style:square">
            <v:imagedata r:id="rId151"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124"/>
        <w:rPr>
          <w:sz w:val="20"/>
        </w:rPr>
      </w:pPr>
      <w:r w:rsidRPr="005D3F21">
        <w:rPr>
          <w:noProof/>
          <w:sz w:val="20"/>
          <w:lang w:eastAsia="sr-Latn-RS"/>
        </w:rPr>
        <w:pict>
          <v:shape id="Image 164" o:spid="_x0000_i2772" type="#_x0000_t75" style="width:719.25pt;height:471pt;visibility:visible;mso-wrap-style:square">
            <v:imagedata r:id="rId152" o:title=""/>
            <o:lock v:ext="edit" aspectratio="f"/>
          </v:shape>
        </w:pict>
      </w:r>
    </w:p>
    <w:p w:rsidR="005D3F21" w:rsidRDefault="005D3F21" w:rsidP="005D3F21">
      <w:pPr>
        <w:rPr>
          <w:sz w:val="20"/>
        </w:rPr>
        <w:sectPr w:rsidR="005D3F21" w:rsidSect="005D3F21">
          <w:pgSz w:w="15690" w:h="12480" w:orient="landscape"/>
          <w:pgMar w:top="1280" w:right="160" w:bottom="280" w:left="660" w:header="720" w:footer="436" w:gutter="0"/>
          <w:cols w:space="720"/>
        </w:sectPr>
      </w:pPr>
    </w:p>
    <w:p w:rsidR="005D3F21" w:rsidRDefault="005D3F21" w:rsidP="005D3F21">
      <w:pPr>
        <w:pStyle w:val="BodyText"/>
        <w:spacing w:before="2"/>
        <w:rPr>
          <w:sz w:val="14"/>
        </w:rPr>
      </w:pPr>
    </w:p>
    <w:p w:rsidR="005D3F21" w:rsidRDefault="005D3F21" w:rsidP="005D3F21">
      <w:pPr>
        <w:pStyle w:val="BodyText"/>
        <w:ind w:left="124"/>
        <w:rPr>
          <w:sz w:val="20"/>
        </w:rPr>
      </w:pPr>
      <w:r w:rsidRPr="005D3F21">
        <w:rPr>
          <w:noProof/>
          <w:sz w:val="20"/>
          <w:lang w:eastAsia="sr-Latn-RS"/>
        </w:rPr>
        <w:pict>
          <v:shape id="Image 165" o:spid="_x0000_i2771" type="#_x0000_t75" style="width:719.25pt;height:448.5pt;visibility:visible;mso-wrap-style:square">
            <v:imagedata r:id="rId153"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124"/>
        <w:rPr>
          <w:sz w:val="20"/>
        </w:rPr>
      </w:pPr>
      <w:r w:rsidRPr="005D3F21">
        <w:rPr>
          <w:noProof/>
          <w:sz w:val="20"/>
          <w:lang w:eastAsia="sr-Latn-RS"/>
        </w:rPr>
        <w:pict>
          <v:shape id="Image 166" o:spid="_x0000_i2770" type="#_x0000_t75" style="width:719.25pt;height:459pt;visibility:visible;mso-wrap-style:square">
            <v:imagedata r:id="rId154" o:title=""/>
            <o:lock v:ext="edit" aspectratio="f"/>
          </v:shape>
        </w:pict>
      </w:r>
    </w:p>
    <w:p w:rsidR="005D3F21" w:rsidRDefault="005D3F21" w:rsidP="005D3F21">
      <w:pPr>
        <w:rPr>
          <w:sz w:val="20"/>
        </w:rPr>
        <w:sectPr w:rsidR="005D3F21" w:rsidSect="005D3F21">
          <w:pgSz w:w="15690" w:h="12480" w:orient="landscape"/>
          <w:pgMar w:top="1280" w:right="160" w:bottom="280" w:left="660" w:header="720" w:footer="436" w:gutter="0"/>
          <w:cols w:space="720"/>
        </w:sectPr>
      </w:pPr>
    </w:p>
    <w:p w:rsidR="005D3F21" w:rsidRDefault="005D3F21" w:rsidP="005D3F21">
      <w:pPr>
        <w:pStyle w:val="BodyText"/>
        <w:spacing w:before="2"/>
        <w:rPr>
          <w:sz w:val="14"/>
        </w:rPr>
      </w:pPr>
    </w:p>
    <w:p w:rsidR="005D3F21" w:rsidRDefault="005D3F21" w:rsidP="005D3F21">
      <w:pPr>
        <w:pStyle w:val="BodyText"/>
        <w:ind w:left="124"/>
        <w:rPr>
          <w:sz w:val="20"/>
        </w:rPr>
      </w:pPr>
      <w:r w:rsidRPr="005D3F21">
        <w:rPr>
          <w:noProof/>
          <w:sz w:val="20"/>
          <w:lang w:eastAsia="sr-Latn-RS"/>
        </w:rPr>
        <w:pict>
          <v:shape id="Image 167" o:spid="_x0000_i2769" type="#_x0000_t75" style="width:719.25pt;height:461.25pt;visibility:visible;mso-wrap-style:square">
            <v:imagedata r:id="rId155"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124"/>
        <w:rPr>
          <w:sz w:val="20"/>
        </w:rPr>
      </w:pPr>
      <w:r w:rsidRPr="005D3F21">
        <w:rPr>
          <w:noProof/>
          <w:sz w:val="20"/>
          <w:lang w:eastAsia="sr-Latn-RS"/>
        </w:rPr>
        <w:pict>
          <v:shape id="Image 168" o:spid="_x0000_i2768" type="#_x0000_t75" style="width:719.25pt;height:472.5pt;visibility:visible;mso-wrap-style:square">
            <v:imagedata r:id="rId156" o:title=""/>
            <o:lock v:ext="edit" aspectratio="f"/>
          </v:shape>
        </w:pict>
      </w:r>
    </w:p>
    <w:p w:rsidR="005D3F21" w:rsidRDefault="005D3F21" w:rsidP="005D3F21">
      <w:pPr>
        <w:rPr>
          <w:sz w:val="20"/>
        </w:rPr>
        <w:sectPr w:rsidR="005D3F21" w:rsidSect="005D3F21">
          <w:pgSz w:w="15690" w:h="12480" w:orient="landscape"/>
          <w:pgMar w:top="1280" w:right="160" w:bottom="280" w:left="660" w:header="720" w:footer="436" w:gutter="0"/>
          <w:cols w:space="720"/>
        </w:sectPr>
      </w:pPr>
    </w:p>
    <w:p w:rsidR="005D3F21" w:rsidRDefault="005D3F21" w:rsidP="005D3F21">
      <w:pPr>
        <w:pStyle w:val="BodyText"/>
        <w:spacing w:before="2"/>
        <w:rPr>
          <w:sz w:val="14"/>
        </w:rPr>
      </w:pPr>
    </w:p>
    <w:p w:rsidR="005D3F21" w:rsidRDefault="005D3F21" w:rsidP="005D3F21">
      <w:pPr>
        <w:pStyle w:val="BodyText"/>
        <w:ind w:left="124"/>
        <w:rPr>
          <w:sz w:val="20"/>
        </w:rPr>
      </w:pPr>
      <w:r w:rsidRPr="005D3F21">
        <w:rPr>
          <w:noProof/>
          <w:sz w:val="20"/>
          <w:lang w:eastAsia="sr-Latn-RS"/>
        </w:rPr>
        <w:pict>
          <v:shape id="Image 169" o:spid="_x0000_i2767" type="#_x0000_t75" style="width:719.25pt;height:463.5pt;visibility:visible;mso-wrap-style:square">
            <v:imagedata r:id="rId157"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124"/>
        <w:rPr>
          <w:sz w:val="20"/>
        </w:rPr>
      </w:pPr>
      <w:r w:rsidRPr="005D3F21">
        <w:rPr>
          <w:noProof/>
          <w:sz w:val="20"/>
          <w:lang w:eastAsia="sr-Latn-RS"/>
        </w:rPr>
        <w:pict>
          <v:shape id="Image 170" o:spid="_x0000_i2766" type="#_x0000_t75" style="width:719.25pt;height:450.75pt;visibility:visible;mso-wrap-style:square">
            <v:imagedata r:id="rId158" o:title=""/>
            <o:lock v:ext="edit" aspectratio="f"/>
          </v:shape>
        </w:pict>
      </w:r>
    </w:p>
    <w:p w:rsidR="005D3F21" w:rsidRDefault="005D3F21" w:rsidP="005D3F21">
      <w:pPr>
        <w:rPr>
          <w:sz w:val="20"/>
        </w:rPr>
        <w:sectPr w:rsidR="005D3F21" w:rsidSect="005D3F21">
          <w:pgSz w:w="15690" w:h="12480" w:orient="landscape"/>
          <w:pgMar w:top="1280" w:right="160" w:bottom="280" w:left="660" w:header="720" w:footer="436" w:gutter="0"/>
          <w:cols w:space="720"/>
        </w:sectPr>
      </w:pPr>
    </w:p>
    <w:p w:rsidR="005D3F21" w:rsidRDefault="005D3F21" w:rsidP="005D3F21">
      <w:pPr>
        <w:pStyle w:val="BodyText"/>
        <w:spacing w:before="2"/>
        <w:rPr>
          <w:sz w:val="14"/>
        </w:rPr>
      </w:pPr>
    </w:p>
    <w:p w:rsidR="005D3F21" w:rsidRDefault="005D3F21" w:rsidP="005D3F21">
      <w:pPr>
        <w:pStyle w:val="BodyText"/>
        <w:ind w:left="124"/>
        <w:rPr>
          <w:sz w:val="20"/>
        </w:rPr>
      </w:pPr>
      <w:r w:rsidRPr="005D3F21">
        <w:rPr>
          <w:noProof/>
          <w:sz w:val="20"/>
          <w:lang w:eastAsia="sr-Latn-RS"/>
        </w:rPr>
        <w:pict>
          <v:shape id="Image 171" o:spid="_x0000_i2765" type="#_x0000_t75" style="width:719.25pt;height:461.25pt;visibility:visible;mso-wrap-style:square">
            <v:imagedata r:id="rId159" o:title=""/>
            <o:lock v:ext="edit" aspectratio="f"/>
          </v:shape>
        </w:pict>
      </w:r>
    </w:p>
    <w:p w:rsidR="005D3F21" w:rsidRDefault="005D3F21" w:rsidP="005D3F21">
      <w:pPr>
        <w:rPr>
          <w:sz w:val="20"/>
        </w:rPr>
        <w:sectPr w:rsidR="005D3F21" w:rsidSect="005D3F21">
          <w:pgSz w:w="15690" w:h="12480" w:orient="landscape"/>
          <w:pgMar w:top="1400" w:right="160" w:bottom="280" w:left="660" w:header="720" w:footer="436" w:gutter="0"/>
          <w:cols w:space="720"/>
        </w:sectPr>
      </w:pPr>
    </w:p>
    <w:p w:rsidR="005D3F21" w:rsidRDefault="005D3F21" w:rsidP="005D3F21">
      <w:pPr>
        <w:pStyle w:val="BodyText"/>
        <w:ind w:left="124"/>
        <w:rPr>
          <w:sz w:val="20"/>
        </w:rPr>
      </w:pPr>
      <w:r w:rsidRPr="005D3F21">
        <w:rPr>
          <w:noProof/>
          <w:sz w:val="20"/>
          <w:lang w:eastAsia="sr-Latn-RS"/>
        </w:rPr>
        <w:pict>
          <v:shape id="Image 172" o:spid="_x0000_i2764" type="#_x0000_t75" style="width:719.25pt;height:360.75pt;visibility:visible;mso-wrap-style:square">
            <v:imagedata r:id="rId160" o:title=""/>
            <o:lock v:ext="edit" aspectratio="f"/>
          </v:shape>
        </w:pict>
      </w:r>
    </w:p>
    <w:p w:rsidR="005D3F21" w:rsidRPr="005D3F21" w:rsidRDefault="005D3F21" w:rsidP="00497C37">
      <w:pPr>
        <w:rPr>
          <w:rFonts w:ascii="Arial" w:hAnsi="Arial" w:cs="Arial"/>
        </w:rPr>
      </w:pPr>
    </w:p>
    <w:sectPr w:rsidR="005D3F21" w:rsidRPr="005D3F21" w:rsidSect="005D3F21">
      <w:pgSz w:w="15600" w:h="12480" w:orient="landscape"/>
      <w:pgMar w:top="740" w:right="300" w:bottom="800" w:left="280" w:header="720" w:footer="436"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5D54" w:rsidRDefault="00095D54" w:rsidP="00861E00">
      <w:r>
        <w:separator/>
      </w:r>
    </w:p>
  </w:endnote>
  <w:endnote w:type="continuationSeparator" w:id="0">
    <w:p w:rsidR="00095D54" w:rsidRDefault="00095D54" w:rsidP="00861E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4000ACFF" w:usb2="00000001" w:usb3="00000000" w:csb0="000001FF" w:csb1="00000000"/>
  </w:font>
  <w:font w:name="Times New Roman">
    <w:panose1 w:val="02020603050405020304"/>
    <w:charset w:val="EE"/>
    <w:family w:val="roman"/>
    <w:pitch w:val="variable"/>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3F21" w:rsidRPr="005D3F21" w:rsidRDefault="005D3F21">
    <w:pPr>
      <w:pStyle w:val="Footer"/>
      <w:jc w:val="center"/>
      <w:rPr>
        <w:caps/>
        <w:color w:val="5B9BD5"/>
      </w:rPr>
    </w:pPr>
    <w:r w:rsidRPr="005D3F21">
      <w:rPr>
        <w:caps/>
        <w:noProof w:val="0"/>
        <w:color w:val="5B9BD5"/>
      </w:rPr>
      <w:fldChar w:fldCharType="begin"/>
    </w:r>
    <w:r w:rsidRPr="005D3F21">
      <w:rPr>
        <w:caps/>
        <w:color w:val="5B9BD5"/>
      </w:rPr>
      <w:instrText xml:space="preserve"> PAGE   \* MERGEFORMAT </w:instrText>
    </w:r>
    <w:r w:rsidRPr="005D3F21">
      <w:rPr>
        <w:caps/>
        <w:noProof w:val="0"/>
        <w:color w:val="5B9BD5"/>
      </w:rPr>
      <w:fldChar w:fldCharType="separate"/>
    </w:r>
    <w:r w:rsidR="00095D54">
      <w:rPr>
        <w:caps/>
        <w:color w:val="5B9BD5"/>
      </w:rPr>
      <w:t>1</w:t>
    </w:r>
    <w:r w:rsidRPr="005D3F21">
      <w:rPr>
        <w:caps/>
        <w:color w:val="5B9BD5"/>
      </w:rPr>
      <w:fldChar w:fldCharType="end"/>
    </w:r>
  </w:p>
  <w:p w:rsidR="005D3F21" w:rsidRDefault="005D3F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5D54" w:rsidRDefault="00095D54" w:rsidP="00861E00">
      <w:r>
        <w:separator/>
      </w:r>
    </w:p>
  </w:footnote>
  <w:footnote w:type="continuationSeparator" w:id="0">
    <w:p w:rsidR="00095D54" w:rsidRDefault="00095D54" w:rsidP="00861E0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oNotTrackMoves/>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13326"/>
    <w:rsid w:val="00095D54"/>
    <w:rsid w:val="00251BA3"/>
    <w:rsid w:val="00492E80"/>
    <w:rsid w:val="00497C37"/>
    <w:rsid w:val="004F2348"/>
    <w:rsid w:val="004F5E00"/>
    <w:rsid w:val="00557D63"/>
    <w:rsid w:val="005A0313"/>
    <w:rsid w:val="005D3F21"/>
    <w:rsid w:val="00615742"/>
    <w:rsid w:val="006557FD"/>
    <w:rsid w:val="006D6D76"/>
    <w:rsid w:val="006F57FC"/>
    <w:rsid w:val="007F029C"/>
    <w:rsid w:val="00806E64"/>
    <w:rsid w:val="00861E00"/>
    <w:rsid w:val="00944E3C"/>
    <w:rsid w:val="009512D3"/>
    <w:rsid w:val="00A31AF5"/>
    <w:rsid w:val="00C44581"/>
    <w:rsid w:val="00D13326"/>
    <w:rsid w:val="00D50D91"/>
    <w:rsid w:val="00E04516"/>
    <w:rsid w:val="00E42669"/>
    <w:rsid w:val="00ED6A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BCA3FA"/>
  <w15:chartTrackingRefBased/>
  <w15:docId w15:val="{C5853B72-347B-45C2-A0DB-F160BD527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13326"/>
    <w:pPr>
      <w:contextualSpacing/>
    </w:pPr>
    <w:rPr>
      <w:rFonts w:ascii="Times New Roman" w:hAnsi="Times New Roman"/>
      <w:noProof/>
      <w:sz w:val="18"/>
      <w:szCs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styleId="Header">
    <w:name w:val="header"/>
    <w:basedOn w:val="Normal"/>
    <w:link w:val="HeaderChar"/>
    <w:uiPriority w:val="99"/>
    <w:unhideWhenUsed/>
    <w:rsid w:val="00861E00"/>
    <w:pPr>
      <w:tabs>
        <w:tab w:val="center" w:pos="4536"/>
        <w:tab w:val="right" w:pos="9072"/>
      </w:tabs>
    </w:pPr>
  </w:style>
  <w:style w:type="character" w:customStyle="1" w:styleId="HeaderChar">
    <w:name w:val="Header Char"/>
    <w:link w:val="Header"/>
    <w:uiPriority w:val="99"/>
    <w:rsid w:val="00861E00"/>
    <w:rPr>
      <w:rFonts w:ascii="Times New Roman" w:hAnsi="Times New Roman"/>
      <w:noProof/>
      <w:sz w:val="18"/>
      <w:szCs w:val="18"/>
      <w:lang w:eastAsia="en-US"/>
    </w:rPr>
  </w:style>
  <w:style w:type="paragraph" w:styleId="Footer">
    <w:name w:val="footer"/>
    <w:basedOn w:val="Normal"/>
    <w:link w:val="FooterChar"/>
    <w:uiPriority w:val="99"/>
    <w:unhideWhenUsed/>
    <w:rsid w:val="00861E00"/>
    <w:pPr>
      <w:tabs>
        <w:tab w:val="center" w:pos="4536"/>
        <w:tab w:val="right" w:pos="9072"/>
      </w:tabs>
    </w:pPr>
  </w:style>
  <w:style w:type="character" w:customStyle="1" w:styleId="FooterChar">
    <w:name w:val="Footer Char"/>
    <w:link w:val="Footer"/>
    <w:uiPriority w:val="99"/>
    <w:rsid w:val="00861E00"/>
    <w:rPr>
      <w:rFonts w:ascii="Times New Roman" w:hAnsi="Times New Roman"/>
      <w:noProof/>
      <w:sz w:val="18"/>
      <w:szCs w:val="18"/>
      <w:lang w:eastAsia="en-US"/>
    </w:rPr>
  </w:style>
  <w:style w:type="numbering" w:customStyle="1" w:styleId="NoList1">
    <w:name w:val="No List1"/>
    <w:next w:val="NoList"/>
    <w:uiPriority w:val="99"/>
    <w:semiHidden/>
    <w:unhideWhenUsed/>
    <w:rsid w:val="005D3F21"/>
  </w:style>
  <w:style w:type="paragraph" w:customStyle="1" w:styleId="msonormal0">
    <w:name w:val="msonormal"/>
    <w:basedOn w:val="Normal"/>
    <w:rsid w:val="005D3F21"/>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old">
    <w:name w:val="bold"/>
    <w:basedOn w:val="Normal"/>
    <w:rsid w:val="005D3F21"/>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bold1">
    <w:name w:val="bold1"/>
    <w:rsid w:val="005D3F21"/>
  </w:style>
  <w:style w:type="paragraph" w:customStyle="1" w:styleId="italik">
    <w:name w:val="italik"/>
    <w:basedOn w:val="Normal"/>
    <w:rsid w:val="005D3F21"/>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superscript">
    <w:name w:val="superscript"/>
    <w:rsid w:val="005D3F21"/>
  </w:style>
  <w:style w:type="character" w:styleId="Hyperlink">
    <w:name w:val="Hyperlink"/>
    <w:uiPriority w:val="99"/>
    <w:semiHidden/>
    <w:unhideWhenUsed/>
    <w:rsid w:val="005D3F21"/>
    <w:rPr>
      <w:color w:val="0000FF"/>
      <w:u w:val="single"/>
    </w:rPr>
  </w:style>
  <w:style w:type="character" w:styleId="FollowedHyperlink">
    <w:name w:val="FollowedHyperlink"/>
    <w:uiPriority w:val="99"/>
    <w:semiHidden/>
    <w:unhideWhenUsed/>
    <w:rsid w:val="005D3F21"/>
    <w:rPr>
      <w:color w:val="800080"/>
      <w:u w:val="single"/>
    </w:rPr>
  </w:style>
  <w:style w:type="character" w:customStyle="1" w:styleId="italik1">
    <w:name w:val="italik1"/>
    <w:rsid w:val="005D3F21"/>
  </w:style>
  <w:style w:type="paragraph" w:customStyle="1" w:styleId="tabela">
    <w:name w:val="tabela"/>
    <w:basedOn w:val="Normal"/>
    <w:rsid w:val="005D3F21"/>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f">
    <w:name w:val="f"/>
    <w:basedOn w:val="Normal"/>
    <w:rsid w:val="005D3F21"/>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footnote">
    <w:name w:val="footnote"/>
    <w:basedOn w:val="Normal"/>
    <w:rsid w:val="005D3F21"/>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spacija">
    <w:name w:val="spacija"/>
    <w:basedOn w:val="Normal"/>
    <w:rsid w:val="005D3F21"/>
    <w:pPr>
      <w:spacing w:before="100" w:beforeAutospacing="1" w:after="100" w:afterAutospacing="1"/>
      <w:contextualSpacing w:val="0"/>
    </w:pPr>
    <w:rPr>
      <w:rFonts w:ascii="Arial" w:eastAsia="Times New Roman" w:hAnsi="Arial" w:cs="Arial"/>
      <w:noProof w:val="0"/>
      <w:sz w:val="20"/>
      <w:szCs w:val="20"/>
      <w:lang w:eastAsia="sr-Latn-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2568997">
      <w:bodyDiv w:val="1"/>
      <w:marLeft w:val="0"/>
      <w:marRight w:val="0"/>
      <w:marTop w:val="0"/>
      <w:marBottom w:val="0"/>
      <w:divBdr>
        <w:top w:val="none" w:sz="0" w:space="0" w:color="auto"/>
        <w:left w:val="none" w:sz="0" w:space="0" w:color="auto"/>
        <w:bottom w:val="none" w:sz="0" w:space="0" w:color="auto"/>
        <w:right w:val="none" w:sz="0" w:space="0" w:color="auto"/>
      </w:divBdr>
      <w:divsChild>
        <w:div w:id="824469567">
          <w:marLeft w:val="0"/>
          <w:marRight w:val="0"/>
          <w:marTop w:val="0"/>
          <w:marBottom w:val="0"/>
          <w:divBdr>
            <w:top w:val="none" w:sz="0" w:space="0" w:color="auto"/>
            <w:left w:val="none" w:sz="0" w:space="0" w:color="auto"/>
            <w:bottom w:val="none" w:sz="0" w:space="0" w:color="auto"/>
            <w:right w:val="none" w:sz="0" w:space="0" w:color="auto"/>
          </w:divBdr>
        </w:div>
        <w:div w:id="1381855144">
          <w:marLeft w:val="0"/>
          <w:marRight w:val="0"/>
          <w:marTop w:val="0"/>
          <w:marBottom w:val="0"/>
          <w:divBdr>
            <w:top w:val="none" w:sz="0" w:space="0" w:color="auto"/>
            <w:left w:val="none" w:sz="0" w:space="0" w:color="auto"/>
            <w:bottom w:val="none" w:sz="0" w:space="0" w:color="auto"/>
            <w:right w:val="none" w:sz="0" w:space="0" w:color="auto"/>
          </w:divBdr>
        </w:div>
        <w:div w:id="442962661">
          <w:marLeft w:val="0"/>
          <w:marRight w:val="0"/>
          <w:marTop w:val="0"/>
          <w:marBottom w:val="0"/>
          <w:divBdr>
            <w:top w:val="none" w:sz="0" w:space="0" w:color="auto"/>
            <w:left w:val="none" w:sz="0" w:space="0" w:color="auto"/>
            <w:bottom w:val="none" w:sz="0" w:space="0" w:color="auto"/>
            <w:right w:val="none" w:sz="0" w:space="0" w:color="auto"/>
          </w:divBdr>
        </w:div>
        <w:div w:id="1776097058">
          <w:marLeft w:val="0"/>
          <w:marRight w:val="0"/>
          <w:marTop w:val="0"/>
          <w:marBottom w:val="0"/>
          <w:divBdr>
            <w:top w:val="none" w:sz="0" w:space="0" w:color="auto"/>
            <w:left w:val="none" w:sz="0" w:space="0" w:color="auto"/>
            <w:bottom w:val="none" w:sz="0" w:space="0" w:color="auto"/>
            <w:right w:val="none" w:sz="0" w:space="0" w:color="auto"/>
          </w:divBdr>
        </w:div>
        <w:div w:id="2139178294">
          <w:marLeft w:val="0"/>
          <w:marRight w:val="0"/>
          <w:marTop w:val="0"/>
          <w:marBottom w:val="0"/>
          <w:divBdr>
            <w:top w:val="none" w:sz="0" w:space="0" w:color="auto"/>
            <w:left w:val="none" w:sz="0" w:space="0" w:color="auto"/>
            <w:bottom w:val="none" w:sz="0" w:space="0" w:color="auto"/>
            <w:right w:val="none" w:sz="0" w:space="0" w:color="auto"/>
          </w:divBdr>
        </w:div>
        <w:div w:id="1084491013">
          <w:marLeft w:val="0"/>
          <w:marRight w:val="0"/>
          <w:marTop w:val="0"/>
          <w:marBottom w:val="0"/>
          <w:divBdr>
            <w:top w:val="none" w:sz="0" w:space="0" w:color="auto"/>
            <w:left w:val="none" w:sz="0" w:space="0" w:color="auto"/>
            <w:bottom w:val="none" w:sz="0" w:space="0" w:color="auto"/>
            <w:right w:val="none" w:sz="0" w:space="0" w:color="auto"/>
          </w:divBdr>
        </w:div>
        <w:div w:id="415369646">
          <w:marLeft w:val="0"/>
          <w:marRight w:val="0"/>
          <w:marTop w:val="0"/>
          <w:marBottom w:val="0"/>
          <w:divBdr>
            <w:top w:val="none" w:sz="0" w:space="0" w:color="auto"/>
            <w:left w:val="none" w:sz="0" w:space="0" w:color="auto"/>
            <w:bottom w:val="none" w:sz="0" w:space="0" w:color="auto"/>
            <w:right w:val="none" w:sz="0" w:space="0" w:color="auto"/>
          </w:divBdr>
        </w:div>
        <w:div w:id="1320377362">
          <w:marLeft w:val="0"/>
          <w:marRight w:val="0"/>
          <w:marTop w:val="0"/>
          <w:marBottom w:val="0"/>
          <w:divBdr>
            <w:top w:val="none" w:sz="0" w:space="0" w:color="auto"/>
            <w:left w:val="none" w:sz="0" w:space="0" w:color="auto"/>
            <w:bottom w:val="none" w:sz="0" w:space="0" w:color="auto"/>
            <w:right w:val="none" w:sz="0" w:space="0" w:color="auto"/>
          </w:divBdr>
        </w:div>
      </w:divsChild>
    </w:div>
    <w:div w:id="1974407646">
      <w:bodyDiv w:val="1"/>
      <w:marLeft w:val="0"/>
      <w:marRight w:val="0"/>
      <w:marTop w:val="0"/>
      <w:marBottom w:val="0"/>
      <w:divBdr>
        <w:top w:val="none" w:sz="0" w:space="0" w:color="auto"/>
        <w:left w:val="none" w:sz="0" w:space="0" w:color="auto"/>
        <w:bottom w:val="none" w:sz="0" w:space="0" w:color="auto"/>
        <w:right w:val="none" w:sz="0" w:space="0" w:color="auto"/>
      </w:divBdr>
      <w:divsChild>
        <w:div w:id="624044218">
          <w:marLeft w:val="0"/>
          <w:marRight w:val="0"/>
          <w:marTop w:val="0"/>
          <w:marBottom w:val="0"/>
          <w:divBdr>
            <w:top w:val="none" w:sz="0" w:space="0" w:color="auto"/>
            <w:left w:val="none" w:sz="0" w:space="0" w:color="auto"/>
            <w:bottom w:val="none" w:sz="0" w:space="0" w:color="auto"/>
            <w:right w:val="none" w:sz="0" w:space="0" w:color="auto"/>
          </w:divBdr>
        </w:div>
      </w:divsChild>
    </w:div>
    <w:div w:id="212495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footer" Target="footer1.xml"/><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endnotes" Target="endnotes.xml"/><Relationship Id="rId95" Type="http://schemas.openxmlformats.org/officeDocument/2006/relationships/image" Target="media/image84.png"/><Relationship Id="rId160" Type="http://schemas.openxmlformats.org/officeDocument/2006/relationships/image" Target="media/image149.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2" Type="http://schemas.openxmlformats.org/officeDocument/2006/relationships/image" Target="media/image5.png"/><Relationship Id="rId17" Type="http://schemas.openxmlformats.org/officeDocument/2006/relationships/hyperlink" Target="https://epale.ec.europa.eu/sr/home-page" TargetMode="External"/><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3" Type="http://schemas.openxmlformats.org/officeDocument/2006/relationships/image" Target="media/image6.png"/><Relationship Id="rId18" Type="http://schemas.openxmlformats.org/officeDocument/2006/relationships/hyperlink" Target="http://www.mpn.gov.rs/wp-content/uploads/2015/08/Zakono-obrazovanju-odraslih.pdf" TargetMode="External"/><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hyperlink" Target="https://www.pravno-informacioni-sistem.rs/SlGlasnikPortal/viewdoc?uuid=9c059856-0fc8-4acd-8704-a5bd7e4d7a67&amp;regactid=431835&amp;doctype=reg" TargetMode="Externa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theme" Target="theme/theme1.xml"/><Relationship Id="rId2" Type="http://schemas.openxmlformats.org/officeDocument/2006/relationships/settings" Target="setting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9" Type="http://schemas.openxmlformats.org/officeDocument/2006/relationships/hyperlink" Target="http://www.mpn.gov.rs/wp-content/uploads/2018/05/ZAKON-NOKS-18.pdf" TargetMode="External"/><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hyperlink" Target="https://www.pravno-informacioni-sistem.rs/SlGlasnikPortal/viewdoc?uuid=9c059856-0fc8-4acd-8704-a5bd7e4d7a67&amp;regactid=431835&amp;doctype=reg" TargetMode="Externa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3" Type="http://schemas.openxmlformats.org/officeDocument/2006/relationships/webSettings" Target="webSetting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5" Type="http://schemas.openxmlformats.org/officeDocument/2006/relationships/image" Target="media/image8.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3.jpe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4" Type="http://schemas.openxmlformats.org/officeDocument/2006/relationships/footnotes" Target="footnote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6" Type="http://schemas.openxmlformats.org/officeDocument/2006/relationships/image" Target="media/image9.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169</Pages>
  <Words>22278</Words>
  <Characters>126989</Characters>
  <Application>Microsoft Office Word</Application>
  <DocSecurity>0</DocSecurity>
  <Lines>1058</Lines>
  <Paragraphs>297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3</cp:revision>
  <dcterms:created xsi:type="dcterms:W3CDTF">2023-12-06T18:51:00Z</dcterms:created>
  <dcterms:modified xsi:type="dcterms:W3CDTF">2023-12-06T18:57:00Z</dcterms:modified>
</cp:coreProperties>
</file>