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EEAF6"/>
  <w:body>
    <w:tbl>
      <w:tblPr>
        <w:tblW w:w="4961"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19"/>
        <w:gridCol w:w="10014"/>
      </w:tblGrid>
      <w:tr w:rsidR="00D13326" w:rsidRPr="008455B7" w:rsidTr="00497C37">
        <w:trPr>
          <w:tblCellSpacing w:w="15" w:type="dxa"/>
        </w:trPr>
        <w:tc>
          <w:tcPr>
            <w:tcW w:w="441" w:type="pct"/>
            <w:shd w:val="clear" w:color="auto" w:fill="A41E1C"/>
            <w:vAlign w:val="center"/>
          </w:tcPr>
          <w:p w:rsidR="00D13326" w:rsidRPr="008455B7" w:rsidRDefault="001F0BAB" w:rsidP="0041610E">
            <w:pPr>
              <w:pStyle w:val="NASLOVZLATO"/>
              <w:rPr>
                <w:sz w:val="20"/>
                <w:szCs w:val="20"/>
              </w:rPr>
            </w:pPr>
            <w:r>
              <w:rPr>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alt="futer logo" style="width:41.25pt;height:44.25pt;visibility:visible;mso-wrap-style:square">
                  <v:imagedata r:id="rId6" o:title="futer logo"/>
                </v:shape>
              </w:pict>
            </w:r>
          </w:p>
        </w:tc>
        <w:tc>
          <w:tcPr>
            <w:tcW w:w="4518" w:type="pct"/>
            <w:shd w:val="clear" w:color="auto" w:fill="A41E1C"/>
            <w:vAlign w:val="center"/>
            <w:hideMark/>
          </w:tcPr>
          <w:p w:rsidR="001F0BAB" w:rsidRPr="001F0BAB" w:rsidRDefault="001F0BAB" w:rsidP="001F0BAB">
            <w:pPr>
              <w:pStyle w:val="NASLOVBELO"/>
              <w:spacing w:line="360" w:lineRule="auto"/>
              <w:rPr>
                <w:color w:val="FFE599"/>
              </w:rPr>
            </w:pPr>
            <w:r w:rsidRPr="001F0BAB">
              <w:rPr>
                <w:color w:val="FFE599"/>
              </w:rPr>
              <w:t>ОДЛУКА</w:t>
            </w:r>
          </w:p>
          <w:p w:rsidR="006D6D76" w:rsidRDefault="001F0BAB" w:rsidP="001F0BAB">
            <w:pPr>
              <w:pStyle w:val="NASLOVBELO"/>
            </w:pPr>
            <w:r>
              <w:t>О УТВРЂИВАЊУ ГОДИШЊЕГ ПЛАНА ОБРАЗОВАЊА ОДРАСЛИХ У РЕПУБЛИЦИ СРБИЈИ ЗА 2023. ГОДИНУ</w:t>
            </w:r>
          </w:p>
          <w:p w:rsidR="00D13326" w:rsidRPr="008B2FAA" w:rsidRDefault="00806E64" w:rsidP="005B225E">
            <w:pPr>
              <w:pStyle w:val="podnaslovpropisa"/>
              <w:rPr>
                <w:sz w:val="18"/>
                <w:szCs w:val="18"/>
              </w:rPr>
            </w:pPr>
            <w:r w:rsidRPr="00806E64">
              <w:rPr>
                <w:sz w:val="18"/>
                <w:szCs w:val="18"/>
              </w:rPr>
              <w:t xml:space="preserve">("Сл. гласник РС", бр. </w:t>
            </w:r>
            <w:r w:rsidR="005B225E">
              <w:rPr>
                <w:sz w:val="18"/>
                <w:szCs w:val="18"/>
              </w:rPr>
              <w:t>28</w:t>
            </w:r>
            <w:r w:rsidRPr="00806E64">
              <w:rPr>
                <w:sz w:val="18"/>
                <w:szCs w:val="18"/>
              </w:rPr>
              <w:t>/20</w:t>
            </w:r>
            <w:r w:rsidR="00497C37">
              <w:rPr>
                <w:sz w:val="18"/>
                <w:szCs w:val="18"/>
              </w:rPr>
              <w:t>2</w:t>
            </w:r>
            <w:r w:rsidR="005B225E">
              <w:rPr>
                <w:sz w:val="18"/>
                <w:szCs w:val="18"/>
              </w:rPr>
              <w:t>3</w:t>
            </w:r>
            <w:r w:rsidRPr="00806E64">
              <w:rPr>
                <w:sz w:val="18"/>
                <w:szCs w:val="18"/>
              </w:rPr>
              <w:t>)</w:t>
            </w:r>
          </w:p>
        </w:tc>
      </w:tr>
    </w:tbl>
    <w:p w:rsidR="00497C37" w:rsidRDefault="00497C37" w:rsidP="00497C37"/>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b/>
          <w:noProof w:val="0"/>
          <w:color w:val="000000"/>
          <w:sz w:val="22"/>
          <w:szCs w:val="22"/>
          <w:lang w:val="en-US"/>
        </w:rPr>
        <w:t>ГОДИШЊИ ПЛАН ОБРАЗОВАЊА ОДРАСЛИХ У РЕПУБЛИЦИ СРБИЈИ ЗА 2023. ГОДИНУ</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i/>
          <w:noProof w:val="0"/>
          <w:color w:val="000000"/>
          <w:sz w:val="22"/>
          <w:szCs w:val="22"/>
          <w:lang w:val="en-US"/>
        </w:rPr>
        <w:t>I) УВОД</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Годишњи план образовања одраслих, који Влада усваја сваке године, у складу са Законом о образовању одраслих, представља један од главних инструмената за праћење остварености стратешких циљева дефинисаних у стратешким документима релевантних министарстaва.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Oбразовање одраслих добија све већу пажњу и признање у оквиру целоживотног учења кроз активности формалног и неформалног образовања као и информалног учења.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Стратешко опредељење Републике Србије иде у правцу </w:t>
      </w:r>
      <w:r w:rsidRPr="001F0BAB">
        <w:rPr>
          <w:rFonts w:ascii="Arial" w:hAnsi="Arial" w:cs="Arial"/>
          <w:b/>
          <w:noProof w:val="0"/>
          <w:color w:val="000000"/>
          <w:sz w:val="22"/>
          <w:szCs w:val="22"/>
          <w:lang w:val="en-US"/>
        </w:rPr>
        <w:t>повећања учешћа одраслих у активностима целоживотног учења</w:t>
      </w:r>
      <w:r w:rsidRPr="001F0BAB">
        <w:rPr>
          <w:rFonts w:ascii="Arial" w:hAnsi="Arial" w:cs="Arial"/>
          <w:noProof w:val="0"/>
          <w:color w:val="000000"/>
          <w:sz w:val="22"/>
          <w:szCs w:val="22"/>
          <w:lang w:val="en-US"/>
        </w:rPr>
        <w:t xml:space="preserve"> као и у правцу </w:t>
      </w:r>
      <w:r w:rsidRPr="001F0BAB">
        <w:rPr>
          <w:rFonts w:ascii="Arial" w:hAnsi="Arial" w:cs="Arial"/>
          <w:b/>
          <w:noProof w:val="0"/>
          <w:color w:val="000000"/>
          <w:sz w:val="22"/>
          <w:szCs w:val="22"/>
          <w:lang w:val="en-US"/>
        </w:rPr>
        <w:t>побољшања квалитета и транспарентности система образовања одраслих</w:t>
      </w:r>
      <w:r w:rsidRPr="001F0BAB">
        <w:rPr>
          <w:rFonts w:ascii="Arial" w:hAnsi="Arial" w:cs="Arial"/>
          <w:noProof w:val="0"/>
          <w:color w:val="000000"/>
          <w:sz w:val="22"/>
          <w:szCs w:val="22"/>
          <w:lang w:val="en-US"/>
        </w:rPr>
        <w:t>. Наведени циљеви остварују се кроз развој флексибилних механизама и могућности учења, пружања континуираног каријерног вођења и саветовања, подстицање одраслих са ниским нивоом вештина да учествују у различитим формама образовања одраслих, развој одрживих финансијских механизама, имплементацију концепта признавања претходног учења стеченог неформалним и информалним облицима учења и сл.</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Утврђивање јавног интереса у области образовања одраслих и целоживотног учења на годишњем нивоу дефинисано је одредбама члана 56. Закона о образовању одраслих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Службени гласник РС</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бр. 55/13, 88/17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др. закон, 27/18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др. закон и 6/20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др. закон).</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Годишњи план образовања одраслих (у даљем тексту: ГПОО) за 2023. годину, припремила је међуресорна Радна група, која је формирана у Заводу за унапређивање образовања и васпитања (у даљем тексту: ЗУОВ). У раду су учествовали представници Министарства просвете, Министарства за рад, запошљавање, борачка и социјална питања, Министарства привреде, Привредне коморе Србије (у даљем тексту: ПКС), Националне службе за запошљавање (у даљем тексту: НСЗ), Уније послодаваца Србије, Фондације ТЕМПУС, Института за педагогију и андрагогију Филозофског факултета Београдског Универзитета, ЗУОВ-а, Националне академије за јавну управу (у даљем тексту: НАЈУ) и Агенције за квалификације (у даљем тексту: АзК).</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Министарство просвете је, директно и преко школских управа, у припреми Предлога ГПОО, прибавило податке о плановима и активностима образовања одраслих за 2023. годину, од јединица локалне самоуправе (у даљем тексту: ЈЛС), привредних комора, удружења послодаваца, НСЗ, као и од других релевантних министарстава, установа и организација.</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i/>
          <w:noProof w:val="0"/>
          <w:color w:val="000000"/>
          <w:sz w:val="22"/>
          <w:szCs w:val="22"/>
          <w:lang w:val="en-US"/>
        </w:rPr>
        <w:t>II) ТРЕНДОВИ У ОБРАЗОВАЊУ И ЗАПОШЉАВАЊУ</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b/>
          <w:noProof w:val="0"/>
          <w:color w:val="000000"/>
          <w:sz w:val="22"/>
          <w:szCs w:val="22"/>
          <w:lang w:val="en-US"/>
        </w:rPr>
        <w:t>1. Трендови у образовању одраслих</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i/>
          <w:noProof w:val="0"/>
          <w:color w:val="000000"/>
          <w:sz w:val="22"/>
          <w:szCs w:val="22"/>
          <w:lang w:val="en-US"/>
        </w:rPr>
        <w:t>1.1. Европски трендови у образовању одраслих</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На европском нивоу 2022. година, је била обележена новим препорукама и иницијативама, као и континуираним радом релевантних радних група формираних од стране Европске комисије. Надовезујући се на резултате радних група ЕТ 2020, као део новог циклуса европске сарадње у области образовања и обука (за период 2021</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2030), релевантне радне групе на свим нивоима образовања настављају са радом до истека њиховог садашњег мандата у децембру 2025. године, а у циљу изградње квалитета европског образовног простора. Једна од њих је </w:t>
      </w:r>
      <w:r w:rsidRPr="001F0BAB">
        <w:rPr>
          <w:rFonts w:ascii="Arial" w:hAnsi="Arial" w:cs="Arial"/>
          <w:i/>
          <w:noProof w:val="0"/>
          <w:color w:val="000000"/>
          <w:sz w:val="22"/>
          <w:szCs w:val="22"/>
          <w:lang w:val="en-US"/>
        </w:rPr>
        <w:t>Радна група за учење одраслих: отварање могућности за све</w:t>
      </w:r>
      <w:r w:rsidRPr="001F0BAB">
        <w:rPr>
          <w:rFonts w:ascii="Arial" w:hAnsi="Arial" w:cs="Arial"/>
          <w:noProof w:val="0"/>
          <w:color w:val="000000"/>
          <w:sz w:val="22"/>
          <w:szCs w:val="22"/>
          <w:lang w:val="en-US"/>
        </w:rPr>
        <w:t xml:space="preserve"> чији је циљ пружање подршке у имплементацији активности Европске агенде вештина 2020 и изградња капацитета за постизање имплементације Препорука Савета из 2016. године (Council Recommendation on </w:t>
      </w:r>
      <w:r w:rsidRPr="001F0BAB">
        <w:rPr>
          <w:rFonts w:ascii="Arial" w:hAnsi="Arial" w:cs="Arial"/>
          <w:noProof w:val="0"/>
          <w:color w:val="000000"/>
          <w:sz w:val="22"/>
          <w:szCs w:val="22"/>
          <w:lang w:val="en-US"/>
        </w:rPr>
        <w:lastRenderedPageBreak/>
        <w:t>Upskilling Pathways) и 2022. године (Council recommendations on individual learning accounts and on micro-credentials).</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Како показују бројни подаци, значајан удео одраслих у Европи има низак ниво језичке и математичке писмености и/или дигиталних вештина. Један од података је и индекс дигиталне економије и друштва (The Digital Economy and Society Index) који показује да крајем 2021. године, код 4 од 10 одраслих у Европи недостају основне дигиталне вештине. У том светлу, а у складу са једним од шест приоритета Европске комисије до 2024. године, </w:t>
      </w:r>
      <w:r w:rsidRPr="001F0BAB">
        <w:rPr>
          <w:rFonts w:ascii="Arial" w:hAnsi="Arial" w:cs="Arial"/>
          <w:i/>
          <w:noProof w:val="0"/>
          <w:color w:val="000000"/>
          <w:sz w:val="22"/>
          <w:szCs w:val="22"/>
          <w:lang w:val="en-US"/>
        </w:rPr>
        <w:t>A Europe fit for the digital age</w:t>
      </w:r>
      <w:r w:rsidRPr="001F0BAB">
        <w:rPr>
          <w:rFonts w:ascii="Arial" w:hAnsi="Arial" w:cs="Arial"/>
          <w:noProof w:val="0"/>
          <w:color w:val="000000"/>
          <w:sz w:val="22"/>
          <w:szCs w:val="22"/>
          <w:lang w:val="en-US"/>
        </w:rPr>
        <w:t xml:space="preserve">, донета је одлука да 2023. година, буде </w:t>
      </w:r>
      <w:r w:rsidRPr="001F0BAB">
        <w:rPr>
          <w:rFonts w:ascii="Arial" w:hAnsi="Arial" w:cs="Arial"/>
          <w:i/>
          <w:noProof w:val="0"/>
          <w:color w:val="000000"/>
          <w:sz w:val="22"/>
          <w:szCs w:val="22"/>
          <w:lang w:val="en-US"/>
        </w:rPr>
        <w:t>Европска година вештина</w:t>
      </w:r>
      <w:r w:rsidRPr="001F0BAB">
        <w:rPr>
          <w:rFonts w:ascii="Arial" w:hAnsi="Arial" w:cs="Arial"/>
          <w:noProof w:val="0"/>
          <w:color w:val="000000"/>
          <w:sz w:val="22"/>
          <w:szCs w:val="22"/>
          <w:lang w:val="en-US"/>
        </w:rPr>
        <w:t>.</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У складу са Новом европском агендом за образовање одраслих и Европском агендом вештина, током 2022. године, покренута су бројна партнерства у оквиру </w:t>
      </w:r>
      <w:r w:rsidRPr="001F0BAB">
        <w:rPr>
          <w:rFonts w:ascii="Arial" w:hAnsi="Arial" w:cs="Arial"/>
          <w:i/>
          <w:noProof w:val="0"/>
          <w:color w:val="000000"/>
          <w:sz w:val="22"/>
          <w:szCs w:val="22"/>
          <w:lang w:val="en-US"/>
        </w:rPr>
        <w:t>Пакта за вештине</w:t>
      </w:r>
      <w:r w:rsidRPr="001F0BAB">
        <w:rPr>
          <w:rFonts w:ascii="Arial" w:hAnsi="Arial" w:cs="Arial"/>
          <w:noProof w:val="0"/>
          <w:color w:val="000000"/>
          <w:sz w:val="22"/>
          <w:szCs w:val="22"/>
          <w:lang w:val="en-US"/>
        </w:rPr>
        <w:t xml:space="preserve"> како би се на европском нивоу јачала сарадња између установа за образовање одраслих, центара за обуке, представника привреде, института и других актера. Управо тако </w:t>
      </w:r>
      <w:r>
        <w:rPr>
          <w:rFonts w:ascii="Arial" w:hAnsi="Arial" w:cs="Arial"/>
          <w:noProof w:val="0"/>
          <w:color w:val="000000"/>
          <w:sz w:val="22"/>
          <w:szCs w:val="22"/>
          <w:lang w:val="en-US"/>
        </w:rPr>
        <w:t>"</w:t>
      </w:r>
      <w:r w:rsidRPr="001F0BAB">
        <w:rPr>
          <w:rFonts w:ascii="Arial" w:hAnsi="Arial" w:cs="Arial"/>
          <w:i/>
          <w:noProof w:val="0"/>
          <w:color w:val="000000"/>
          <w:sz w:val="22"/>
          <w:szCs w:val="22"/>
          <w:lang w:val="en-US"/>
        </w:rPr>
        <w:t>Нова европска агенда за учење одраслих 2030</w:t>
      </w:r>
      <w:r>
        <w:rPr>
          <w:rFonts w:ascii="Arial" w:hAnsi="Arial" w:cs="Arial"/>
          <w:noProof w:val="0"/>
          <w:color w:val="000000"/>
          <w:sz w:val="22"/>
          <w:szCs w:val="22"/>
          <w:lang w:val="en-US"/>
        </w:rPr>
        <w:t>"</w:t>
      </w:r>
      <w:r w:rsidRPr="001F0BAB">
        <w:rPr>
          <w:rFonts w:ascii="Arial" w:hAnsi="Arial" w:cs="Arial"/>
          <w:i/>
          <w:noProof w:val="0"/>
          <w:color w:val="000000"/>
          <w:sz w:val="22"/>
          <w:szCs w:val="22"/>
          <w:lang w:val="en-US"/>
        </w:rPr>
        <w:t>,</w:t>
      </w:r>
      <w:r w:rsidRPr="001F0BAB">
        <w:rPr>
          <w:rFonts w:ascii="Arial" w:hAnsi="Arial" w:cs="Arial"/>
          <w:noProof w:val="0"/>
          <w:color w:val="000000"/>
          <w:sz w:val="22"/>
          <w:szCs w:val="22"/>
          <w:lang w:val="en-US"/>
        </w:rPr>
        <w:t xml:space="preserve"> донета крајем 2021. године, истиче значај међусекторске сарадње различитих актера и ефикасну координацију на европском, националном, регионалном и локалном нивоу, као и важност дијалога између свих актера будући да релевантне установе, као и појединци и послодавци и држава, имају користи од образовања одраслих.</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Сви европски трендови у образовању одраслих 2022. године, су се у великој мери ослањали на општи циљ </w:t>
      </w:r>
      <w:r w:rsidRPr="001F0BAB">
        <w:rPr>
          <w:rFonts w:ascii="Arial" w:hAnsi="Arial" w:cs="Arial"/>
          <w:i/>
          <w:noProof w:val="0"/>
          <w:color w:val="000000"/>
          <w:sz w:val="22"/>
          <w:szCs w:val="22"/>
          <w:lang w:val="en-US"/>
        </w:rPr>
        <w:t>Нове европске агенде за образовање одраслих 2030</w:t>
      </w:r>
      <w:r w:rsidRPr="001F0BAB">
        <w:rPr>
          <w:rFonts w:ascii="Arial" w:hAnsi="Arial" w:cs="Arial"/>
          <w:noProof w:val="0"/>
          <w:color w:val="000000"/>
          <w:sz w:val="22"/>
          <w:szCs w:val="22"/>
          <w:lang w:val="en-US"/>
        </w:rPr>
        <w:t xml:space="preserve">, а то је развој квалитета понуде и промоције активности образовања одраслих, као и веће учешће одраслих у активностима формалног, неформалног и информалног образовања одраслих. Како је </w:t>
      </w:r>
      <w:r w:rsidRPr="001F0BAB">
        <w:rPr>
          <w:rFonts w:ascii="Arial" w:hAnsi="Arial" w:cs="Arial"/>
          <w:i/>
          <w:noProof w:val="0"/>
          <w:color w:val="000000"/>
          <w:sz w:val="22"/>
          <w:szCs w:val="22"/>
          <w:lang w:val="en-US"/>
        </w:rPr>
        <w:t>Нова европска агенда за учење одраслих 2030</w:t>
      </w:r>
      <w:r w:rsidRPr="001F0BAB">
        <w:rPr>
          <w:rFonts w:ascii="Arial" w:hAnsi="Arial" w:cs="Arial"/>
          <w:noProof w:val="0"/>
          <w:color w:val="000000"/>
          <w:sz w:val="22"/>
          <w:szCs w:val="22"/>
          <w:lang w:val="en-US"/>
        </w:rPr>
        <w:t xml:space="preserve"> дефинисала 5 приоритетних области како би обезбедила континуитет рада и даљи развој образовања одраслих (Управљање; Понуда и учешће у приликама за целоживотно учење; Приступачност и флексибилност; Квалитет, правичност, инклузија и успех у учењу одраслих и Зелена и дигитална транзиција), важно је поменути и шире препоруке које су донете 2022. године, са сродним циљевима.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Једна од њих је Препорука Савета са почетка 2022. године, о одрживом развоју (Council Recommendation on learning for environmental sustainability). Овај међусекторски документ између осталог говори о значају пружања могућности учења у различитим окружењима у оквиру образовања одраслих како би се сви појединци припремили за зелену транзицију и активно јој допринели, али и имали конкретне вештине за предузимање мера за еколошки одрживо и климатски неутрално управљање и живот у праведном друштву.</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остваривању поменутих индикатора и циљева значајно може помоћи Еразмус+, највећи европски програм подршке образовању, обукама и спорту у оквиру ког је за период 2021</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2027. издвојено 26.2 милијарди евра за пројекте у овим областима, што је скоро двоструко више од средстава која су била доступна у претходном циклусу који је трајао од 2014. до 2020. године. Еразмус+ програм настоји да у периоду 2021</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2027. омогући учешће још већем броју учесника и ширем спектру организација у пројектима мобилности и пројектима сарадње на међународном нивоу у области образовања. У складу са осталим европским стратешким документима за образовање, приоритетне теме у новом програму су инклузивност, зелене иницијативе и дигитализација, као кључни и најважнији приоритети које програм подржава кроз низ финансијских механизама, затим јачање грађанских вредности, дијалог култура, толеранција и разумевање друштвеног, културног и историјског наслеђа. Важно је подсетити и на индикаторе и циљеве Агенде европских вештина, који су наведени у прошлогодишњем плану, а односе се на период до 2025. године. Циљеви предвиђени за овај период директно се тичу унапређења вештина (доквалификације) и стицања нових вештина (преквалификације). Кроз квантитативне индикаторе и 12 акција, агенда европских вештина, ставља фокус на стицање вештина за запошљавање као и на обезбеђивање прилика за обуке и целоживотно учење у складу са Европским стубом социјалних права, који је заснован на принципима организованим у три категорије: једнаке могућности и једнак приступ тржишту рада за све, поштени услови за рад и социјална заштита и инклузија.</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i/>
          <w:noProof w:val="0"/>
          <w:color w:val="000000"/>
          <w:sz w:val="22"/>
          <w:szCs w:val="22"/>
          <w:lang w:val="en-US"/>
        </w:rPr>
        <w:t xml:space="preserve">1.2. Трендови образовања одраслих у Републици Србији </w:t>
      </w:r>
      <w:r>
        <w:rPr>
          <w:rFonts w:ascii="Arial" w:hAnsi="Arial" w:cs="Arial"/>
          <w:i/>
          <w:noProof w:val="0"/>
          <w:color w:val="000000"/>
          <w:sz w:val="22"/>
          <w:szCs w:val="22"/>
          <w:lang w:val="en-US"/>
        </w:rPr>
        <w:t>-</w:t>
      </w:r>
      <w:r w:rsidRPr="001F0BAB">
        <w:rPr>
          <w:rFonts w:ascii="Arial" w:hAnsi="Arial" w:cs="Arial"/>
          <w:i/>
          <w:noProof w:val="0"/>
          <w:color w:val="000000"/>
          <w:sz w:val="22"/>
          <w:szCs w:val="22"/>
          <w:lang w:val="en-US"/>
        </w:rPr>
        <w:t xml:space="preserve"> стратешки правци</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Разматрање трендова у образовању одраслих у Републици Србији морамо почети са подацима са последњег званичног пописа из 2011. године, који иако застарели, представљају једине званичне податке ове врсте. Резултати пописа који је одржан од 1. до 31. октобра 2022. године, а који се односе на образовање, нису нам доступни у тренуцима писања овог годишњег плана образовања одраслих. Подаци са последњег пописа становништва (2011) говоре да је у Републици Србији, од укупно 6.161.584 становника старијих од 15 година, без школске спреме и са непотпуним основним образовањем 842.383 лица (13,68%). У исто време, завршено основно образовање, као највиши ниво формалног образовања, имало je 1.279.116 (20,76%) лица, док је са средњим образовањем било 3.015.092 лица (48,93%). Више и високо образовање у Републици Србији 2011. године, имало је 16,24% становништва, односно 1.000.569 лица, што је било далеко од 40%, колико је Европска Унија себи поставила као циљ стратегијом Европа 2020.</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Што се тиче основног образовања одраслих, као одговору на велики број неписмених, можемо изнети актуелне податке за последње три године, у којима се број полазника у Републици Србији креће око броја од 6000, са благом тенденцијом опадања. Према подацима Републичког завода за статистику, у школској 2019/20. години, било је 6328 полазника, у школској 2020/21. години, је било 5999 полазника, док је у школској 2021/22. години, било 5904 полазника. Интересантно је да је школске 2021/22. године, први пут било више полазница (3005) него полазника (2899). У пружању прилике одраслима да заврше основно образовање, постоји већ неколико година укупно 79 основних школа које нуде ову могућност. У протекле три године, активно је било око 65 редовних основних школа и специјализованих школа за основно образовање одраслих. У овим школама је радило у школској 2019/20. години, укупно 945 наставника (од којих је 158 са пуним радним временом), у школској 2020/21. години, 886 наставника (од којих је 135 са пуним радним временом), док је у школској 2021/22. години, 869 наставника (од којих је 162 са пуним радном временом).</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Нешто свежије податке, у односу на попис из 2011. године, али не и довољно свеже податке нам доноси Анкета о образовању одраслих (</w:t>
      </w:r>
      <w:r w:rsidRPr="001F0BAB">
        <w:rPr>
          <w:rFonts w:ascii="Arial" w:hAnsi="Arial" w:cs="Arial"/>
          <w:i/>
          <w:noProof w:val="0"/>
          <w:color w:val="000000"/>
          <w:sz w:val="22"/>
          <w:szCs w:val="22"/>
          <w:lang w:val="en-US"/>
        </w:rPr>
        <w:t xml:space="preserve">Adult Education Survey </w:t>
      </w:r>
      <w:r>
        <w:rPr>
          <w:rFonts w:ascii="Arial" w:hAnsi="Arial" w:cs="Arial"/>
          <w:i/>
          <w:noProof w:val="0"/>
          <w:color w:val="000000"/>
          <w:sz w:val="22"/>
          <w:szCs w:val="22"/>
          <w:lang w:val="en-US"/>
        </w:rPr>
        <w:t>-</w:t>
      </w:r>
      <w:r w:rsidRPr="001F0BAB">
        <w:rPr>
          <w:rFonts w:ascii="Arial" w:hAnsi="Arial" w:cs="Arial"/>
          <w:i/>
          <w:noProof w:val="0"/>
          <w:color w:val="000000"/>
          <w:sz w:val="22"/>
          <w:szCs w:val="22"/>
          <w:lang w:val="en-US"/>
        </w:rPr>
        <w:t xml:space="preserve"> АЕS</w:t>
      </w:r>
      <w:r w:rsidRPr="001F0BAB">
        <w:rPr>
          <w:rFonts w:ascii="Arial" w:hAnsi="Arial" w:cs="Arial"/>
          <w:noProof w:val="0"/>
          <w:color w:val="000000"/>
          <w:sz w:val="22"/>
          <w:szCs w:val="22"/>
          <w:lang w:val="en-US"/>
        </w:rPr>
        <w:t>) која је спроведена по други пут у Републици Србији 2016. године. Према подацима Еуростата (Eurostat), следеће истраживање овог типа је у току. Према резултатима истраживања из 2016. године, стопа учешћа одраслих у неком облику формалног или неформалног образовања или обука износила је 19,8%, што је нешто више него што је била 2011. године (16,5%), али је знатно испод тадашњег просека земаља чланица Европске уније (45,1%). У неком виду образовања и обуке у периоду од 12 месеци који су претходили анкетирању, заступљеније су жене (21,4%) него мушкарци (18%). Стопа учешћа је највећа међу популацијом старости 25</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34 године (29,2%). Подаци показују да у целоживотном образовању најчешће су учествовале жене старости 25</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34 године, са стеченим високим образовањем, које су запослене и које живе у граду. У образовању и обукама највише су учествовала запослена лица (32,5% свих запослених). Лица која су похађала неки курс, радионицу или приватне часове углавном су високо образована. Највећи број програма неформалног образовања у којима учествују одрасли у вези је са послом (могућности запошљавања, напредовање у послу, да би се задржао постојећи или добио нови посао и сл.). У просеку, одрасли који су се неформално образовали, учествовали су у 1,8 активности неформалног образовања. Најчешће је то била инструктажа на послу која се одржавала у радно време и за коју је трошкове платио послодавац. Приближно 80% испитаника није учествовало ни у каквом облику формалног или неформалног образовања. Скоро половина испитаника (47%) желело је да учествује у неком виду образовања, али су били спречени првенствено због трошкова образовања/обуке, породичних разлога, распореда обука, односно преклапања са радним временом и неодговарајуће понуде обука. Већина испитаника учествује у неком од облика информалног учења. Око две трећине њих нова знања стиче тако што користи компјутер (65,8%). Од члана породице, пријатеља или колега учи 63,6%, а преко телевизије/радија, видеа око 60%. У знатној мери (57,5%) испитаници уче и из штампаних материјала (књиге, стручни часописи и др.), а у најмањој мери обилазећи музеје, библиотеке, центре за учење и сл.</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Од новијих истраживања можемо издвојити Истраживање о сталном стручном усавршавању (</w:t>
      </w:r>
      <w:r w:rsidRPr="001F0BAB">
        <w:rPr>
          <w:rFonts w:ascii="Arial" w:hAnsi="Arial" w:cs="Arial"/>
          <w:i/>
          <w:noProof w:val="0"/>
          <w:color w:val="000000"/>
          <w:sz w:val="22"/>
          <w:szCs w:val="22"/>
          <w:lang w:val="en-US"/>
        </w:rPr>
        <w:t xml:space="preserve">Continuing Vocational Training Survey </w:t>
      </w:r>
      <w:r>
        <w:rPr>
          <w:rFonts w:ascii="Arial" w:hAnsi="Arial" w:cs="Arial"/>
          <w:i/>
          <w:noProof w:val="0"/>
          <w:color w:val="000000"/>
          <w:sz w:val="22"/>
          <w:szCs w:val="22"/>
          <w:lang w:val="en-US"/>
        </w:rPr>
        <w:t>-</w:t>
      </w:r>
      <w:r w:rsidRPr="001F0BAB">
        <w:rPr>
          <w:rFonts w:ascii="Arial" w:hAnsi="Arial" w:cs="Arial"/>
          <w:i/>
          <w:noProof w:val="0"/>
          <w:color w:val="000000"/>
          <w:sz w:val="22"/>
          <w:szCs w:val="22"/>
          <w:lang w:val="en-US"/>
        </w:rPr>
        <w:t xml:space="preserve"> CVTS)</w:t>
      </w:r>
      <w:r w:rsidRPr="001F0BAB">
        <w:rPr>
          <w:rFonts w:ascii="Arial" w:hAnsi="Arial" w:cs="Arial"/>
          <w:noProof w:val="0"/>
          <w:color w:val="000000"/>
          <w:sz w:val="22"/>
          <w:szCs w:val="22"/>
          <w:lang w:val="en-US"/>
        </w:rPr>
        <w:t xml:space="preserve"> које је први пут спроведено у Републици Србији 2021. године. Према добијеним резултатима, скоро половина предузећа у Републици Србији (49,2%) спроводи неки облик континуираног стручног усавршавања својих запослених, док запослени у 40,8% предузећа похађају обуке из овог домена образовања одраслих, које организују други провајдери. Што се тиче пола полазника обука, у свим компанијама које их спроводе, жене су заступљеније (40%) него мушкарци (35%). Просечна цена обука сталног стручног усавршавања у компанијама које спроводе обуке је 45 евра по запосленом. Укупно учешће трошкова за организацију обука у односу на укупне трошкове рада износило је 19%. Удео предузећа која су спровела неку врсту обуке за своје запослене је најмањи међу малим предузећима (43,4%), а највећи међу средњим и износи 66,1%.</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Са циљем обезбеђивања предуслова за одржање запослења код послодавца, односно превенцију отпуштања, у складу са Законом о запошљавању и осигурању за случај незапослености и Правилника o ближим критеријумима и условима за укључивање запосленог у обуке за потребе послодавца ради стицања додатних знања и вештина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Службени гласник РС</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бр. 13/18, 57/18 и 45/22), реализује се мера активне политике запошљавања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Обука за потребе послодавца за запосленог. Наиме, послодавац који припада приватном сектору може поднети захтев НСЗ за учешће у финансирању трошкова обуке за запосленог коме недостају додатна знања и вештине за обављање послова и радних задатака са циљем одржања запослења код тог послодавца. Трошкове учешћа у финансирању обуке за запосленог може да сноси НСЗ, у складу са расположивим средствима и прописима за доделу државне помоћи. Поднете захтеве разматра Комисија за разматрање захтева и давање мишљења о потреби финансирања обуке за запосленог за потребе послодавца у сврху економског развоја, формирана од стране Владе, а коју чине представници Министарства за рад, запошљавање, борачка и социјална питања, НСЗ-а, Министарства привреде и ПКС, а сагласност за учешће у финансирању обуке за потребе послодавца за запосленог, даје министар надлежан за послове запошљавања.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Иако не говори директно о образовању одраслих, представићемо и резултате истраживања Републичког завода за статистику које се тиче коришћења рачунара и интернета у Републици Србији. Ово је изузетно битно за образовање одраслих, с обзиром на то да су дигиталне компетенције једна од кључних компетенција. Оне представљају основу за свако даље учење, образовање и развој. Трендови у овој области су врло охрабрујући: од 33,6% грађана Републике Србије који су у последњих 3 месеца користили рачунар 2006. године, у 2022. години, имамо 75,9% грађана које можемо да сврстамо у ову категорију. По питању коришћења интернета, ситуација је још позитивнија: 2006. године, је 23,9% грађана Републике Србије током последњих 3 месеца користило интернет, док 2022. године, можемо говорити о 83,5% грађана који се сврставају у ову категорију. Старосна група одраслих која је у најлошијој ситуацији по оба критеријума су старији суграђани од 65 до 74 године (у истраживању не постоји старија група од ове). Грађани који су 2006. године, припадали овој старосној категорији су врло мало користили рачунар у последња три месеца од истраживања (3,5% њих) и само 2,3% је користило интернет. Истраживања из 2022. године, говоре да је 30,2% испитаника из ове категорије користило рачунар, а 40,8% испитаника је користило интернет.</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Управо због овог наглашеног проблема дигиталног описмењавања старијих особа УНДП (UNDP) је крајем 2021. године, и током 2022. године, у Републици Србији реализовао пројекат </w:t>
      </w:r>
      <w:r w:rsidRPr="001F0BAB">
        <w:rPr>
          <w:rFonts w:ascii="Arial" w:hAnsi="Arial" w:cs="Arial"/>
          <w:i/>
          <w:noProof w:val="0"/>
          <w:color w:val="000000"/>
          <w:sz w:val="22"/>
          <w:szCs w:val="22"/>
          <w:lang w:val="en-US"/>
        </w:rPr>
        <w:t xml:space="preserve">New Skills for Emerging Industries </w:t>
      </w:r>
      <w:r>
        <w:rPr>
          <w:rFonts w:ascii="Arial" w:hAnsi="Arial" w:cs="Arial"/>
          <w:i/>
          <w:noProof w:val="0"/>
          <w:color w:val="000000"/>
          <w:sz w:val="22"/>
          <w:szCs w:val="22"/>
          <w:lang w:val="en-US"/>
        </w:rPr>
        <w:t>-</w:t>
      </w:r>
      <w:r w:rsidRPr="001F0BAB">
        <w:rPr>
          <w:rFonts w:ascii="Arial" w:hAnsi="Arial" w:cs="Arial"/>
          <w:i/>
          <w:noProof w:val="0"/>
          <w:color w:val="000000"/>
          <w:sz w:val="22"/>
          <w:szCs w:val="22"/>
          <w:lang w:val="en-US"/>
        </w:rPr>
        <w:t xml:space="preserve"> National IT Retraining Programme</w:t>
      </w:r>
      <w:r w:rsidRPr="001F0BAB">
        <w:rPr>
          <w:rFonts w:ascii="Arial" w:hAnsi="Arial" w:cs="Arial"/>
          <w:noProof w:val="0"/>
          <w:color w:val="000000"/>
          <w:sz w:val="22"/>
          <w:szCs w:val="22"/>
          <w:lang w:val="en-US"/>
        </w:rPr>
        <w:t>. У оквиру пројекта је редефинисан концепт дигиталне писмености за старије особе који је током 2022. године, реализован у домовима за негу старијих особа.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погледу повећања квалитета неформалног образовања у Републици Србији, вреди напоменути промену легислативе везане за јавно признате организаторе активности образовања одраслих (у даљем тексту: ЈПОА), односно доношење Правилника о ближим условима у погледу програма, кадра, простора, опреме и наставних средстава за стицање статуса јавно признатог организатора активности образовања одраслих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Службени гласник РС</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број 130/21 од 29. децембра 2021).</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Стратегијом развоја образовања и васпитања у Републици Србији до 2030. године, каријерно вођење и саветовање (у даљем тексту: КВиС) је препознато као важан систем који мора да постане подједнако доступан за ученике, студенте и за одрасле током целог образовног пута, а не само приликом одлуке о избору образовног профила или обуке. У складу са поменутом Стратегијом, Министарство просвете је крајем 2022. године, започело финансирање истраживања о Имплементацији услуге КВиС, које ће трајати до краја 2023. године. Циљ истраживања је да се сагледа имплементација услуге КВиС-а, у секторима образовања (на свим нивоима националног оквира квалификација Републике Србије, укључујући и образовање одраслих), запошљавања и у домену сектора за младе, као и на примену стандарда КВиС-а дефинисаних подзаконским актом приликом имплементације услуге КВиС. На основу истраживања, креираће се студија са препорукама и акционим планом за даљи развој КВиС-а у Републици Србији.</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тренутку писања овог документа у току је јавна расправа о Предлогу Акционог плана за период 2023</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26. године, за спровођење Стратегије развоја образовања и васпитања у Републици Србији до 2030. године. Значајне активности планиране акционим планом су из домена образовања одраслих, а односе пре свега на унапређивање квалитета неформалног образовања и повећање укључености одраслих у програме образовања одраслих.</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Информалном учењу се у Европи, са јачањем концепције целоживотног образовања, поклања све већа пажња, нарочито кроз развијање концепције, праксе и инструмената за валидацију и признавање претходног учења. У том правцу и Република Србија чини одлучне кораке, развијањем Концепта за признавање претходног учења (у даљем тексту: ППУ). Припреме за увођење поступка ППУ, Министарство просвете спроводи у неколико корака, од којих је први пилотирање предложених решења и процедура. Уз подршку пројекта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Развој интегрисаног система националних квалификација у Републици Србији</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припремљени су различити документи и смернице, као и Правилник о стандардима и начину спровођења поступка признавања претходног учења (,,Службени гласник РС</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број 148/20). У сарадњи са НСЗ, анализирана су најучесталија занимања на којима раде потенцијални кандидати за ППУ, селектоване су и предложене квалификације које су обухваћене пилотирањем, а приликом предлагања школа за пилотирање разматран је низ фактора укључујући верификацију школа за одређена подручја рада и заступљеност школа из различитих округа и то на подручјима где је препознат већи број потенцијалних незапослених кандидата. Када је реч о наредним корацима, након спроведеног консултативног процеса са партнерима, школе су формирале тимове за ППУ. За њих су организоване интензивне обуке које су обухватиле развој задатака за оцењивање кандидата и осигурање квалитета процеса ППУ, а које су реализовали експерти пројекта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Развој интегрисаног система националних квалификација у Републици Србији</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Оцењивање првих кандидата и провере стечених квалификација реализовано је у 2021. години, и током 2022. године.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2023. години, планирана је реализација активности на оснаживању Завода за унапређивање образовања и васпитања за пружање подршке за примену методологије оцењивања компетенција у поступку ППУ и за израду инструмената за овај поступак. Велики део активности биће усмерен на обуку кадра укљученог у поступак ППУ, промоцију концепта ППУ као и на праћењу и унапређивању система осигурања квалитета поступка ППУ.</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Када говоримо о мерама Владе које су усмерене на поједине подсистеме система образовања одраслих, не можемо а да не споменемо покретање значајне реформе државно-службеничког система, са циљем успостављања система људских ресурса заснованог на резултатима рада, који поседује висок степен компетенција и којим се управља на професионалан начин. Једна од главних измена се односи на увођење управљања људским ресурсима на основу компетенција у државно-службеничко систему у Републици Србији. Оваква промена указује на ширу културолошку промену у управљању људским ресурсима у државној управи, што у пракси значи да ће за све аспекте управљања људским ресурсима бити потребан нови приступ. Знања, вештине, особине, ставови и способности које су потребне државном службенику за рад су одређене Уредбом о одређивању компетенција за рад државних службеника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Службени гласник РС</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број 9/22).</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Имајући у виду понашајне и функционалне компетенције, НАЈУ је наставила да заснива своје програме обука на компетенцијама утврђеним подзаконским актима. Крајем 2021. године, уведен је систем управљања људским ресурсима базиран на компетенцијама и за запослене у ЈЛС, који подразумева јасно дефинисане индикаторе понашања службеника који се вреднују, развијају и самим тим награђују. Такође, сви посебни програми обука који органи управе припремају ради стручног усавршавања запослених у свом органу требало би да буду засновани на утврђеном оквиру компетенција.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Процеси дигитализације и модернизације јавне управе одразили су се и на систем стручног усавршавања. Томе је значајно допринела и пандемија Корона вируса. Осим традиционалног стручног усавршавања, у учионицама, наведене промене изискивале су наставак тренда осмишљавања и спровођења обука у </w:t>
      </w:r>
      <w:r w:rsidRPr="001F0BAB">
        <w:rPr>
          <w:rFonts w:ascii="Arial" w:hAnsi="Arial" w:cs="Arial"/>
          <w:i/>
          <w:noProof w:val="0"/>
          <w:color w:val="000000"/>
          <w:sz w:val="22"/>
          <w:szCs w:val="22"/>
          <w:lang w:val="en-US"/>
        </w:rPr>
        <w:t>online</w:t>
      </w:r>
      <w:r w:rsidRPr="001F0BAB">
        <w:rPr>
          <w:rFonts w:ascii="Arial" w:hAnsi="Arial" w:cs="Arial"/>
          <w:noProof w:val="0"/>
          <w:color w:val="000000"/>
          <w:sz w:val="22"/>
          <w:szCs w:val="22"/>
          <w:lang w:val="en-US"/>
        </w:rPr>
        <w:t xml:space="preserve"> окружењу. С обзиром на то да је традиционалан облик учења постао, у неповољним епидемиолошким условима тешко остварив, НАЈУ ће наставити да имплементира модел комбинованог учења. У наредном периоду планирано је да се повећа број стално доступних </w:t>
      </w:r>
      <w:r w:rsidRPr="001F0BAB">
        <w:rPr>
          <w:rFonts w:ascii="Arial" w:hAnsi="Arial" w:cs="Arial"/>
          <w:i/>
          <w:noProof w:val="0"/>
          <w:color w:val="000000"/>
          <w:sz w:val="22"/>
          <w:szCs w:val="22"/>
          <w:lang w:val="en-US"/>
        </w:rPr>
        <w:t>online</w:t>
      </w:r>
      <w:r w:rsidRPr="001F0BAB">
        <w:rPr>
          <w:rFonts w:ascii="Arial" w:hAnsi="Arial" w:cs="Arial"/>
          <w:noProof w:val="0"/>
          <w:color w:val="000000"/>
          <w:sz w:val="22"/>
          <w:szCs w:val="22"/>
          <w:lang w:val="en-US"/>
        </w:rPr>
        <w:t xml:space="preserve"> обука у различитим областима. Тренутно је доступно око 60 </w:t>
      </w:r>
      <w:r w:rsidRPr="001F0BAB">
        <w:rPr>
          <w:rFonts w:ascii="Arial" w:hAnsi="Arial" w:cs="Arial"/>
          <w:i/>
          <w:noProof w:val="0"/>
          <w:color w:val="000000"/>
          <w:sz w:val="22"/>
          <w:szCs w:val="22"/>
          <w:lang w:val="en-US"/>
        </w:rPr>
        <w:t>online</w:t>
      </w:r>
      <w:r w:rsidRPr="001F0BAB">
        <w:rPr>
          <w:rFonts w:ascii="Arial" w:hAnsi="Arial" w:cs="Arial"/>
          <w:noProof w:val="0"/>
          <w:color w:val="000000"/>
          <w:sz w:val="22"/>
          <w:szCs w:val="22"/>
          <w:lang w:val="en-US"/>
        </w:rPr>
        <w:t xml:space="preserve"> обука.</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b/>
          <w:noProof w:val="0"/>
          <w:color w:val="000000"/>
          <w:sz w:val="22"/>
          <w:szCs w:val="22"/>
          <w:lang w:val="en-US"/>
        </w:rPr>
        <w:t>2. Трендови у запошљавању и на тржишту рада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Током 2022. године, настављена су позитивна кретања на тржишту рада (која се примарно огледају у расту запослености и зарада), превасходно захваљујући макроекономској стабилности оствареној у претходном периоду, али по нешто споријој динамици, а као последица геополитичких тензија.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Према </w:t>
      </w:r>
      <w:r w:rsidRPr="001F0BAB">
        <w:rPr>
          <w:rFonts w:ascii="Arial" w:hAnsi="Arial" w:cs="Arial"/>
          <w:b/>
          <w:noProof w:val="0"/>
          <w:color w:val="000000"/>
          <w:sz w:val="22"/>
          <w:szCs w:val="22"/>
          <w:lang w:val="en-US"/>
        </w:rPr>
        <w:t>подацима о основним индикаторима тржишта рада</w:t>
      </w:r>
      <w:r w:rsidRPr="001F0BAB">
        <w:rPr>
          <w:rFonts w:ascii="Arial" w:hAnsi="Arial" w:cs="Arial"/>
          <w:noProof w:val="0"/>
          <w:color w:val="000000"/>
          <w:sz w:val="22"/>
          <w:szCs w:val="22"/>
          <w:lang w:val="en-US"/>
        </w:rPr>
        <w:t xml:space="preserve"> из Анкете о радној снази за трећи квартал 2022. године</w:t>
      </w:r>
      <w:r w:rsidRPr="001F0BAB">
        <w:rPr>
          <w:rFonts w:ascii="Arial" w:hAnsi="Arial" w:cs="Arial"/>
          <w:noProof w:val="0"/>
          <w:color w:val="000000"/>
          <w:sz w:val="22"/>
          <w:szCs w:val="22"/>
          <w:vertAlign w:val="superscript"/>
          <w:lang w:val="en-US"/>
        </w:rPr>
        <w:t>1</w:t>
      </w:r>
      <w:r w:rsidRPr="001F0BAB">
        <w:rPr>
          <w:rFonts w:ascii="Arial" w:hAnsi="Arial" w:cs="Arial"/>
          <w:noProof w:val="0"/>
          <w:color w:val="000000"/>
          <w:sz w:val="22"/>
          <w:szCs w:val="22"/>
          <w:lang w:val="en-US"/>
        </w:rPr>
        <w:t xml:space="preserve">, вредност стопе незапослености (за становништво 15+) смањена је на међугодишњем нивоу за 1,6 процентних поена (у даљем тексту: п.п.) и износи 8,9%, док је стопа запослености повећана за 0,8 п.п. и износи 50,8%. Стопе запослености/незапослености приказане су на </w:t>
      </w:r>
      <w:r w:rsidRPr="001F0BAB">
        <w:rPr>
          <w:rFonts w:ascii="Arial" w:hAnsi="Arial" w:cs="Arial"/>
          <w:i/>
          <w:noProof w:val="0"/>
          <w:color w:val="000000"/>
          <w:sz w:val="22"/>
          <w:szCs w:val="22"/>
          <w:lang w:val="en-US"/>
        </w:rPr>
        <w:t>Графикону број 1.</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1 Републички завод за статистику, 30. новембар 2022. године.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Графикон број 1.</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Стопе запослености/незапослености, популација 15+, 2021‒2022. (%)</w:t>
      </w:r>
    </w:p>
    <w:p w:rsidR="001F0BAB" w:rsidRPr="001F0BAB" w:rsidRDefault="001F0BAB" w:rsidP="001F0BAB">
      <w:pPr>
        <w:spacing w:after="200" w:line="276" w:lineRule="auto"/>
        <w:contextualSpacing w:val="0"/>
        <w:rPr>
          <w:rFonts w:ascii="Arial" w:hAnsi="Arial" w:cs="Arial"/>
          <w:noProof w:val="0"/>
          <w:sz w:val="22"/>
          <w:szCs w:val="22"/>
          <w:lang w:val="en-US"/>
        </w:rPr>
      </w:pPr>
      <w:bookmarkStart w:id="0" w:name="_idContainer019"/>
      <w:r w:rsidRPr="001F0BAB">
        <w:rPr>
          <w:rFonts w:ascii="Arial" w:hAnsi="Arial" w:cs="Arial"/>
          <w:sz w:val="22"/>
          <w:szCs w:val="22"/>
          <w:lang w:eastAsia="sr-Latn-RS"/>
        </w:rPr>
        <w:pict>
          <v:shape id="_x0000_i1035" type="#_x0000_t75" style="width:451.5pt;height:171.75pt;visibility:visible;mso-wrap-style:square">
            <v:imagedata r:id="rId7" o:title=""/>
          </v:shape>
        </w:pict>
      </w:r>
    </w:p>
    <w:bookmarkEnd w:id="0"/>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Број запослених износи 2.942.000 лица. У поређењу са истим кварталом претходне године, у оквиру укупне запослености дошло је до повећања формалне запослености и смањења неформалне запослености (стопа неформалне запослености на нивоу свих делатности износила је 14,0%, односно у делатности пољопривреде износила је 53,8%, док je у делатностима ван пољопривреде ова стопа имала вредност од 7,0%). Доминантан раст запослености на међугодишњем нивоу забележен је у старосној категорији 45−54 године. Запосленост је порасла у популацији са средњим и високим образовањем, док је број запослених са основним и мањим од основног образовања смањен. У мушкој популацији, број запослених смањен је, док је у популацији жена запосленост повећана. И поред оваквих супротних трендова, стопа запослености жена је и даље знатно нижа него стопа запослености мушкараца. Наиме, стопа запослености жена у трећем кварталу 2022. године, износи 43,9%, док стопа запослености мушкараца износи 58,3%, односно родни јаз је 14,4 п.п. Београдски регион бележи највећу стопу запослености (55,3%), а иза њега следе Регион Војводине (51,6%) и Регион Шумадије и Западне Србије (50,1%). Регион Јужне и Источне Србије бележи најмању вредност (45,6%).</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Број незапослених је 288.900 лица. Незапосленост је смањена доминантно у популацији са средњим и високим образовањем. Стопа незапослености становништва старости 15 и више година за мушкарце износи 8,4%, односно 9,6% за жене. Посматрано на нивоу региона, ова стопа има најмању вредност у Региону Војводине (7,4%), а затим следе Београдски регион (7,5%) и Регион Шумадије и Западне Србије (9,7%). У Региону Јужне и Источне Србије и даље се бележи најлошија ситуација на тржишту рада, што показује највећа стопа незапослености, од 11,9%. Стопа дугорочне незапослености такође бележи пад на међугодишњем нивоу и у трећем кварталу 2022. године, износи 4,1%, што, у односу на трећи квартал 2021. године, представља смањење од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1,1%. Основни показатељи кретања на тржишту рада приказани су у </w:t>
      </w:r>
      <w:r w:rsidRPr="001F0BAB">
        <w:rPr>
          <w:rFonts w:ascii="Arial" w:hAnsi="Arial" w:cs="Arial"/>
          <w:i/>
          <w:noProof w:val="0"/>
          <w:color w:val="000000"/>
          <w:sz w:val="22"/>
          <w:szCs w:val="22"/>
          <w:lang w:val="en-US"/>
        </w:rPr>
        <w:t>Табели број 1.</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Табела број 1.</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Основни показатељи кретања на тржишту рада, III квартал 2022. године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047"/>
        <w:gridCol w:w="2350"/>
        <w:gridCol w:w="1704"/>
        <w:gridCol w:w="1313"/>
        <w:gridCol w:w="1843"/>
        <w:gridCol w:w="1844"/>
      </w:tblGrid>
      <w:tr w:rsidR="001F0BAB" w:rsidRPr="001F0BAB" w:rsidTr="00F2609E">
        <w:trPr>
          <w:trHeight w:val="45"/>
          <w:tblCellSpacing w:w="0" w:type="auto"/>
        </w:trPr>
        <w:tc>
          <w:tcPr>
            <w:tcW w:w="2080" w:type="dxa"/>
            <w:vMerge w:val="restart"/>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200" w:line="276" w:lineRule="auto"/>
              <w:contextualSpacing w:val="0"/>
              <w:rPr>
                <w:rFonts w:ascii="Arial" w:hAnsi="Arial" w:cs="Arial"/>
                <w:noProof w:val="0"/>
                <w:sz w:val="22"/>
                <w:szCs w:val="22"/>
                <w:lang w:val="en-US"/>
              </w:rPr>
            </w:pPr>
          </w:p>
        </w:tc>
        <w:tc>
          <w:tcPr>
            <w:tcW w:w="3636"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III квартал 2022. године</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Промене у односу на претходни квартал</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Промене у односу на исти квартал претходне године</w:t>
            </w:r>
          </w:p>
        </w:tc>
      </w:tr>
      <w:tr w:rsidR="001F0BAB" w:rsidRPr="001F0BAB" w:rsidTr="00F2609E">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1F0BAB" w:rsidRPr="001F0BAB" w:rsidRDefault="001F0BAB" w:rsidP="001F0BAB">
            <w:pPr>
              <w:spacing w:after="200" w:line="276" w:lineRule="auto"/>
              <w:contextualSpacing w:val="0"/>
              <w:rPr>
                <w:rFonts w:ascii="Arial" w:hAnsi="Arial" w:cs="Arial"/>
                <w:noProof w:val="0"/>
                <w:sz w:val="22"/>
                <w:szCs w:val="22"/>
                <w:lang w:val="en-US"/>
              </w:rPr>
            </w:pPr>
          </w:p>
        </w:tc>
        <w:tc>
          <w:tcPr>
            <w:tcW w:w="3636"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i/>
                <w:noProof w:val="0"/>
                <w:color w:val="000000"/>
                <w:sz w:val="22"/>
                <w:szCs w:val="22"/>
                <w:lang w:val="en-US"/>
              </w:rPr>
              <w:t>(у хиљ.)</w:t>
            </w:r>
          </w:p>
        </w:tc>
        <w:tc>
          <w:tcPr>
            <w:tcW w:w="2283"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i/>
                <w:noProof w:val="0"/>
                <w:color w:val="000000"/>
                <w:sz w:val="22"/>
                <w:szCs w:val="22"/>
                <w:lang w:val="en-US"/>
              </w:rPr>
              <w:t>(у хиљ.)</w:t>
            </w:r>
          </w:p>
        </w:tc>
        <w:tc>
          <w:tcPr>
            <w:tcW w:w="1832"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i/>
                <w:noProof w:val="0"/>
                <w:color w:val="000000"/>
                <w:sz w:val="22"/>
                <w:szCs w:val="22"/>
                <w:lang w:val="en-US"/>
              </w:rPr>
              <w:t>%</w:t>
            </w:r>
          </w:p>
        </w:tc>
        <w:tc>
          <w:tcPr>
            <w:tcW w:w="2284"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200" w:line="276" w:lineRule="auto"/>
              <w:contextualSpacing w:val="0"/>
              <w:rPr>
                <w:rFonts w:ascii="Arial" w:hAnsi="Arial" w:cs="Arial"/>
                <w:noProof w:val="0"/>
                <w:sz w:val="22"/>
                <w:szCs w:val="22"/>
                <w:lang w:val="en-US"/>
              </w:rPr>
            </w:pPr>
          </w:p>
        </w:tc>
        <w:tc>
          <w:tcPr>
            <w:tcW w:w="2285"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200" w:line="276" w:lineRule="auto"/>
              <w:contextualSpacing w:val="0"/>
              <w:rPr>
                <w:rFonts w:ascii="Arial" w:hAnsi="Arial" w:cs="Arial"/>
                <w:noProof w:val="0"/>
                <w:sz w:val="22"/>
                <w:szCs w:val="22"/>
                <w:lang w:val="en-US"/>
              </w:rPr>
            </w:pPr>
          </w:p>
        </w:tc>
      </w:tr>
      <w:tr w:rsidR="001F0BAB" w:rsidRPr="001F0BAB" w:rsidTr="00F2609E">
        <w:trPr>
          <w:trHeight w:val="45"/>
          <w:tblCellSpacing w:w="0" w:type="auto"/>
        </w:trPr>
        <w:tc>
          <w:tcPr>
            <w:tcW w:w="2080"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Популација старости 15+</w:t>
            </w:r>
          </w:p>
        </w:tc>
        <w:tc>
          <w:tcPr>
            <w:tcW w:w="3636"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5.786,8</w:t>
            </w:r>
          </w:p>
        </w:tc>
        <w:tc>
          <w:tcPr>
            <w:tcW w:w="2283"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b/>
                <w:noProof w:val="0"/>
                <w:color w:val="000000"/>
                <w:sz w:val="22"/>
                <w:szCs w:val="22"/>
                <w:lang w:val="en-US"/>
              </w:rPr>
              <w:t>-</w:t>
            </w:r>
            <w:r w:rsidRPr="001F0BAB">
              <w:rPr>
                <w:rFonts w:ascii="Arial" w:hAnsi="Arial" w:cs="Arial"/>
                <w:b/>
                <w:noProof w:val="0"/>
                <w:color w:val="000000"/>
                <w:sz w:val="22"/>
                <w:szCs w:val="22"/>
                <w:lang w:val="en-US"/>
              </w:rPr>
              <w:t>17,2</w:t>
            </w:r>
          </w:p>
        </w:tc>
        <w:tc>
          <w:tcPr>
            <w:tcW w:w="1832"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b/>
                <w:noProof w:val="0"/>
                <w:color w:val="000000"/>
                <w:sz w:val="22"/>
                <w:szCs w:val="22"/>
                <w:lang w:val="en-US"/>
              </w:rPr>
              <w:t>-</w:t>
            </w:r>
            <w:r w:rsidRPr="001F0BAB">
              <w:rPr>
                <w:rFonts w:ascii="Arial" w:hAnsi="Arial" w:cs="Arial"/>
                <w:b/>
                <w:noProof w:val="0"/>
                <w:color w:val="000000"/>
                <w:sz w:val="22"/>
                <w:szCs w:val="22"/>
                <w:lang w:val="en-US"/>
              </w:rPr>
              <w:t>0,3</w:t>
            </w:r>
          </w:p>
        </w:tc>
        <w:tc>
          <w:tcPr>
            <w:tcW w:w="2284"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b/>
                <w:noProof w:val="0"/>
                <w:color w:val="000000"/>
                <w:sz w:val="22"/>
                <w:szCs w:val="22"/>
                <w:lang w:val="en-US"/>
              </w:rPr>
              <w:t>-</w:t>
            </w:r>
            <w:r w:rsidRPr="001F0BAB">
              <w:rPr>
                <w:rFonts w:ascii="Arial" w:hAnsi="Arial" w:cs="Arial"/>
                <w:b/>
                <w:noProof w:val="0"/>
                <w:color w:val="000000"/>
                <w:sz w:val="22"/>
                <w:szCs w:val="22"/>
                <w:lang w:val="en-US"/>
              </w:rPr>
              <w:t>63,9</w:t>
            </w:r>
          </w:p>
        </w:tc>
        <w:tc>
          <w:tcPr>
            <w:tcW w:w="2285"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b/>
                <w:noProof w:val="0"/>
                <w:color w:val="000000"/>
                <w:sz w:val="22"/>
                <w:szCs w:val="22"/>
                <w:lang w:val="en-US"/>
              </w:rPr>
              <w:t>-</w:t>
            </w:r>
            <w:r w:rsidRPr="001F0BAB">
              <w:rPr>
                <w:rFonts w:ascii="Arial" w:hAnsi="Arial" w:cs="Arial"/>
                <w:b/>
                <w:noProof w:val="0"/>
                <w:color w:val="000000"/>
                <w:sz w:val="22"/>
                <w:szCs w:val="22"/>
                <w:lang w:val="en-US"/>
              </w:rPr>
              <w:t>1,1</w:t>
            </w:r>
          </w:p>
        </w:tc>
      </w:tr>
      <w:tr w:rsidR="001F0BAB" w:rsidRPr="001F0BAB" w:rsidTr="00F2609E">
        <w:trPr>
          <w:trHeight w:val="45"/>
          <w:tblCellSpacing w:w="0" w:type="auto"/>
        </w:trPr>
        <w:tc>
          <w:tcPr>
            <w:tcW w:w="2080"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Активно становништво</w:t>
            </w:r>
          </w:p>
        </w:tc>
        <w:tc>
          <w:tcPr>
            <w:tcW w:w="3636"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3.230,9</w:t>
            </w:r>
          </w:p>
        </w:tc>
        <w:tc>
          <w:tcPr>
            <w:tcW w:w="2283"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9,8</w:t>
            </w:r>
          </w:p>
        </w:tc>
        <w:tc>
          <w:tcPr>
            <w:tcW w:w="1832"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0,3</w:t>
            </w:r>
          </w:p>
        </w:tc>
        <w:tc>
          <w:tcPr>
            <w:tcW w:w="2284"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35,1</w:t>
            </w:r>
          </w:p>
        </w:tc>
        <w:tc>
          <w:tcPr>
            <w:tcW w:w="2285"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1,1</w:t>
            </w:r>
          </w:p>
        </w:tc>
      </w:tr>
      <w:tr w:rsidR="001F0BAB" w:rsidRPr="001F0BAB" w:rsidTr="00F2609E">
        <w:trPr>
          <w:trHeight w:val="45"/>
          <w:tblCellSpacing w:w="0" w:type="auto"/>
        </w:trPr>
        <w:tc>
          <w:tcPr>
            <w:tcW w:w="2080"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Запослени</w:t>
            </w:r>
          </w:p>
        </w:tc>
        <w:tc>
          <w:tcPr>
            <w:tcW w:w="3636"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2.942,0</w:t>
            </w:r>
          </w:p>
        </w:tc>
        <w:tc>
          <w:tcPr>
            <w:tcW w:w="2283"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11,4</w:t>
            </w:r>
          </w:p>
        </w:tc>
        <w:tc>
          <w:tcPr>
            <w:tcW w:w="1832"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0,4</w:t>
            </w:r>
          </w:p>
        </w:tc>
        <w:tc>
          <w:tcPr>
            <w:tcW w:w="2284"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17,5</w:t>
            </w:r>
          </w:p>
        </w:tc>
        <w:tc>
          <w:tcPr>
            <w:tcW w:w="2285"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0,6</w:t>
            </w:r>
          </w:p>
        </w:tc>
      </w:tr>
      <w:tr w:rsidR="001F0BAB" w:rsidRPr="001F0BAB" w:rsidTr="00F2609E">
        <w:trPr>
          <w:trHeight w:val="45"/>
          <w:tblCellSpacing w:w="0" w:type="auto"/>
        </w:trPr>
        <w:tc>
          <w:tcPr>
            <w:tcW w:w="2080"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Формално запослени</w:t>
            </w:r>
          </w:p>
        </w:tc>
        <w:tc>
          <w:tcPr>
            <w:tcW w:w="3636"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i/>
                <w:noProof w:val="0"/>
                <w:color w:val="000000"/>
                <w:sz w:val="22"/>
                <w:szCs w:val="22"/>
                <w:lang w:val="en-US"/>
              </w:rPr>
              <w:t>2.529,5</w:t>
            </w:r>
          </w:p>
        </w:tc>
        <w:tc>
          <w:tcPr>
            <w:tcW w:w="2283"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r w:rsidRPr="001F0BAB">
              <w:rPr>
                <w:rFonts w:ascii="Arial" w:hAnsi="Arial" w:cs="Arial"/>
                <w:i/>
                <w:noProof w:val="0"/>
                <w:color w:val="000000"/>
                <w:sz w:val="22"/>
                <w:szCs w:val="22"/>
                <w:lang w:val="en-US"/>
              </w:rPr>
              <w:t>1,8</w:t>
            </w:r>
          </w:p>
        </w:tc>
        <w:tc>
          <w:tcPr>
            <w:tcW w:w="1832"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r w:rsidRPr="001F0BAB">
              <w:rPr>
                <w:rFonts w:ascii="Arial" w:hAnsi="Arial" w:cs="Arial"/>
                <w:i/>
                <w:noProof w:val="0"/>
                <w:color w:val="000000"/>
                <w:sz w:val="22"/>
                <w:szCs w:val="22"/>
                <w:lang w:val="en-US"/>
              </w:rPr>
              <w:t>0,1</w:t>
            </w:r>
          </w:p>
        </w:tc>
        <w:tc>
          <w:tcPr>
            <w:tcW w:w="2284"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i/>
                <w:noProof w:val="0"/>
                <w:color w:val="000000"/>
                <w:sz w:val="22"/>
                <w:szCs w:val="22"/>
                <w:lang w:val="en-US"/>
              </w:rPr>
              <w:t>36,7</w:t>
            </w:r>
          </w:p>
        </w:tc>
        <w:tc>
          <w:tcPr>
            <w:tcW w:w="2285"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i/>
                <w:noProof w:val="0"/>
                <w:color w:val="000000"/>
                <w:sz w:val="22"/>
                <w:szCs w:val="22"/>
                <w:lang w:val="en-US"/>
              </w:rPr>
              <w:t>1,5</w:t>
            </w:r>
          </w:p>
        </w:tc>
      </w:tr>
      <w:tr w:rsidR="001F0BAB" w:rsidRPr="001F0BAB" w:rsidTr="00F2609E">
        <w:trPr>
          <w:trHeight w:val="45"/>
          <w:tblCellSpacing w:w="0" w:type="auto"/>
        </w:trPr>
        <w:tc>
          <w:tcPr>
            <w:tcW w:w="2080"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Неформално запослени</w:t>
            </w:r>
          </w:p>
        </w:tc>
        <w:tc>
          <w:tcPr>
            <w:tcW w:w="3636"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i/>
                <w:noProof w:val="0"/>
                <w:color w:val="000000"/>
                <w:sz w:val="22"/>
                <w:szCs w:val="22"/>
                <w:lang w:val="en-US"/>
              </w:rPr>
              <w:t>412,6</w:t>
            </w:r>
          </w:p>
        </w:tc>
        <w:tc>
          <w:tcPr>
            <w:tcW w:w="2283"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r w:rsidRPr="001F0BAB">
              <w:rPr>
                <w:rFonts w:ascii="Arial" w:hAnsi="Arial" w:cs="Arial"/>
                <w:i/>
                <w:noProof w:val="0"/>
                <w:color w:val="000000"/>
                <w:sz w:val="22"/>
                <w:szCs w:val="22"/>
                <w:lang w:val="en-US"/>
              </w:rPr>
              <w:t>9,7</w:t>
            </w:r>
          </w:p>
        </w:tc>
        <w:tc>
          <w:tcPr>
            <w:tcW w:w="1832"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r w:rsidRPr="001F0BAB">
              <w:rPr>
                <w:rFonts w:ascii="Arial" w:hAnsi="Arial" w:cs="Arial"/>
                <w:i/>
                <w:noProof w:val="0"/>
                <w:color w:val="000000"/>
                <w:sz w:val="22"/>
                <w:szCs w:val="22"/>
                <w:lang w:val="en-US"/>
              </w:rPr>
              <w:t>2,3</w:t>
            </w:r>
          </w:p>
        </w:tc>
        <w:tc>
          <w:tcPr>
            <w:tcW w:w="2284"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r w:rsidRPr="001F0BAB">
              <w:rPr>
                <w:rFonts w:ascii="Arial" w:hAnsi="Arial" w:cs="Arial"/>
                <w:i/>
                <w:noProof w:val="0"/>
                <w:color w:val="000000"/>
                <w:sz w:val="22"/>
                <w:szCs w:val="22"/>
                <w:lang w:val="en-US"/>
              </w:rPr>
              <w:t>19,1</w:t>
            </w:r>
          </w:p>
        </w:tc>
        <w:tc>
          <w:tcPr>
            <w:tcW w:w="2285"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r w:rsidRPr="001F0BAB">
              <w:rPr>
                <w:rFonts w:ascii="Arial" w:hAnsi="Arial" w:cs="Arial"/>
                <w:i/>
                <w:noProof w:val="0"/>
                <w:color w:val="000000"/>
                <w:sz w:val="22"/>
                <w:szCs w:val="22"/>
                <w:lang w:val="en-US"/>
              </w:rPr>
              <w:t>4,4</w:t>
            </w:r>
          </w:p>
        </w:tc>
      </w:tr>
      <w:tr w:rsidR="001F0BAB" w:rsidRPr="001F0BAB" w:rsidTr="00F2609E">
        <w:trPr>
          <w:trHeight w:val="45"/>
          <w:tblCellSpacing w:w="0" w:type="auto"/>
        </w:trPr>
        <w:tc>
          <w:tcPr>
            <w:tcW w:w="2080"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Незапослени</w:t>
            </w:r>
          </w:p>
        </w:tc>
        <w:tc>
          <w:tcPr>
            <w:tcW w:w="3636"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288,9</w:t>
            </w:r>
          </w:p>
        </w:tc>
        <w:tc>
          <w:tcPr>
            <w:tcW w:w="2283"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1,7</w:t>
            </w:r>
          </w:p>
        </w:tc>
        <w:tc>
          <w:tcPr>
            <w:tcW w:w="1832"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0,6</w:t>
            </w:r>
          </w:p>
        </w:tc>
        <w:tc>
          <w:tcPr>
            <w:tcW w:w="2284"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52,6</w:t>
            </w:r>
          </w:p>
        </w:tc>
        <w:tc>
          <w:tcPr>
            <w:tcW w:w="2285"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15,4</w:t>
            </w:r>
          </w:p>
        </w:tc>
      </w:tr>
      <w:tr w:rsidR="001F0BAB" w:rsidRPr="001F0BAB" w:rsidTr="00F2609E">
        <w:trPr>
          <w:trHeight w:val="45"/>
          <w:tblCellSpacing w:w="0" w:type="auto"/>
        </w:trPr>
        <w:tc>
          <w:tcPr>
            <w:tcW w:w="2080"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Становништво ван радне снаге</w:t>
            </w:r>
          </w:p>
        </w:tc>
        <w:tc>
          <w:tcPr>
            <w:tcW w:w="3636"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2.555,9</w:t>
            </w:r>
          </w:p>
        </w:tc>
        <w:tc>
          <w:tcPr>
            <w:tcW w:w="2283"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7,4</w:t>
            </w:r>
          </w:p>
        </w:tc>
        <w:tc>
          <w:tcPr>
            <w:tcW w:w="1832"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0,3</w:t>
            </w:r>
          </w:p>
        </w:tc>
        <w:tc>
          <w:tcPr>
            <w:tcW w:w="2284"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28,8</w:t>
            </w:r>
          </w:p>
        </w:tc>
        <w:tc>
          <w:tcPr>
            <w:tcW w:w="2285"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1,1</w:t>
            </w:r>
          </w:p>
        </w:tc>
      </w:tr>
      <w:tr w:rsidR="001F0BAB" w:rsidRPr="001F0BAB" w:rsidTr="00F260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200" w:line="276" w:lineRule="auto"/>
              <w:contextualSpacing w:val="0"/>
              <w:rPr>
                <w:rFonts w:ascii="Arial" w:hAnsi="Arial" w:cs="Arial"/>
                <w:noProof w:val="0"/>
                <w:sz w:val="22"/>
                <w:szCs w:val="22"/>
                <w:lang w:val="en-US"/>
              </w:rPr>
            </w:pPr>
          </w:p>
        </w:tc>
      </w:tr>
      <w:tr w:rsidR="001F0BAB" w:rsidRPr="001F0BAB" w:rsidTr="00F2609E">
        <w:trPr>
          <w:trHeight w:val="45"/>
          <w:tblCellSpacing w:w="0" w:type="auto"/>
        </w:trPr>
        <w:tc>
          <w:tcPr>
            <w:tcW w:w="2080"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Стопе</w:t>
            </w:r>
          </w:p>
        </w:tc>
        <w:tc>
          <w:tcPr>
            <w:tcW w:w="3636"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i/>
                <w:noProof w:val="0"/>
                <w:color w:val="000000"/>
                <w:sz w:val="22"/>
                <w:szCs w:val="22"/>
                <w:lang w:val="en-US"/>
              </w:rPr>
              <w:t>п.п.</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i/>
                <w:noProof w:val="0"/>
                <w:color w:val="000000"/>
                <w:sz w:val="22"/>
                <w:szCs w:val="22"/>
                <w:lang w:val="en-US"/>
              </w:rPr>
              <w:t>п.п.</w:t>
            </w:r>
          </w:p>
        </w:tc>
      </w:tr>
      <w:tr w:rsidR="001F0BAB" w:rsidRPr="001F0BAB" w:rsidTr="00F2609E">
        <w:trPr>
          <w:trHeight w:val="45"/>
          <w:tblCellSpacing w:w="0" w:type="auto"/>
        </w:trPr>
        <w:tc>
          <w:tcPr>
            <w:tcW w:w="2080"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Активности</w:t>
            </w:r>
          </w:p>
        </w:tc>
        <w:tc>
          <w:tcPr>
            <w:tcW w:w="3636"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55,8</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0,0</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0,0</w:t>
            </w:r>
          </w:p>
        </w:tc>
      </w:tr>
      <w:tr w:rsidR="001F0BAB" w:rsidRPr="001F0BAB" w:rsidTr="00F2609E">
        <w:trPr>
          <w:trHeight w:val="45"/>
          <w:tblCellSpacing w:w="0" w:type="auto"/>
        </w:trPr>
        <w:tc>
          <w:tcPr>
            <w:tcW w:w="2080"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Запослености</w:t>
            </w:r>
          </w:p>
        </w:tc>
        <w:tc>
          <w:tcPr>
            <w:tcW w:w="3636"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50,8</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0,1</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0,8</w:t>
            </w:r>
          </w:p>
        </w:tc>
      </w:tr>
      <w:tr w:rsidR="001F0BAB" w:rsidRPr="001F0BAB" w:rsidTr="00F2609E">
        <w:trPr>
          <w:trHeight w:val="45"/>
          <w:tblCellSpacing w:w="0" w:type="auto"/>
        </w:trPr>
        <w:tc>
          <w:tcPr>
            <w:tcW w:w="2080"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Неформалне запослености</w:t>
            </w:r>
          </w:p>
        </w:tc>
        <w:tc>
          <w:tcPr>
            <w:tcW w:w="3636"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i/>
                <w:noProof w:val="0"/>
                <w:color w:val="000000"/>
                <w:sz w:val="22"/>
                <w:szCs w:val="22"/>
                <w:lang w:val="en-US"/>
              </w:rPr>
              <w:t>14,0</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r w:rsidRPr="001F0BAB">
              <w:rPr>
                <w:rFonts w:ascii="Arial" w:hAnsi="Arial" w:cs="Arial"/>
                <w:i/>
                <w:noProof w:val="0"/>
                <w:color w:val="000000"/>
                <w:sz w:val="22"/>
                <w:szCs w:val="22"/>
                <w:lang w:val="en-US"/>
              </w:rPr>
              <w:t>0,3</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r w:rsidRPr="001F0BAB">
              <w:rPr>
                <w:rFonts w:ascii="Arial" w:hAnsi="Arial" w:cs="Arial"/>
                <w:i/>
                <w:noProof w:val="0"/>
                <w:color w:val="000000"/>
                <w:sz w:val="22"/>
                <w:szCs w:val="22"/>
                <w:lang w:val="en-US"/>
              </w:rPr>
              <w:t>0,7</w:t>
            </w:r>
          </w:p>
        </w:tc>
      </w:tr>
      <w:tr w:rsidR="001F0BAB" w:rsidRPr="001F0BAB" w:rsidTr="00F2609E">
        <w:trPr>
          <w:trHeight w:val="45"/>
          <w:tblCellSpacing w:w="0" w:type="auto"/>
        </w:trPr>
        <w:tc>
          <w:tcPr>
            <w:tcW w:w="2080"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Незапослености</w:t>
            </w:r>
          </w:p>
        </w:tc>
        <w:tc>
          <w:tcPr>
            <w:tcW w:w="3636"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8,9</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0,0</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1,6</w:t>
            </w:r>
          </w:p>
        </w:tc>
      </w:tr>
      <w:tr w:rsidR="001F0BAB" w:rsidRPr="001F0BAB" w:rsidTr="00F2609E">
        <w:trPr>
          <w:trHeight w:val="45"/>
          <w:tblCellSpacing w:w="0" w:type="auto"/>
        </w:trPr>
        <w:tc>
          <w:tcPr>
            <w:tcW w:w="2080"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Становништво ван радне снаге</w:t>
            </w:r>
          </w:p>
        </w:tc>
        <w:tc>
          <w:tcPr>
            <w:tcW w:w="3636"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44,2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0,0</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0,0</w:t>
            </w:r>
          </w:p>
        </w:tc>
      </w:tr>
    </w:tbl>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i/>
          <w:noProof w:val="0"/>
          <w:color w:val="000000"/>
          <w:sz w:val="22"/>
          <w:szCs w:val="22"/>
          <w:lang w:val="en-US"/>
        </w:rPr>
        <w:t>Извор: АРС, РЗС</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У популацији младих, узраста 15−24 године, за разлику од укупне популације, дошло је до погоршања вредности основних индикатора тржишта рада. Наиме, стопа активности младих у трећем кварталу 2022. године, износила је 34,1%, што је за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1,4 п.п. мање него у истом периоду прошле године. Стопа запослености износила је 25,4% и, у односу на трећи квартал 2021. године, смањена је за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1,9 п.п. Стопа незапослености младих на међугодишњем нивоу повећана је за +2,3 п.п. и у трећем кварталу 2022. године, износила је 25,4%.</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Међутим, тзв. NEET стопа, односно удео младих узраста 15−24 године, који нити раде нити су у процесу образовања или обуке у укупној популацији младих, у трећем кварталу 2022. године, износила је 13,5%, што, у односу на трећи квартал 2021. године, представља смањење од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4,6 п.п. Код популације узраста 15−29 година, стопа NEET била је на нивоу од 15,7% и бележи међугодишњи пад од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4,3 п.п.</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Анализом података о </w:t>
      </w:r>
      <w:r w:rsidRPr="001F0BAB">
        <w:rPr>
          <w:rFonts w:ascii="Arial" w:hAnsi="Arial" w:cs="Arial"/>
          <w:b/>
          <w:noProof w:val="0"/>
          <w:color w:val="000000"/>
          <w:sz w:val="22"/>
          <w:szCs w:val="22"/>
          <w:lang w:val="en-US"/>
        </w:rPr>
        <w:t>регистрованој запослености</w:t>
      </w:r>
      <w:r w:rsidRPr="001F0BAB">
        <w:rPr>
          <w:rFonts w:ascii="Arial" w:hAnsi="Arial" w:cs="Arial"/>
          <w:noProof w:val="0"/>
          <w:color w:val="000000"/>
          <w:sz w:val="22"/>
          <w:szCs w:val="22"/>
          <w:vertAlign w:val="superscript"/>
          <w:lang w:val="en-US"/>
        </w:rPr>
        <w:t>2</w:t>
      </w:r>
      <w:r w:rsidRPr="001F0BAB">
        <w:rPr>
          <w:rFonts w:ascii="Arial" w:hAnsi="Arial" w:cs="Arial"/>
          <w:noProof w:val="0"/>
          <w:color w:val="000000"/>
          <w:sz w:val="22"/>
          <w:szCs w:val="22"/>
          <w:lang w:val="en-US"/>
        </w:rPr>
        <w:t xml:space="preserve"> закључује се да иста бележи раст (повећан је укупан број запослених, у односу на исти квартал претходне године, за 21.496 лица, односно за 0,9%). У трећем кварталу 2022. године, укупан број запослених од 2.308.955 лица чинило је 1.856.035 запослених у правним лицима, 397.247 предузетника, лица запослена код њих и лица која самостално обављају делатност и 55.673 регистрованих индивидуалних пољопривредника. Иако је повећан укупан број запослених, структурно посматрано, повећан је само број запослених у правним лицима, док је број предузетника, запослених код њих и лица која самостално обављају делатност, као и регистрованих индивидуалних пољопривредника смањен (+1,8%,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1,5% и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7,5% респективно). Трендови регистроване запослености, у 2021/22. години, приказани су на </w:t>
      </w:r>
      <w:r w:rsidRPr="001F0BAB">
        <w:rPr>
          <w:rFonts w:ascii="Arial" w:hAnsi="Arial" w:cs="Arial"/>
          <w:i/>
          <w:noProof w:val="0"/>
          <w:color w:val="000000"/>
          <w:sz w:val="22"/>
          <w:szCs w:val="22"/>
          <w:lang w:val="en-US"/>
        </w:rPr>
        <w:t>Графикону број 2.</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Графикон број 2.</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Трендови регистроване запослености, 2021</w:t>
      </w:r>
      <w:r>
        <w:rPr>
          <w:rFonts w:ascii="Arial" w:hAnsi="Arial" w:cs="Arial"/>
          <w:b/>
          <w:noProof w:val="0"/>
          <w:color w:val="000000"/>
          <w:sz w:val="22"/>
          <w:szCs w:val="22"/>
          <w:lang w:val="en-US"/>
        </w:rPr>
        <w:t>-</w:t>
      </w:r>
      <w:r w:rsidRPr="001F0BAB">
        <w:rPr>
          <w:rFonts w:ascii="Arial" w:hAnsi="Arial" w:cs="Arial"/>
          <w:b/>
          <w:noProof w:val="0"/>
          <w:color w:val="000000"/>
          <w:sz w:val="22"/>
          <w:szCs w:val="22"/>
          <w:lang w:val="en-US"/>
        </w:rPr>
        <w:t>2022. година</w:t>
      </w:r>
    </w:p>
    <w:p w:rsidR="001F0BAB" w:rsidRPr="001F0BAB" w:rsidRDefault="001F0BAB" w:rsidP="001F0BAB">
      <w:pPr>
        <w:spacing w:after="200" w:line="276" w:lineRule="auto"/>
        <w:contextualSpacing w:val="0"/>
        <w:rPr>
          <w:rFonts w:ascii="Arial" w:hAnsi="Arial" w:cs="Arial"/>
          <w:noProof w:val="0"/>
          <w:sz w:val="22"/>
          <w:szCs w:val="22"/>
          <w:lang w:val="en-US"/>
        </w:rPr>
      </w:pPr>
      <w:bookmarkStart w:id="1" w:name="_idContainer020"/>
      <w:r w:rsidRPr="001F0BAB">
        <w:rPr>
          <w:rFonts w:ascii="Arial" w:hAnsi="Arial" w:cs="Arial"/>
          <w:sz w:val="22"/>
          <w:szCs w:val="22"/>
          <w:lang w:eastAsia="sr-Latn-RS"/>
        </w:rPr>
        <w:pict>
          <v:shape id="Picture 2" o:spid="_x0000_i1034" type="#_x0000_t75" style="width:255pt;height:72.75pt;visibility:visible;mso-wrap-style:square">
            <v:imagedata r:id="rId8" o:title=""/>
          </v:shape>
        </w:pict>
      </w:r>
    </w:p>
    <w:bookmarkEnd w:id="1"/>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i/>
          <w:noProof w:val="0"/>
          <w:color w:val="000000"/>
          <w:sz w:val="22"/>
          <w:szCs w:val="22"/>
          <w:lang w:val="en-US"/>
        </w:rPr>
        <w:t>Извор: РЗС</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Сектори делатности у којима је дошло до повећања броја запослених су </w:t>
      </w:r>
      <w:r w:rsidRPr="001F0BAB">
        <w:rPr>
          <w:rFonts w:ascii="Arial" w:hAnsi="Arial" w:cs="Arial"/>
          <w:i/>
          <w:noProof w:val="0"/>
          <w:color w:val="000000"/>
          <w:sz w:val="22"/>
          <w:szCs w:val="22"/>
          <w:lang w:val="en-US"/>
        </w:rPr>
        <w:t>Трговина на велико и мало и поправка моторних возила и мотоцикала, Саобраћај и складиштење, Услуге смештаја и исхране, Информисање и комуникације, Стручне, научне и техничке делатности, Уметност; Забава и рекреација, Административне и помоћне услужне делатности и Државна управа и одбрана; Обавезно социјално осигурање</w:t>
      </w:r>
      <w:r w:rsidRPr="001F0BAB">
        <w:rPr>
          <w:rFonts w:ascii="Arial" w:hAnsi="Arial" w:cs="Arial"/>
          <w:noProof w:val="0"/>
          <w:color w:val="000000"/>
          <w:sz w:val="22"/>
          <w:szCs w:val="22"/>
          <w:lang w:val="en-US"/>
        </w:rPr>
        <w:t>. Међуквартално повећање укупног броја запослених износи 4.299 лица, односно за 0,2% (при чему је број запослених у правним лицима порастао за 3.372 лица, тј. за 0,2%, број предузетника, запослених код њих и лица која самостално обављају делатност повећан је за 2.053 лица, тј. за 0,5%, док је број регистрованих индивидуалних пољопривредника смањен за 1.126 лица, тј. за 2%).</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2 Републички завод за статистику, 28. октобар 2022. године, на бази информација из Централног регистра обавезног социјалног осигурања и Статистичког пословног регистра.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Када је у питању </w:t>
      </w:r>
      <w:r w:rsidRPr="001F0BAB">
        <w:rPr>
          <w:rFonts w:ascii="Arial" w:hAnsi="Arial" w:cs="Arial"/>
          <w:b/>
          <w:noProof w:val="0"/>
          <w:color w:val="000000"/>
          <w:sz w:val="22"/>
          <w:szCs w:val="22"/>
          <w:lang w:val="en-US"/>
        </w:rPr>
        <w:t>регистрована незапосленост</w:t>
      </w:r>
      <w:r w:rsidRPr="001F0BAB">
        <w:rPr>
          <w:rFonts w:ascii="Arial" w:hAnsi="Arial" w:cs="Arial"/>
          <w:noProof w:val="0"/>
          <w:color w:val="000000"/>
          <w:sz w:val="22"/>
          <w:szCs w:val="22"/>
          <w:vertAlign w:val="superscript"/>
          <w:lang w:val="en-US"/>
        </w:rPr>
        <w:t>3</w:t>
      </w:r>
      <w:r w:rsidRPr="001F0BAB">
        <w:rPr>
          <w:rFonts w:ascii="Arial" w:hAnsi="Arial" w:cs="Arial"/>
          <w:noProof w:val="0"/>
          <w:color w:val="000000"/>
          <w:sz w:val="22"/>
          <w:szCs w:val="22"/>
          <w:lang w:val="en-US"/>
        </w:rPr>
        <w:t>, на евиденцији незапослених налазило 428.712 лица, од којих је 240.277 жена (56,05%), што представља повећање у односу на претходни месец од 924 лица (830 жена). Од укупног броја незапослених, први пут запослење тражи 245.407 лица (141.344 жена), тј. 57,24%. У односу на исти месец претходне године, регистрована незапосленост је смањена за 53.523 лица (29.671 жена).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Посматрано према старосној структури, удео младих у укупној регистрованој незапослености износи 20,2%, док је удео старијих од 50 година 38,3%. Регистрована незапосленост по старосним групама и полу приказана је у </w:t>
      </w:r>
      <w:r w:rsidRPr="001F0BAB">
        <w:rPr>
          <w:rFonts w:ascii="Arial" w:hAnsi="Arial" w:cs="Arial"/>
          <w:i/>
          <w:noProof w:val="0"/>
          <w:color w:val="000000"/>
          <w:sz w:val="22"/>
          <w:szCs w:val="22"/>
          <w:lang w:val="en-US"/>
        </w:rPr>
        <w:t>Табели број 2.</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Табела број 2.</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Регистрована незапосленост по старосним групама и полу</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547"/>
        <w:gridCol w:w="3049"/>
        <w:gridCol w:w="3050"/>
        <w:gridCol w:w="2455"/>
      </w:tblGrid>
      <w:tr w:rsidR="001F0BAB" w:rsidRPr="001F0BAB" w:rsidTr="00F2609E">
        <w:trPr>
          <w:trHeight w:val="45"/>
          <w:tblCellSpacing w:w="0" w:type="auto"/>
        </w:trPr>
        <w:tc>
          <w:tcPr>
            <w:tcW w:w="3159" w:type="dxa"/>
            <w:vMerge w:val="restart"/>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Старосна група</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Незапослена лица</w:t>
            </w:r>
          </w:p>
        </w:tc>
        <w:tc>
          <w:tcPr>
            <w:tcW w:w="3218" w:type="dxa"/>
            <w:vMerge w:val="restart"/>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Удео</w:t>
            </w:r>
          </w:p>
        </w:tc>
      </w:tr>
      <w:tr w:rsidR="001F0BAB" w:rsidRPr="001F0BAB" w:rsidTr="00F2609E">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1F0BAB" w:rsidRPr="001F0BAB" w:rsidRDefault="001F0BAB" w:rsidP="001F0BAB">
            <w:pPr>
              <w:spacing w:after="200" w:line="276" w:lineRule="auto"/>
              <w:contextualSpacing w:val="0"/>
              <w:rPr>
                <w:rFonts w:ascii="Arial" w:hAnsi="Arial" w:cs="Arial"/>
                <w:noProof w:val="0"/>
                <w:sz w:val="22"/>
                <w:szCs w:val="22"/>
                <w:lang w:val="en-US"/>
              </w:rPr>
            </w:pPr>
          </w:p>
        </w:tc>
        <w:tc>
          <w:tcPr>
            <w:tcW w:w="4011"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i/>
                <w:noProof w:val="0"/>
                <w:color w:val="000000"/>
                <w:sz w:val="22"/>
                <w:szCs w:val="22"/>
                <w:lang w:val="en-US"/>
              </w:rPr>
              <w:t>Укупно</w:t>
            </w:r>
          </w:p>
        </w:tc>
        <w:tc>
          <w:tcPr>
            <w:tcW w:w="4012"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i/>
                <w:noProof w:val="0"/>
                <w:color w:val="000000"/>
                <w:sz w:val="22"/>
                <w:szCs w:val="22"/>
                <w:lang w:val="en-US"/>
              </w:rPr>
              <w:t>Жене</w:t>
            </w:r>
          </w:p>
        </w:tc>
        <w:tc>
          <w:tcPr>
            <w:tcW w:w="0" w:type="auto"/>
            <w:vMerge/>
            <w:tcBorders>
              <w:top w:val="nil"/>
              <w:left w:val="single" w:sz="8" w:space="0" w:color="000000"/>
              <w:bottom w:val="single" w:sz="8" w:space="0" w:color="000000"/>
              <w:right w:val="single" w:sz="8" w:space="0" w:color="000000"/>
            </w:tcBorders>
          </w:tcPr>
          <w:p w:rsidR="001F0BAB" w:rsidRPr="001F0BAB" w:rsidRDefault="001F0BAB" w:rsidP="001F0BAB">
            <w:pPr>
              <w:spacing w:after="200" w:line="276" w:lineRule="auto"/>
              <w:contextualSpacing w:val="0"/>
              <w:rPr>
                <w:rFonts w:ascii="Arial" w:hAnsi="Arial" w:cs="Arial"/>
                <w:noProof w:val="0"/>
                <w:sz w:val="22"/>
                <w:szCs w:val="22"/>
                <w:lang w:val="en-US"/>
              </w:rPr>
            </w:pPr>
          </w:p>
        </w:tc>
      </w:tr>
      <w:tr w:rsidR="001F0BAB" w:rsidRPr="001F0BAB" w:rsidTr="00F2609E">
        <w:trPr>
          <w:trHeight w:val="45"/>
          <w:tblCellSpacing w:w="0" w:type="auto"/>
        </w:trPr>
        <w:tc>
          <w:tcPr>
            <w:tcW w:w="3159"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15</w:t>
            </w:r>
            <w:r>
              <w:rPr>
                <w:rFonts w:ascii="Arial" w:hAnsi="Arial" w:cs="Arial"/>
                <w:b/>
                <w:noProof w:val="0"/>
                <w:color w:val="000000"/>
                <w:sz w:val="22"/>
                <w:szCs w:val="22"/>
                <w:lang w:val="en-US"/>
              </w:rPr>
              <w:t>-</w:t>
            </w:r>
            <w:r w:rsidRPr="001F0BAB">
              <w:rPr>
                <w:rFonts w:ascii="Arial" w:hAnsi="Arial" w:cs="Arial"/>
                <w:b/>
                <w:noProof w:val="0"/>
                <w:color w:val="000000"/>
                <w:sz w:val="22"/>
                <w:szCs w:val="22"/>
                <w:lang w:val="en-US"/>
              </w:rPr>
              <w:t>19</w:t>
            </w:r>
          </w:p>
        </w:tc>
        <w:tc>
          <w:tcPr>
            <w:tcW w:w="4011"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15.239</w:t>
            </w:r>
          </w:p>
        </w:tc>
        <w:tc>
          <w:tcPr>
            <w:tcW w:w="4012"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7.164</w:t>
            </w:r>
          </w:p>
        </w:tc>
        <w:tc>
          <w:tcPr>
            <w:tcW w:w="3218" w:type="dxa"/>
            <w:vMerge w:val="restart"/>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20,2%</w:t>
            </w:r>
          </w:p>
        </w:tc>
      </w:tr>
      <w:tr w:rsidR="001F0BAB" w:rsidRPr="001F0BAB" w:rsidTr="00F2609E">
        <w:trPr>
          <w:trHeight w:val="45"/>
          <w:tblCellSpacing w:w="0" w:type="auto"/>
        </w:trPr>
        <w:tc>
          <w:tcPr>
            <w:tcW w:w="3159"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20</w:t>
            </w:r>
            <w:r>
              <w:rPr>
                <w:rFonts w:ascii="Arial" w:hAnsi="Arial" w:cs="Arial"/>
                <w:b/>
                <w:noProof w:val="0"/>
                <w:color w:val="000000"/>
                <w:sz w:val="22"/>
                <w:szCs w:val="22"/>
                <w:lang w:val="en-US"/>
              </w:rPr>
              <w:t>-</w:t>
            </w:r>
            <w:r w:rsidRPr="001F0BAB">
              <w:rPr>
                <w:rFonts w:ascii="Arial" w:hAnsi="Arial" w:cs="Arial"/>
                <w:b/>
                <w:noProof w:val="0"/>
                <w:color w:val="000000"/>
                <w:sz w:val="22"/>
                <w:szCs w:val="22"/>
                <w:lang w:val="en-US"/>
              </w:rPr>
              <w:t>24</w:t>
            </w:r>
          </w:p>
        </w:tc>
        <w:tc>
          <w:tcPr>
            <w:tcW w:w="4011"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32.833</w:t>
            </w:r>
          </w:p>
        </w:tc>
        <w:tc>
          <w:tcPr>
            <w:tcW w:w="4012"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17.752</w:t>
            </w:r>
          </w:p>
        </w:tc>
        <w:tc>
          <w:tcPr>
            <w:tcW w:w="0" w:type="auto"/>
            <w:vMerge/>
            <w:tcBorders>
              <w:top w:val="nil"/>
              <w:left w:val="single" w:sz="8" w:space="0" w:color="000000"/>
              <w:bottom w:val="single" w:sz="8" w:space="0" w:color="000000"/>
              <w:right w:val="single" w:sz="8" w:space="0" w:color="000000"/>
            </w:tcBorders>
          </w:tcPr>
          <w:p w:rsidR="001F0BAB" w:rsidRPr="001F0BAB" w:rsidRDefault="001F0BAB" w:rsidP="001F0BAB">
            <w:pPr>
              <w:spacing w:after="200" w:line="276" w:lineRule="auto"/>
              <w:contextualSpacing w:val="0"/>
              <w:rPr>
                <w:rFonts w:ascii="Arial" w:hAnsi="Arial" w:cs="Arial"/>
                <w:noProof w:val="0"/>
                <w:sz w:val="22"/>
                <w:szCs w:val="22"/>
                <w:lang w:val="en-US"/>
              </w:rPr>
            </w:pPr>
          </w:p>
        </w:tc>
      </w:tr>
      <w:tr w:rsidR="001F0BAB" w:rsidRPr="001F0BAB" w:rsidTr="00F2609E">
        <w:trPr>
          <w:trHeight w:val="45"/>
          <w:tblCellSpacing w:w="0" w:type="auto"/>
        </w:trPr>
        <w:tc>
          <w:tcPr>
            <w:tcW w:w="3159"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25</w:t>
            </w:r>
            <w:r>
              <w:rPr>
                <w:rFonts w:ascii="Arial" w:hAnsi="Arial" w:cs="Arial"/>
                <w:b/>
                <w:noProof w:val="0"/>
                <w:color w:val="000000"/>
                <w:sz w:val="22"/>
                <w:szCs w:val="22"/>
                <w:lang w:val="en-US"/>
              </w:rPr>
              <w:t>-</w:t>
            </w:r>
            <w:r w:rsidRPr="001F0BAB">
              <w:rPr>
                <w:rFonts w:ascii="Arial" w:hAnsi="Arial" w:cs="Arial"/>
                <w:b/>
                <w:noProof w:val="0"/>
                <w:color w:val="000000"/>
                <w:sz w:val="22"/>
                <w:szCs w:val="22"/>
                <w:lang w:val="en-US"/>
              </w:rPr>
              <w:t>29</w:t>
            </w:r>
          </w:p>
        </w:tc>
        <w:tc>
          <w:tcPr>
            <w:tcW w:w="4011"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38.565</w:t>
            </w:r>
          </w:p>
        </w:tc>
        <w:tc>
          <w:tcPr>
            <w:tcW w:w="4012"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22.646</w:t>
            </w:r>
          </w:p>
        </w:tc>
        <w:tc>
          <w:tcPr>
            <w:tcW w:w="0" w:type="auto"/>
            <w:vMerge/>
            <w:tcBorders>
              <w:top w:val="nil"/>
              <w:left w:val="single" w:sz="8" w:space="0" w:color="000000"/>
              <w:bottom w:val="single" w:sz="8" w:space="0" w:color="000000"/>
              <w:right w:val="single" w:sz="8" w:space="0" w:color="000000"/>
            </w:tcBorders>
          </w:tcPr>
          <w:p w:rsidR="001F0BAB" w:rsidRPr="001F0BAB" w:rsidRDefault="001F0BAB" w:rsidP="001F0BAB">
            <w:pPr>
              <w:spacing w:after="200" w:line="276" w:lineRule="auto"/>
              <w:contextualSpacing w:val="0"/>
              <w:rPr>
                <w:rFonts w:ascii="Arial" w:hAnsi="Arial" w:cs="Arial"/>
                <w:noProof w:val="0"/>
                <w:sz w:val="22"/>
                <w:szCs w:val="22"/>
                <w:lang w:val="en-US"/>
              </w:rPr>
            </w:pPr>
          </w:p>
        </w:tc>
      </w:tr>
      <w:tr w:rsidR="001F0BAB" w:rsidRPr="001F0BAB" w:rsidTr="00F2609E">
        <w:trPr>
          <w:trHeight w:val="45"/>
          <w:tblCellSpacing w:w="0" w:type="auto"/>
        </w:trPr>
        <w:tc>
          <w:tcPr>
            <w:tcW w:w="3159"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30</w:t>
            </w:r>
            <w:r>
              <w:rPr>
                <w:rFonts w:ascii="Arial" w:hAnsi="Arial" w:cs="Arial"/>
                <w:b/>
                <w:noProof w:val="0"/>
                <w:color w:val="000000"/>
                <w:sz w:val="22"/>
                <w:szCs w:val="22"/>
                <w:lang w:val="en-US"/>
              </w:rPr>
              <w:t>-</w:t>
            </w:r>
            <w:r w:rsidRPr="001F0BAB">
              <w:rPr>
                <w:rFonts w:ascii="Arial" w:hAnsi="Arial" w:cs="Arial"/>
                <w:b/>
                <w:noProof w:val="0"/>
                <w:color w:val="000000"/>
                <w:sz w:val="22"/>
                <w:szCs w:val="22"/>
                <w:lang w:val="en-US"/>
              </w:rPr>
              <w:t>34</w:t>
            </w:r>
          </w:p>
        </w:tc>
        <w:tc>
          <w:tcPr>
            <w:tcW w:w="4011"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38.860</w:t>
            </w:r>
          </w:p>
        </w:tc>
        <w:tc>
          <w:tcPr>
            <w:tcW w:w="4012"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23.370</w:t>
            </w:r>
          </w:p>
        </w:tc>
        <w:tc>
          <w:tcPr>
            <w:tcW w:w="3218" w:type="dxa"/>
            <w:vMerge w:val="restart"/>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41,5%</w:t>
            </w:r>
          </w:p>
        </w:tc>
      </w:tr>
      <w:tr w:rsidR="001F0BAB" w:rsidRPr="001F0BAB" w:rsidTr="00F2609E">
        <w:trPr>
          <w:trHeight w:val="45"/>
          <w:tblCellSpacing w:w="0" w:type="auto"/>
        </w:trPr>
        <w:tc>
          <w:tcPr>
            <w:tcW w:w="3159"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35</w:t>
            </w:r>
            <w:r>
              <w:rPr>
                <w:rFonts w:ascii="Arial" w:hAnsi="Arial" w:cs="Arial"/>
                <w:b/>
                <w:noProof w:val="0"/>
                <w:color w:val="000000"/>
                <w:sz w:val="22"/>
                <w:szCs w:val="22"/>
                <w:lang w:val="en-US"/>
              </w:rPr>
              <w:t>-</w:t>
            </w:r>
            <w:r w:rsidRPr="001F0BAB">
              <w:rPr>
                <w:rFonts w:ascii="Arial" w:hAnsi="Arial" w:cs="Arial"/>
                <w:b/>
                <w:noProof w:val="0"/>
                <w:color w:val="000000"/>
                <w:sz w:val="22"/>
                <w:szCs w:val="22"/>
                <w:lang w:val="en-US"/>
              </w:rPr>
              <w:t>39</w:t>
            </w:r>
          </w:p>
        </w:tc>
        <w:tc>
          <w:tcPr>
            <w:tcW w:w="4011"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42.937</w:t>
            </w:r>
          </w:p>
        </w:tc>
        <w:tc>
          <w:tcPr>
            <w:tcW w:w="4012"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25.584</w:t>
            </w:r>
          </w:p>
        </w:tc>
        <w:tc>
          <w:tcPr>
            <w:tcW w:w="0" w:type="auto"/>
            <w:vMerge/>
            <w:tcBorders>
              <w:top w:val="nil"/>
              <w:left w:val="single" w:sz="8" w:space="0" w:color="000000"/>
              <w:bottom w:val="single" w:sz="8" w:space="0" w:color="000000"/>
              <w:right w:val="single" w:sz="8" w:space="0" w:color="000000"/>
            </w:tcBorders>
          </w:tcPr>
          <w:p w:rsidR="001F0BAB" w:rsidRPr="001F0BAB" w:rsidRDefault="001F0BAB" w:rsidP="001F0BAB">
            <w:pPr>
              <w:spacing w:after="200" w:line="276" w:lineRule="auto"/>
              <w:contextualSpacing w:val="0"/>
              <w:rPr>
                <w:rFonts w:ascii="Arial" w:hAnsi="Arial" w:cs="Arial"/>
                <w:noProof w:val="0"/>
                <w:sz w:val="22"/>
                <w:szCs w:val="22"/>
                <w:lang w:val="en-US"/>
              </w:rPr>
            </w:pPr>
          </w:p>
        </w:tc>
      </w:tr>
      <w:tr w:rsidR="001F0BAB" w:rsidRPr="001F0BAB" w:rsidTr="00F2609E">
        <w:trPr>
          <w:trHeight w:val="45"/>
          <w:tblCellSpacing w:w="0" w:type="auto"/>
        </w:trPr>
        <w:tc>
          <w:tcPr>
            <w:tcW w:w="3159"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40</w:t>
            </w:r>
            <w:r>
              <w:rPr>
                <w:rFonts w:ascii="Arial" w:hAnsi="Arial" w:cs="Arial"/>
                <w:b/>
                <w:noProof w:val="0"/>
                <w:color w:val="000000"/>
                <w:sz w:val="22"/>
                <w:szCs w:val="22"/>
                <w:lang w:val="en-US"/>
              </w:rPr>
              <w:t>-</w:t>
            </w:r>
            <w:r w:rsidRPr="001F0BAB">
              <w:rPr>
                <w:rFonts w:ascii="Arial" w:hAnsi="Arial" w:cs="Arial"/>
                <w:b/>
                <w:noProof w:val="0"/>
                <w:color w:val="000000"/>
                <w:sz w:val="22"/>
                <w:szCs w:val="22"/>
                <w:lang w:val="en-US"/>
              </w:rPr>
              <w:t>44</w:t>
            </w:r>
          </w:p>
        </w:tc>
        <w:tc>
          <w:tcPr>
            <w:tcW w:w="4011"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46.463</w:t>
            </w:r>
          </w:p>
        </w:tc>
        <w:tc>
          <w:tcPr>
            <w:tcW w:w="4012"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27.071</w:t>
            </w:r>
          </w:p>
        </w:tc>
        <w:tc>
          <w:tcPr>
            <w:tcW w:w="0" w:type="auto"/>
            <w:vMerge/>
            <w:tcBorders>
              <w:top w:val="nil"/>
              <w:left w:val="single" w:sz="8" w:space="0" w:color="000000"/>
              <w:bottom w:val="single" w:sz="8" w:space="0" w:color="000000"/>
              <w:right w:val="single" w:sz="8" w:space="0" w:color="000000"/>
            </w:tcBorders>
          </w:tcPr>
          <w:p w:rsidR="001F0BAB" w:rsidRPr="001F0BAB" w:rsidRDefault="001F0BAB" w:rsidP="001F0BAB">
            <w:pPr>
              <w:spacing w:after="200" w:line="276" w:lineRule="auto"/>
              <w:contextualSpacing w:val="0"/>
              <w:rPr>
                <w:rFonts w:ascii="Arial" w:hAnsi="Arial" w:cs="Arial"/>
                <w:noProof w:val="0"/>
                <w:sz w:val="22"/>
                <w:szCs w:val="22"/>
                <w:lang w:val="en-US"/>
              </w:rPr>
            </w:pPr>
          </w:p>
        </w:tc>
      </w:tr>
      <w:tr w:rsidR="001F0BAB" w:rsidRPr="001F0BAB" w:rsidTr="00F2609E">
        <w:trPr>
          <w:trHeight w:val="45"/>
          <w:tblCellSpacing w:w="0" w:type="auto"/>
        </w:trPr>
        <w:tc>
          <w:tcPr>
            <w:tcW w:w="3159"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45</w:t>
            </w:r>
            <w:r>
              <w:rPr>
                <w:rFonts w:ascii="Arial" w:hAnsi="Arial" w:cs="Arial"/>
                <w:b/>
                <w:noProof w:val="0"/>
                <w:color w:val="000000"/>
                <w:sz w:val="22"/>
                <w:szCs w:val="22"/>
                <w:lang w:val="en-US"/>
              </w:rPr>
              <w:t>-</w:t>
            </w:r>
            <w:r w:rsidRPr="001F0BAB">
              <w:rPr>
                <w:rFonts w:ascii="Arial" w:hAnsi="Arial" w:cs="Arial"/>
                <w:b/>
                <w:noProof w:val="0"/>
                <w:color w:val="000000"/>
                <w:sz w:val="22"/>
                <w:szCs w:val="22"/>
                <w:lang w:val="en-US"/>
              </w:rPr>
              <w:t>49</w:t>
            </w:r>
          </w:p>
        </w:tc>
        <w:tc>
          <w:tcPr>
            <w:tcW w:w="4011"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49.805</w:t>
            </w:r>
          </w:p>
        </w:tc>
        <w:tc>
          <w:tcPr>
            <w:tcW w:w="4012"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28.764</w:t>
            </w:r>
          </w:p>
        </w:tc>
        <w:tc>
          <w:tcPr>
            <w:tcW w:w="0" w:type="auto"/>
            <w:vMerge/>
            <w:tcBorders>
              <w:top w:val="nil"/>
              <w:left w:val="single" w:sz="8" w:space="0" w:color="000000"/>
              <w:bottom w:val="single" w:sz="8" w:space="0" w:color="000000"/>
              <w:right w:val="single" w:sz="8" w:space="0" w:color="000000"/>
            </w:tcBorders>
          </w:tcPr>
          <w:p w:rsidR="001F0BAB" w:rsidRPr="001F0BAB" w:rsidRDefault="001F0BAB" w:rsidP="001F0BAB">
            <w:pPr>
              <w:spacing w:after="200" w:line="276" w:lineRule="auto"/>
              <w:contextualSpacing w:val="0"/>
              <w:rPr>
                <w:rFonts w:ascii="Arial" w:hAnsi="Arial" w:cs="Arial"/>
                <w:noProof w:val="0"/>
                <w:sz w:val="22"/>
                <w:szCs w:val="22"/>
                <w:lang w:val="en-US"/>
              </w:rPr>
            </w:pPr>
          </w:p>
        </w:tc>
      </w:tr>
      <w:tr w:rsidR="001F0BAB" w:rsidRPr="001F0BAB" w:rsidTr="00F2609E">
        <w:trPr>
          <w:trHeight w:val="45"/>
          <w:tblCellSpacing w:w="0" w:type="auto"/>
        </w:trPr>
        <w:tc>
          <w:tcPr>
            <w:tcW w:w="3159"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50</w:t>
            </w:r>
            <w:r>
              <w:rPr>
                <w:rFonts w:ascii="Arial" w:hAnsi="Arial" w:cs="Arial"/>
                <w:b/>
                <w:noProof w:val="0"/>
                <w:color w:val="000000"/>
                <w:sz w:val="22"/>
                <w:szCs w:val="22"/>
                <w:lang w:val="en-US"/>
              </w:rPr>
              <w:t>-</w:t>
            </w:r>
            <w:r w:rsidRPr="001F0BAB">
              <w:rPr>
                <w:rFonts w:ascii="Arial" w:hAnsi="Arial" w:cs="Arial"/>
                <w:b/>
                <w:noProof w:val="0"/>
                <w:color w:val="000000"/>
                <w:sz w:val="22"/>
                <w:szCs w:val="22"/>
                <w:lang w:val="en-US"/>
              </w:rPr>
              <w:t>54</w:t>
            </w:r>
          </w:p>
        </w:tc>
        <w:tc>
          <w:tcPr>
            <w:tcW w:w="4011"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52.664</w:t>
            </w:r>
          </w:p>
        </w:tc>
        <w:tc>
          <w:tcPr>
            <w:tcW w:w="4012"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30.704</w:t>
            </w:r>
          </w:p>
        </w:tc>
        <w:tc>
          <w:tcPr>
            <w:tcW w:w="3218" w:type="dxa"/>
            <w:vMerge w:val="restart"/>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38,3%</w:t>
            </w:r>
          </w:p>
        </w:tc>
      </w:tr>
      <w:tr w:rsidR="001F0BAB" w:rsidRPr="001F0BAB" w:rsidTr="00F2609E">
        <w:trPr>
          <w:trHeight w:val="45"/>
          <w:tblCellSpacing w:w="0" w:type="auto"/>
        </w:trPr>
        <w:tc>
          <w:tcPr>
            <w:tcW w:w="3159"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55</w:t>
            </w:r>
            <w:r>
              <w:rPr>
                <w:rFonts w:ascii="Arial" w:hAnsi="Arial" w:cs="Arial"/>
                <w:b/>
                <w:noProof w:val="0"/>
                <w:color w:val="000000"/>
                <w:sz w:val="22"/>
                <w:szCs w:val="22"/>
                <w:lang w:val="en-US"/>
              </w:rPr>
              <w:t>-</w:t>
            </w:r>
            <w:r w:rsidRPr="001F0BAB">
              <w:rPr>
                <w:rFonts w:ascii="Arial" w:hAnsi="Arial" w:cs="Arial"/>
                <w:b/>
                <w:noProof w:val="0"/>
                <w:color w:val="000000"/>
                <w:sz w:val="22"/>
                <w:szCs w:val="22"/>
                <w:lang w:val="en-US"/>
              </w:rPr>
              <w:t>59</w:t>
            </w:r>
          </w:p>
        </w:tc>
        <w:tc>
          <w:tcPr>
            <w:tcW w:w="4011"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57.930</w:t>
            </w:r>
          </w:p>
        </w:tc>
        <w:tc>
          <w:tcPr>
            <w:tcW w:w="4012"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32.622</w:t>
            </w:r>
          </w:p>
        </w:tc>
        <w:tc>
          <w:tcPr>
            <w:tcW w:w="0" w:type="auto"/>
            <w:vMerge/>
            <w:tcBorders>
              <w:top w:val="nil"/>
              <w:left w:val="single" w:sz="8" w:space="0" w:color="000000"/>
              <w:bottom w:val="single" w:sz="8" w:space="0" w:color="000000"/>
              <w:right w:val="single" w:sz="8" w:space="0" w:color="000000"/>
            </w:tcBorders>
          </w:tcPr>
          <w:p w:rsidR="001F0BAB" w:rsidRPr="001F0BAB" w:rsidRDefault="001F0BAB" w:rsidP="001F0BAB">
            <w:pPr>
              <w:spacing w:after="200" w:line="276" w:lineRule="auto"/>
              <w:contextualSpacing w:val="0"/>
              <w:rPr>
                <w:rFonts w:ascii="Arial" w:hAnsi="Arial" w:cs="Arial"/>
                <w:noProof w:val="0"/>
                <w:sz w:val="22"/>
                <w:szCs w:val="22"/>
                <w:lang w:val="en-US"/>
              </w:rPr>
            </w:pPr>
          </w:p>
        </w:tc>
      </w:tr>
      <w:tr w:rsidR="001F0BAB" w:rsidRPr="001F0BAB" w:rsidTr="00F2609E">
        <w:trPr>
          <w:trHeight w:val="45"/>
          <w:tblCellSpacing w:w="0" w:type="auto"/>
        </w:trPr>
        <w:tc>
          <w:tcPr>
            <w:tcW w:w="3159"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60</w:t>
            </w:r>
            <w:r>
              <w:rPr>
                <w:rFonts w:ascii="Arial" w:hAnsi="Arial" w:cs="Arial"/>
                <w:b/>
                <w:noProof w:val="0"/>
                <w:color w:val="000000"/>
                <w:sz w:val="22"/>
                <w:szCs w:val="22"/>
                <w:lang w:val="en-US"/>
              </w:rPr>
              <w:t>-</w:t>
            </w:r>
            <w:r w:rsidRPr="001F0BAB">
              <w:rPr>
                <w:rFonts w:ascii="Arial" w:hAnsi="Arial" w:cs="Arial"/>
                <w:b/>
                <w:noProof w:val="0"/>
                <w:color w:val="000000"/>
                <w:sz w:val="22"/>
                <w:szCs w:val="22"/>
                <w:lang w:val="en-US"/>
              </w:rPr>
              <w:t>65</w:t>
            </w:r>
          </w:p>
        </w:tc>
        <w:tc>
          <w:tcPr>
            <w:tcW w:w="4011"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53.416</w:t>
            </w:r>
          </w:p>
        </w:tc>
        <w:tc>
          <w:tcPr>
            <w:tcW w:w="4012"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24.600</w:t>
            </w:r>
          </w:p>
        </w:tc>
        <w:tc>
          <w:tcPr>
            <w:tcW w:w="0" w:type="auto"/>
            <w:vMerge/>
            <w:tcBorders>
              <w:top w:val="nil"/>
              <w:left w:val="single" w:sz="8" w:space="0" w:color="000000"/>
              <w:bottom w:val="single" w:sz="8" w:space="0" w:color="000000"/>
              <w:right w:val="single" w:sz="8" w:space="0" w:color="000000"/>
            </w:tcBorders>
          </w:tcPr>
          <w:p w:rsidR="001F0BAB" w:rsidRPr="001F0BAB" w:rsidRDefault="001F0BAB" w:rsidP="001F0BAB">
            <w:pPr>
              <w:spacing w:after="200" w:line="276" w:lineRule="auto"/>
              <w:contextualSpacing w:val="0"/>
              <w:rPr>
                <w:rFonts w:ascii="Arial" w:hAnsi="Arial" w:cs="Arial"/>
                <w:noProof w:val="0"/>
                <w:sz w:val="22"/>
                <w:szCs w:val="22"/>
                <w:lang w:val="en-US"/>
              </w:rPr>
            </w:pPr>
          </w:p>
        </w:tc>
      </w:tr>
      <w:tr w:rsidR="001F0BAB" w:rsidRPr="001F0BAB" w:rsidTr="00F2609E">
        <w:trPr>
          <w:trHeight w:val="45"/>
          <w:tblCellSpacing w:w="0" w:type="auto"/>
        </w:trPr>
        <w:tc>
          <w:tcPr>
            <w:tcW w:w="3159"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УКУПНО</w:t>
            </w:r>
          </w:p>
        </w:tc>
        <w:tc>
          <w:tcPr>
            <w:tcW w:w="4011"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428.712</w:t>
            </w:r>
          </w:p>
        </w:tc>
        <w:tc>
          <w:tcPr>
            <w:tcW w:w="4012"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240.277</w:t>
            </w:r>
          </w:p>
        </w:tc>
        <w:tc>
          <w:tcPr>
            <w:tcW w:w="3218"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200" w:line="276" w:lineRule="auto"/>
              <w:contextualSpacing w:val="0"/>
              <w:rPr>
                <w:rFonts w:ascii="Arial" w:hAnsi="Arial" w:cs="Arial"/>
                <w:noProof w:val="0"/>
                <w:sz w:val="22"/>
                <w:szCs w:val="22"/>
                <w:lang w:val="en-US"/>
              </w:rPr>
            </w:pPr>
          </w:p>
        </w:tc>
      </w:tr>
    </w:tbl>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i/>
          <w:noProof w:val="0"/>
          <w:color w:val="000000"/>
          <w:sz w:val="22"/>
          <w:szCs w:val="22"/>
          <w:lang w:val="en-US"/>
        </w:rPr>
        <w:t>Извор: НСЗ</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Посматрано према образовној структури, лица без квалификација или са ниским нивоом квалификација чине 34,9% укупне регистроване незапослености, лица са средњим нивоом 51,8%, док је удео лица са вишим нивоима квалификација 13,3%. Образовна структура незапослених лица приказана је на </w:t>
      </w:r>
      <w:r w:rsidRPr="001F0BAB">
        <w:rPr>
          <w:rFonts w:ascii="Arial" w:hAnsi="Arial" w:cs="Arial"/>
          <w:i/>
          <w:noProof w:val="0"/>
          <w:color w:val="000000"/>
          <w:sz w:val="22"/>
          <w:szCs w:val="22"/>
          <w:lang w:val="en-US"/>
        </w:rPr>
        <w:t>Графикону број 3.</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Графикон број 3.</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Образовна структура незапослених лица</w:t>
      </w:r>
    </w:p>
    <w:p w:rsidR="001F0BAB" w:rsidRPr="001F0BAB" w:rsidRDefault="001F0BAB" w:rsidP="001F0BAB">
      <w:pPr>
        <w:spacing w:after="200" w:line="276" w:lineRule="auto"/>
        <w:contextualSpacing w:val="0"/>
        <w:rPr>
          <w:rFonts w:ascii="Arial" w:hAnsi="Arial" w:cs="Arial"/>
          <w:noProof w:val="0"/>
          <w:sz w:val="22"/>
          <w:szCs w:val="22"/>
          <w:lang w:val="en-US"/>
        </w:rPr>
      </w:pPr>
      <w:bookmarkStart w:id="2" w:name="_idContainer021"/>
      <w:r w:rsidRPr="001F0BAB">
        <w:rPr>
          <w:rFonts w:ascii="Arial" w:hAnsi="Arial" w:cs="Arial"/>
          <w:sz w:val="22"/>
          <w:szCs w:val="22"/>
          <w:lang w:eastAsia="sr-Latn-RS"/>
        </w:rPr>
        <w:pict>
          <v:shape id="Picture 3" o:spid="_x0000_i1033" type="#_x0000_t75" style="width:451.5pt;height:234.75pt;visibility:visible;mso-wrap-style:square">
            <v:imagedata r:id="rId9" o:title=""/>
          </v:shape>
        </w:pict>
      </w:r>
    </w:p>
    <w:bookmarkEnd w:id="2"/>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Уколико посматрамо образовне карактеристике регистроване незапослености по полу, закључује се да су жене заступљеније у групи лица без квалификација или са ниским нивоом квалификација (благи родни јаз), док је родни јаз изражен код виших нивоа квалификација, односно жене представљају образованију кохорту незапослених лица</w:t>
      </w:r>
      <w:r w:rsidRPr="001F0BAB">
        <w:rPr>
          <w:rFonts w:ascii="Arial" w:hAnsi="Arial" w:cs="Arial"/>
          <w:i/>
          <w:noProof w:val="0"/>
          <w:color w:val="000000"/>
          <w:sz w:val="22"/>
          <w:szCs w:val="22"/>
          <w:lang w:val="en-US"/>
        </w:rPr>
        <w:t>.</w:t>
      </w:r>
      <w:r w:rsidRPr="001F0BAB">
        <w:rPr>
          <w:rFonts w:ascii="Arial" w:hAnsi="Arial" w:cs="Arial"/>
          <w:noProof w:val="0"/>
          <w:color w:val="000000"/>
          <w:sz w:val="22"/>
          <w:szCs w:val="22"/>
          <w:lang w:val="en-US"/>
        </w:rPr>
        <w:t xml:space="preserve"> Образовна структура незапослених лица, према полу, приказана је на </w:t>
      </w:r>
      <w:r w:rsidRPr="001F0BAB">
        <w:rPr>
          <w:rFonts w:ascii="Arial" w:hAnsi="Arial" w:cs="Arial"/>
          <w:i/>
          <w:noProof w:val="0"/>
          <w:color w:val="000000"/>
          <w:sz w:val="22"/>
          <w:szCs w:val="22"/>
          <w:lang w:val="en-US"/>
        </w:rPr>
        <w:t>Графикону број 4.</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Графикон број 4.</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Образовна структура незапослених лица према полу</w:t>
      </w:r>
    </w:p>
    <w:p w:rsidR="001F0BAB" w:rsidRPr="001F0BAB" w:rsidRDefault="001F0BAB" w:rsidP="001F0BAB">
      <w:pPr>
        <w:spacing w:after="200" w:line="276" w:lineRule="auto"/>
        <w:contextualSpacing w:val="0"/>
        <w:rPr>
          <w:rFonts w:ascii="Arial" w:hAnsi="Arial" w:cs="Arial"/>
          <w:noProof w:val="0"/>
          <w:sz w:val="22"/>
          <w:szCs w:val="22"/>
          <w:lang w:val="en-US"/>
        </w:rPr>
      </w:pPr>
      <w:bookmarkStart w:id="3" w:name="_idContainer022"/>
      <w:r w:rsidRPr="001F0BAB">
        <w:rPr>
          <w:rFonts w:ascii="Arial" w:hAnsi="Arial" w:cs="Arial"/>
          <w:sz w:val="22"/>
          <w:szCs w:val="22"/>
          <w:lang w:eastAsia="sr-Latn-RS"/>
        </w:rPr>
        <w:pict>
          <v:shape id="Picture 4" o:spid="_x0000_i1032" type="#_x0000_t75" style="width:255pt;height:84pt;visibility:visible;mso-wrap-style:square">
            <v:imagedata r:id="rId10" o:title=""/>
          </v:shape>
        </w:pict>
      </w:r>
    </w:p>
    <w:bookmarkEnd w:id="3"/>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3 Национална служба за запошљавање, стање на дан 31. октобар 2022. године.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Посматрано према </w:t>
      </w:r>
      <w:r w:rsidRPr="001F0BAB">
        <w:rPr>
          <w:rFonts w:ascii="Arial" w:hAnsi="Arial" w:cs="Arial"/>
          <w:i/>
          <w:noProof w:val="0"/>
          <w:color w:val="000000"/>
          <w:sz w:val="22"/>
          <w:szCs w:val="22"/>
          <w:lang w:val="en-US"/>
        </w:rPr>
        <w:t>регионалној дистрибуцији регистроване незапослености</w:t>
      </w:r>
      <w:r w:rsidRPr="001F0BAB">
        <w:rPr>
          <w:rFonts w:ascii="Arial" w:hAnsi="Arial" w:cs="Arial"/>
          <w:noProof w:val="0"/>
          <w:color w:val="000000"/>
          <w:sz w:val="22"/>
          <w:szCs w:val="22"/>
          <w:lang w:val="en-US"/>
        </w:rPr>
        <w:t xml:space="preserve">, највеће учешће има Регион Шумадије и Западне Србије (35,8%), следе Регион Јужне и Источне Србије, Регион Војводине и Београдски регион (26,9%, 20,2% и 11,8% респективно), док је најниже учешће Региона Косова и Метохије (5,3%). Структура незапослених по стручности, по регионима, приказана је на </w:t>
      </w:r>
      <w:r w:rsidRPr="001F0BAB">
        <w:rPr>
          <w:rFonts w:ascii="Arial" w:hAnsi="Arial" w:cs="Arial"/>
          <w:i/>
          <w:noProof w:val="0"/>
          <w:color w:val="000000"/>
          <w:sz w:val="22"/>
          <w:szCs w:val="22"/>
          <w:lang w:val="en-US"/>
        </w:rPr>
        <w:t>Графикону број 5.</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Графикон број 5.</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Структура незапослених по стручности, по регионима</w:t>
      </w:r>
    </w:p>
    <w:p w:rsidR="001F0BAB" w:rsidRPr="001F0BAB" w:rsidRDefault="001F0BAB" w:rsidP="001F0BAB">
      <w:pPr>
        <w:spacing w:after="200" w:line="276" w:lineRule="auto"/>
        <w:contextualSpacing w:val="0"/>
        <w:rPr>
          <w:rFonts w:ascii="Arial" w:hAnsi="Arial" w:cs="Arial"/>
          <w:noProof w:val="0"/>
          <w:sz w:val="22"/>
          <w:szCs w:val="22"/>
          <w:lang w:val="en-US"/>
        </w:rPr>
      </w:pPr>
      <w:bookmarkStart w:id="4" w:name="_idContainer023"/>
      <w:r w:rsidRPr="001F0BAB">
        <w:rPr>
          <w:rFonts w:ascii="Arial" w:hAnsi="Arial" w:cs="Arial"/>
          <w:sz w:val="22"/>
          <w:szCs w:val="22"/>
          <w:lang w:eastAsia="sr-Latn-RS"/>
        </w:rPr>
        <w:pict>
          <v:shape id="Picture 5" o:spid="_x0000_i1031" type="#_x0000_t75" style="width:255pt;height:105pt;visibility:visible;mso-wrap-style:square">
            <v:imagedata r:id="rId11" o:title=""/>
          </v:shape>
        </w:pict>
      </w:r>
    </w:p>
    <w:bookmarkEnd w:id="4"/>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Једна од карактеристика регистроване незапослености која у многоме утиче на конкурентно иступање незапослених на тржиште рада и истовремено указује на важност значајнијег обухвата незапослених лица мерама из система додатног образовања и обуке је </w:t>
      </w:r>
      <w:r w:rsidRPr="001F0BAB">
        <w:rPr>
          <w:rFonts w:ascii="Arial" w:hAnsi="Arial" w:cs="Arial"/>
          <w:i/>
          <w:noProof w:val="0"/>
          <w:color w:val="000000"/>
          <w:sz w:val="22"/>
          <w:szCs w:val="22"/>
          <w:lang w:val="en-US"/>
        </w:rPr>
        <w:t>дугорочна незапосленост</w:t>
      </w:r>
      <w:r w:rsidRPr="001F0BAB">
        <w:rPr>
          <w:rFonts w:ascii="Arial" w:hAnsi="Arial" w:cs="Arial"/>
          <w:noProof w:val="0"/>
          <w:color w:val="000000"/>
          <w:sz w:val="22"/>
          <w:szCs w:val="22"/>
          <w:lang w:val="en-US"/>
        </w:rPr>
        <w:t>, односно удео незапослених лица који посао траже дуже од 12 месеци. У референтном периоду, у статусу дугорочно незапосленог налазило се 288.876 лица (67,4% укупне регистроване незапослености).</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периоду јануар</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октобар 2022. године, НСЗ поднето је 141.939 пријава потребе за запошљавањем. Према </w:t>
      </w:r>
      <w:r w:rsidRPr="001F0BAB">
        <w:rPr>
          <w:rFonts w:ascii="Arial" w:hAnsi="Arial" w:cs="Arial"/>
          <w:i/>
          <w:noProof w:val="0"/>
          <w:color w:val="000000"/>
          <w:sz w:val="22"/>
          <w:szCs w:val="22"/>
          <w:lang w:val="en-US"/>
        </w:rPr>
        <w:t>подручју рада</w:t>
      </w:r>
      <w:r w:rsidRPr="001F0BAB">
        <w:rPr>
          <w:rFonts w:ascii="Arial" w:hAnsi="Arial" w:cs="Arial"/>
          <w:noProof w:val="0"/>
          <w:color w:val="000000"/>
          <w:sz w:val="22"/>
          <w:szCs w:val="22"/>
          <w:lang w:val="en-US"/>
        </w:rPr>
        <w:t xml:space="preserve">, највише слободних радних места пријављено је у подручју Економија, право и администрација, потом Трговина, угоститељство и туризам и Геодезија и грађевинарство. Посматрано према </w:t>
      </w:r>
      <w:r w:rsidRPr="001F0BAB">
        <w:rPr>
          <w:rFonts w:ascii="Arial" w:hAnsi="Arial" w:cs="Arial"/>
          <w:i/>
          <w:noProof w:val="0"/>
          <w:color w:val="000000"/>
          <w:sz w:val="22"/>
          <w:szCs w:val="22"/>
          <w:lang w:val="en-US"/>
        </w:rPr>
        <w:t>делатности послодавца</w:t>
      </w:r>
      <w:r w:rsidRPr="001F0BAB">
        <w:rPr>
          <w:rFonts w:ascii="Arial" w:hAnsi="Arial" w:cs="Arial"/>
          <w:noProof w:val="0"/>
          <w:color w:val="000000"/>
          <w:sz w:val="22"/>
          <w:szCs w:val="22"/>
          <w:lang w:val="en-US"/>
        </w:rPr>
        <w:t>, највише слободних радних места регистровано је код послодаваца који се претежно баве делатношћу Прерађивачка индустрија и Информисање и комуникације. У посматраном периоду регистровано је 171.574 случаја запошљавања са евиденције НСЗ (удео жена 58,5%), превасходно лица са средњим нивоом квалификација и из старосне групе 25</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29 година старости.</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Привредна комора Србије, на кварталном нивоу, израђује Извештај о трендовима у пословној активности привредних субјеката, који садржи податке о статусу кључних параметара пословних перформанси (промет, искоришћеност капацитета, спољнотрговинска активност, запосленост, инвестиције нефинансијске пословне економије и др.), који су од значаја за разумевања околности у којима послује привреда на домаћем тржишту </w:t>
      </w:r>
      <w:r w:rsidRPr="001F0BAB">
        <w:rPr>
          <w:rFonts w:ascii="Arial" w:hAnsi="Arial" w:cs="Arial"/>
          <w:noProof w:val="0"/>
          <w:color w:val="000000"/>
          <w:sz w:val="22"/>
          <w:szCs w:val="22"/>
          <w:vertAlign w:val="superscript"/>
          <w:lang w:val="en-US"/>
        </w:rPr>
        <w:t>4</w:t>
      </w:r>
      <w:r w:rsidRPr="001F0BAB">
        <w:rPr>
          <w:rFonts w:ascii="Arial" w:hAnsi="Arial" w:cs="Arial"/>
          <w:noProof w:val="0"/>
          <w:color w:val="000000"/>
          <w:sz w:val="22"/>
          <w:szCs w:val="22"/>
          <w:lang w:val="en-US"/>
        </w:rPr>
        <w:t>.</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Резултати, у делу Извештаја о Радној снази, показују да је и у трећем кварталу 2022. године, запосленост била стабилна, с обзиром да 87% анкетираних привредних субјеката није смањило број запослених, као и да 93% испитаника не очекује смањење броја запослених у наредном кварталу. Највеће повећање броја запослених регистровано је код предузећа из области електронских комуникација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наиме, од укупног броја испитаника из ове делатности, 30% је повећало број запослених. У поређењу са другим делатностима, испитаници из делатности електронских комуникација очекују и најзначајније повећање броја запослених у четвртом кварталу 2022. године, (30% анкетираних), а потом следе испитаници из делатности металске индустрије. Испитаници из категорије великих предузећа су, у највећем броју, повећали запосленост у трећем кварталу 2022. године (34% анкетираних из ове групе), а такође показују и највећи оптимизам у погледу запошљавања у четвртом кварталу, имајући у виду да 31% анкетираних из ове групе очекује раст броја запослених. Актуелна понуда радне снаге у земљи, у смислу образовних профила и радног искуства, одговара потребама 85% анкетираних. Међутим, забрињавајуће је да више од половине укупно анкетираних (54%) сматра да у Републици Србији нема довољно адекватних кадрова.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Дефицитарна занимања (20 најтраженијих) су: возач C/Е категорије, производни радник, варилац, машински инжењер,</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4 Учешће привредних субјеката у анкети је добровољно. У трећем кварталу 2022. године учешће у анкети је узело 1.810 привредних субјеката који запошљавају 290.000 лица.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бравар, кувар, конобар, трговац, ЦНЦ оператер, грађевински техничар, инжењер електротехнике, армирач, зидар, руковалац грађевинском механизацијом, тесар, електротехничар, електричар, технолог, машински техничар, инжењер информационих технологија.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За анализу стања и кретања на тржишту рада и последично, креирања политике запошљавања и образовања одраслих, значајни су и подаци о миграторним кретањима. С обзиром да не постоје генерички подаци о прекограничној емиграцији и имиграцији, у наставку су приказани подаци Републичког завода за статистику о Унутрашњим миграцијама током 2021. године </w:t>
      </w:r>
      <w:r w:rsidRPr="001F0BAB">
        <w:rPr>
          <w:rFonts w:ascii="Arial" w:hAnsi="Arial" w:cs="Arial"/>
          <w:noProof w:val="0"/>
          <w:color w:val="000000"/>
          <w:sz w:val="22"/>
          <w:szCs w:val="22"/>
          <w:vertAlign w:val="superscript"/>
          <w:lang w:val="en-US"/>
        </w:rPr>
        <w:t>5</w:t>
      </w:r>
      <w:r w:rsidRPr="001F0BAB">
        <w:rPr>
          <w:rFonts w:ascii="Arial" w:hAnsi="Arial" w:cs="Arial"/>
          <w:noProof w:val="0"/>
          <w:color w:val="000000"/>
          <w:sz w:val="22"/>
          <w:szCs w:val="22"/>
          <w:lang w:val="en-US"/>
        </w:rPr>
        <w:t>.</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Током 2021. године, 135.194 лица променило је пребивалиште, односно трајно се преселило из једног у друго место (насеље) Републике Србије. Просечна старост лица која су променила пребивалиште је 34,7 година (за мушкарце 35 година, а за жене 34,5 година). Највише особа се селило из једне у другу општину/град унутар исте области (36,3%), а најмање из једног у друго насеље у оквиру исте општине/града (28,1%).</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Посматрано по регионима Републике Србије, Београдски регион и Регион Војводине су у 2021. години, имали позитиван миграциони салдо. Од укупно 25 области у Републици Србији, највећи број миграторних кретања остварен је на територији Београдске области, и то 51.206 (37,9%) досељених лица и 47.293 (35,0%) одсељена лица. Београдска, Јужнобачка, Севернобачка, Сремска, Нишавска и Јужнобанатска област су оствариле позитиван миграциони салдо, док је у 19 области миграциони салдо негативан. Посматрано на нивоу општина/градова, тек у 49 општина/градова је у 2021. години, позитиван миграциони салдо, док је у једној миграциони салдо једнак нули, а у осталих 119 општина/градова, миграциони салдо је негативан.</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Са становишта економске активности, 61,4% миграната су издржавана лица, 30,9% су активна лица, док је удео лица са личним приходом 7,7%.</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периоду 2017</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2021. године, Београдски регион и Регион Војводине су остварили позитиван миграциони салдо, који у Београдском региону, на годишњем нивоу, износи просечно око 6.000 лица, док у Региону Војводине износи око 800 лица. Из Региона Шумадије и Западне Србије, у периоду од 2017. до 2021. године, константно је већи број одсељених у односу на досељена лица, што значи да овај регион само на основу механичке компоненте (унутрашњих миграција), просечно годишње, губи око 3.800 становника. Регион Јужне и Источне Србије, у периоду од 2017. до 2021. године, има негативну вредност миграционог салда, који просечно годишње износи око 3.000, што утиче на смањење броја становника овог региона.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Међутим, и поред позитивних трендова анкетних и административних података тржишта рада за укупно становништво, у начелу, на макро нивоу, национално тржиште рада и даље карактеришу: неповољни демографски трендови (убрзано старење и смањење укупног становништва, укључујући и становништво радног узраста), диспаритет у погледу економске развијености региона и ЈЛС (регионалне разлике очитавају се и на показатеље тржишта рада), трендови у структури запослености (неформална запосленост, посебно у пољопривреди, структура запослености по секторима (највећи удео сектор услуга), запосленост по врсти рада и сл.), убрзан техничко-технолошки развој (захтеви тржишта рада убрзано се мењају што поставља захтев за благовремено и адекватно усаглашавање понуде и потражње у смислу знања, вештина и компетенција), појава/нестанак нових/појединих занимања и неопходност развоја система образовања одраслих и целоживотног учења, недостатак података о броју и карактеристикама појединих категорија лица на тржишту рада, миграторна кретања (унутрашња и спољашња) и др.</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Са друге стране, на микро нивоу, када посматрамо карактеристике незапослених лица, изазови су: различитост социо-демографских карактеристика (што захтева креирање одговарајућих системских решења и видова подршке), низак образовни ниво и недостатак знања, вештина и компетенција, дугорочна незапосленост, дуг период транзиције из света образовања у свет рада, недостатак радног искуства, губитак мотивације, обесхрабреност и социјална изолација, материјална депривација, пасивизација и зависност од давања из система социјалне заштите, недоступност или немогућност коришћења социјалних сервиса на локалном</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5 Подаци објављени 11. јула 2022. године.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нивоу, питање приступачности/прилагођености објеката и радног места/послова, недостатак линија јавног превоза у мањим и руралним срединама и др.</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Отклањање или ублажавање наведених изазова представља комплексан задатак који захтева координисано деловање различитих институција, интензиван и продуктиван дијалог на свим нивоима и креирање референтних комбинованих решења.</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i/>
          <w:noProof w:val="0"/>
          <w:color w:val="000000"/>
          <w:sz w:val="22"/>
          <w:szCs w:val="22"/>
          <w:lang w:val="en-US"/>
        </w:rPr>
        <w:t>III) ПРИОРИТЕТНЕ ОБРАЗОВНЕ ОБЛАСТИ ГОДИШЊЕГ ПЛАНА ОБРАЗОВАЊА ОДРАСЛИХ ЗА 2023. ГОДИНУ</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ГПОО за 2023. годину, дефинишу се следеће Приоритетне образовне области и активности:</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b/>
          <w:noProof w:val="0"/>
          <w:color w:val="000000"/>
          <w:sz w:val="22"/>
          <w:szCs w:val="22"/>
          <w:lang w:val="en-US"/>
        </w:rPr>
        <w:t>А) Повећање обухвата/укључености одраслих у програме образовања и обучавања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На годишњем нивоу ћемо пратити планирано учешће одраслих у програмима формалног и неформалног образовања одраслих и уочавати трендове укључивања одраслих у ова два облика (вида) образовања одраслих и то у оквиру:</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1.</w:t>
      </w:r>
      <w:r w:rsidRPr="001F0BAB">
        <w:rPr>
          <w:rFonts w:ascii="Arial" w:hAnsi="Arial" w:cs="Arial"/>
          <w:noProof w:val="0"/>
          <w:color w:val="000000"/>
          <w:sz w:val="22"/>
          <w:szCs w:val="22"/>
          <w:lang w:val="en-US"/>
        </w:rPr>
        <w:t xml:space="preserve"> Формалног система образовања одраслих:</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1.1. Функционално основно образовање одраслих (у даљем тексту: ФООО);</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1.2. Средње образовање одраслих (ванредни полазници средњег образовања, одрасли старији од 17 година);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1.3. Преквалификације, доквалификације и специјализације одраслих у средњем образовању (у даљем тексту: ПДС).</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2.</w:t>
      </w:r>
      <w:r w:rsidRPr="001F0BAB">
        <w:rPr>
          <w:rFonts w:ascii="Arial" w:hAnsi="Arial" w:cs="Arial"/>
          <w:noProof w:val="0"/>
          <w:color w:val="000000"/>
          <w:sz w:val="22"/>
          <w:szCs w:val="22"/>
          <w:lang w:val="en-US"/>
        </w:rPr>
        <w:t xml:space="preserve"> Неформалног система образовања одраслих:</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2.1. Реализација програма и стицања компетенција и квалификација запослених и незапослених лица код ЈПОА;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2.2. Реализација програма и других активности неформалног образовања и обучавања одраслих у организацији НСЗ, других државних органа и установа, удружења и комора, а у оквиру којих незапослена и запослена лица стичу компетенције од важности за лични и професионални развој, запошљавање, одржање запослења и каријерно напредовање, као и управљање каријером и доношење одлука о даљем образовању и запошљавању.</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b/>
          <w:noProof w:val="0"/>
          <w:color w:val="000000"/>
          <w:sz w:val="22"/>
          <w:szCs w:val="22"/>
          <w:lang w:val="en-US"/>
        </w:rPr>
        <w:t>Б) Унапређивање услова за целоживотно учење и осигурање квалитета у образовању одраслих</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Овај стратешки приоритет планирано је да се у наредној години прати кроз реализацију следећих активности:</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1.</w:t>
      </w:r>
      <w:r w:rsidRPr="001F0BAB">
        <w:rPr>
          <w:rFonts w:ascii="Arial" w:hAnsi="Arial" w:cs="Arial"/>
          <w:noProof w:val="0"/>
          <w:color w:val="000000"/>
          <w:sz w:val="22"/>
          <w:szCs w:val="22"/>
          <w:lang w:val="en-US"/>
        </w:rPr>
        <w:t xml:space="preserve"> Унапређивање нормативног оквира за развој формалног и неформалног система образовања одраслих;</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2.</w:t>
      </w:r>
      <w:r w:rsidRPr="001F0BAB">
        <w:rPr>
          <w:rFonts w:ascii="Arial" w:hAnsi="Arial" w:cs="Arial"/>
          <w:noProof w:val="0"/>
          <w:color w:val="000000"/>
          <w:sz w:val="22"/>
          <w:szCs w:val="22"/>
          <w:lang w:val="en-US"/>
        </w:rPr>
        <w:t xml:space="preserve"> Даљи развој Националног оквира квалификација Републике Србије (у даљем тексту: НОКС);</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3.</w:t>
      </w:r>
      <w:r w:rsidRPr="001F0BAB">
        <w:rPr>
          <w:rFonts w:ascii="Arial" w:hAnsi="Arial" w:cs="Arial"/>
          <w:noProof w:val="0"/>
          <w:color w:val="000000"/>
          <w:sz w:val="22"/>
          <w:szCs w:val="22"/>
          <w:lang w:val="en-US"/>
        </w:rPr>
        <w:t xml:space="preserve"> ППУ и промоција целоживотног учења;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4.</w:t>
      </w:r>
      <w:r w:rsidRPr="001F0BAB">
        <w:rPr>
          <w:rFonts w:ascii="Arial" w:hAnsi="Arial" w:cs="Arial"/>
          <w:noProof w:val="0"/>
          <w:color w:val="000000"/>
          <w:sz w:val="22"/>
          <w:szCs w:val="22"/>
          <w:lang w:val="en-US"/>
        </w:rPr>
        <w:t xml:space="preserve"> Развој система КВиС;</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5.</w:t>
      </w:r>
      <w:r w:rsidRPr="001F0BAB">
        <w:rPr>
          <w:rFonts w:ascii="Arial" w:hAnsi="Arial" w:cs="Arial"/>
          <w:noProof w:val="0"/>
          <w:color w:val="000000"/>
          <w:sz w:val="22"/>
          <w:szCs w:val="22"/>
          <w:lang w:val="en-US"/>
        </w:rPr>
        <w:t xml:space="preserve"> Унапређивање Регистра Националног оквира квалификација Републике Србије (у даљем тексту: Регистар НОКС)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Подрегистра ЈПОА са послодавцима код којих се обавља практичан рад;</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6.</w:t>
      </w:r>
      <w:r w:rsidRPr="001F0BAB">
        <w:rPr>
          <w:rFonts w:ascii="Arial" w:hAnsi="Arial" w:cs="Arial"/>
          <w:noProof w:val="0"/>
          <w:color w:val="000000"/>
          <w:sz w:val="22"/>
          <w:szCs w:val="22"/>
          <w:lang w:val="en-US"/>
        </w:rPr>
        <w:t xml:space="preserve"> Развој мреже установа и организација за реализацију активности образовања одраслих;</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7.</w:t>
      </w:r>
      <w:r w:rsidRPr="001F0BAB">
        <w:rPr>
          <w:rFonts w:ascii="Arial" w:hAnsi="Arial" w:cs="Arial"/>
          <w:noProof w:val="0"/>
          <w:color w:val="000000"/>
          <w:sz w:val="22"/>
          <w:szCs w:val="22"/>
          <w:lang w:val="en-US"/>
        </w:rPr>
        <w:t xml:space="preserve"> Унапређивање компетенција кадра ангажованог у активностима образовања одраслих;</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8.</w:t>
      </w:r>
      <w:r w:rsidRPr="001F0BAB">
        <w:rPr>
          <w:rFonts w:ascii="Arial" w:hAnsi="Arial" w:cs="Arial"/>
          <w:noProof w:val="0"/>
          <w:color w:val="000000"/>
          <w:sz w:val="22"/>
          <w:szCs w:val="22"/>
          <w:lang w:val="en-US"/>
        </w:rPr>
        <w:t xml:space="preserve"> Осигурање квалитета у образовању одраслих</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развој и имплементација стандарда (квалификација, акредитације, услуга КВиС, ППУ, спољашње вредновање и самовредновање ЈПОА....)</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i/>
          <w:noProof w:val="0"/>
          <w:color w:val="000000"/>
          <w:sz w:val="22"/>
          <w:szCs w:val="22"/>
          <w:lang w:val="en-US"/>
        </w:rPr>
        <w:t>IV) ПРИОРИТЕТНЕ ОБЛАСТИ</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noProof w:val="0"/>
          <w:color w:val="000000"/>
          <w:sz w:val="22"/>
          <w:szCs w:val="22"/>
          <w:lang w:val="en-US"/>
        </w:rPr>
        <w:t>А) Приоритна област: ПОВЕЋАЊЕ</w:t>
      </w:r>
      <w:r w:rsidRPr="001F0BAB">
        <w:rPr>
          <w:rFonts w:ascii="Arial" w:hAnsi="Arial" w:cs="Arial"/>
          <w:noProof w:val="0"/>
          <w:sz w:val="22"/>
          <w:szCs w:val="22"/>
          <w:lang w:val="en-US"/>
        </w:rPr>
        <w:br/>
      </w:r>
      <w:r w:rsidRPr="001F0BAB">
        <w:rPr>
          <w:rFonts w:ascii="Arial" w:hAnsi="Arial" w:cs="Arial"/>
          <w:noProof w:val="0"/>
          <w:color w:val="000000"/>
          <w:sz w:val="22"/>
          <w:szCs w:val="22"/>
          <w:lang w:val="en-US"/>
        </w:rPr>
        <w:t>ОБУХВАТА/УКЉУЧЕНОСТИ ОДРАСЛИХ У ПРОГРАМЕ ОБРАЗОВАЊА И ОБУЧАВАЊА</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b/>
          <w:noProof w:val="0"/>
          <w:color w:val="000000"/>
          <w:sz w:val="22"/>
          <w:szCs w:val="22"/>
          <w:lang w:val="en-US"/>
        </w:rPr>
        <w:t>1. Формални систем образовања одраслих:</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i/>
          <w:noProof w:val="0"/>
          <w:color w:val="000000"/>
          <w:sz w:val="22"/>
          <w:szCs w:val="22"/>
          <w:lang w:val="en-US"/>
        </w:rPr>
        <w:t>1.1. Функционално основно образовање одраслих</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Проблем у образовању одраслих са којим се Република Србија суочава већ дужи низ година је велики број неписменог становништва, односно оних који немају завршен ниво основног образовања. У циљу превазилажења овог проблема стратешко опредељење је да се повећа доступност основног образовања за све грађане Републике Србије, и обухват одраслих полазника укључених у систем образовања одраслих.</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На основу прикупљених података преко школских управа, у школској 2022/2023. години, планирана је реализација основног образовања одраслих по ФООО на територији </w:t>
      </w:r>
      <w:r w:rsidRPr="001F0BAB">
        <w:rPr>
          <w:rFonts w:ascii="Arial" w:hAnsi="Arial" w:cs="Arial"/>
          <w:b/>
          <w:noProof w:val="0"/>
          <w:color w:val="000000"/>
          <w:sz w:val="22"/>
          <w:szCs w:val="22"/>
          <w:lang w:val="en-US"/>
        </w:rPr>
        <w:t>15</w:t>
      </w:r>
      <w:r w:rsidRPr="001F0BAB">
        <w:rPr>
          <w:rFonts w:ascii="Arial" w:hAnsi="Arial" w:cs="Arial"/>
          <w:noProof w:val="0"/>
          <w:color w:val="000000"/>
          <w:sz w:val="22"/>
          <w:szCs w:val="22"/>
          <w:lang w:val="en-US"/>
        </w:rPr>
        <w:t xml:space="preserve"> школских управа, у </w:t>
      </w:r>
      <w:r w:rsidRPr="001F0BAB">
        <w:rPr>
          <w:rFonts w:ascii="Arial" w:hAnsi="Arial" w:cs="Arial"/>
          <w:b/>
          <w:noProof w:val="0"/>
          <w:color w:val="000000"/>
          <w:sz w:val="22"/>
          <w:szCs w:val="22"/>
          <w:lang w:val="en-US"/>
        </w:rPr>
        <w:t>64</w:t>
      </w:r>
      <w:r w:rsidRPr="001F0BAB">
        <w:rPr>
          <w:rFonts w:ascii="Arial" w:hAnsi="Arial" w:cs="Arial"/>
          <w:noProof w:val="0"/>
          <w:color w:val="000000"/>
          <w:sz w:val="22"/>
          <w:szCs w:val="22"/>
          <w:lang w:val="en-US"/>
        </w:rPr>
        <w:t xml:space="preserve"> основне школе. Планирани број полазника основног образовања одраслих у школској 2022/2023. години, је </w:t>
      </w:r>
      <w:r w:rsidRPr="001F0BAB">
        <w:rPr>
          <w:rFonts w:ascii="Arial" w:hAnsi="Arial" w:cs="Arial"/>
          <w:b/>
          <w:noProof w:val="0"/>
          <w:color w:val="000000"/>
          <w:sz w:val="22"/>
          <w:szCs w:val="22"/>
          <w:lang w:val="en-US"/>
        </w:rPr>
        <w:t>5477</w:t>
      </w:r>
      <w:r w:rsidRPr="001F0BAB">
        <w:rPr>
          <w:rFonts w:ascii="Arial" w:hAnsi="Arial" w:cs="Arial"/>
          <w:noProof w:val="0"/>
          <w:color w:val="000000"/>
          <w:sz w:val="22"/>
          <w:szCs w:val="22"/>
          <w:lang w:val="en-US"/>
        </w:rPr>
        <w:t xml:space="preserve">. На програму ФООО планирано је ангажовање </w:t>
      </w:r>
      <w:r w:rsidRPr="001F0BAB">
        <w:rPr>
          <w:rFonts w:ascii="Arial" w:hAnsi="Arial" w:cs="Arial"/>
          <w:b/>
          <w:noProof w:val="0"/>
          <w:color w:val="000000"/>
          <w:sz w:val="22"/>
          <w:szCs w:val="22"/>
          <w:lang w:val="en-US"/>
        </w:rPr>
        <w:t>841</w:t>
      </w:r>
      <w:r w:rsidRPr="001F0BAB">
        <w:rPr>
          <w:rFonts w:ascii="Arial" w:hAnsi="Arial" w:cs="Arial"/>
          <w:noProof w:val="0"/>
          <w:color w:val="000000"/>
          <w:sz w:val="22"/>
          <w:szCs w:val="22"/>
          <w:lang w:val="en-US"/>
        </w:rPr>
        <w:t xml:space="preserve"> наставника и </w:t>
      </w:r>
      <w:r w:rsidRPr="001F0BAB">
        <w:rPr>
          <w:rFonts w:ascii="Arial" w:hAnsi="Arial" w:cs="Arial"/>
          <w:b/>
          <w:noProof w:val="0"/>
          <w:color w:val="000000"/>
          <w:sz w:val="22"/>
          <w:szCs w:val="22"/>
          <w:lang w:val="en-US"/>
        </w:rPr>
        <w:t>76</w:t>
      </w:r>
      <w:r w:rsidRPr="001F0BAB">
        <w:rPr>
          <w:rFonts w:ascii="Arial" w:hAnsi="Arial" w:cs="Arial"/>
          <w:noProof w:val="0"/>
          <w:color w:val="000000"/>
          <w:sz w:val="22"/>
          <w:szCs w:val="22"/>
          <w:lang w:val="en-US"/>
        </w:rPr>
        <w:t xml:space="preserve"> андрагошких асистената. Дистрибуција полазника по циклусима ФООО у школској 2022/23. години, приказана је на </w:t>
      </w:r>
      <w:r w:rsidRPr="001F0BAB">
        <w:rPr>
          <w:rFonts w:ascii="Arial" w:hAnsi="Arial" w:cs="Arial"/>
          <w:i/>
          <w:noProof w:val="0"/>
          <w:color w:val="000000"/>
          <w:sz w:val="22"/>
          <w:szCs w:val="22"/>
          <w:lang w:val="en-US"/>
        </w:rPr>
        <w:t>Графикону број 6.</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Графикон број 6.</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Дистрибуција полазника по циклусима ФООО у школској 2022/23. години</w:t>
      </w:r>
    </w:p>
    <w:p w:rsidR="001F0BAB" w:rsidRPr="001F0BAB" w:rsidRDefault="001F0BAB" w:rsidP="001F0BAB">
      <w:pPr>
        <w:spacing w:after="200" w:line="276" w:lineRule="auto"/>
        <w:contextualSpacing w:val="0"/>
        <w:rPr>
          <w:rFonts w:ascii="Arial" w:hAnsi="Arial" w:cs="Arial"/>
          <w:noProof w:val="0"/>
          <w:sz w:val="22"/>
          <w:szCs w:val="22"/>
          <w:lang w:val="en-US"/>
        </w:rPr>
      </w:pPr>
      <w:bookmarkStart w:id="5" w:name="_idContainer024"/>
      <w:r w:rsidRPr="001F0BAB">
        <w:rPr>
          <w:rFonts w:ascii="Arial" w:hAnsi="Arial" w:cs="Arial"/>
          <w:sz w:val="22"/>
          <w:szCs w:val="22"/>
          <w:lang w:eastAsia="sr-Latn-RS"/>
        </w:rPr>
        <w:pict>
          <v:shape id="Picture 6" o:spid="_x0000_i1030" type="#_x0000_t75" style="width:255pt;height:86.25pt;visibility:visible;mso-wrap-style:square">
            <v:imagedata r:id="rId12" o:title=""/>
          </v:shape>
        </w:pict>
      </w:r>
    </w:p>
    <w:bookmarkEnd w:id="5"/>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Број уписаних полазника по циклусима ФООО у школској 2022/2023. години, је углавном уједначен. Мотивисање полазника за упис у први циклус је најтеже због баријера које потенцијални полазници имају за улазак у систем образовања. Одрасли имају највећу мотивацију када се ради о завршавању основног образовања и упису у трећи образовни циклус, те је број полазника који су планирани за упис у завршни циклус основног образовања најбројнији. У имплементацији основног образовања одраслих уочавају се три кључна проблема: велико осипање полазника; недовољна, односно неадекватна оспособљеност наставника за реализовање Програма ФООО и недостатак реализације обука полазника за једноставна занимања.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Када се ради о превенцији осипања полазника, Министарство просвете је у оквиру стратешких мера планирало одређене активности у 2023. години, а у циљу задржавања већ укључених полазника у систему ФООО. Стратегијом развоја образовања и васпитања у Републици Србији до 2030. године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Службени гласник РС</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број 63/21) је планирана обука кадра ангажованог у школама које реализују ФООО (Стратешки циљ 1.4; Активност 1.4.1.10.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унапређивање наставничких компетенција и компетенција андрагошких асистената за препознавање потенцијалних ризика од осипања полазника из програма ФООО и предузимање мера за њихово предупређивање). За наредну годину планирају се активности у правцу решавања проблема недостајућих компетенција наставног кадра који ради са одраслом популацијом. Крајем 2022. године, Министарство просвете је започело активности у правцу решавања проблема недостајућих компетенција наставног кадра. Приоритет у обучавању наставника ће имати оне школе са највећим бројем необучених наставника и школе са високим процентом осипања полазника у току школске године. Изостанак стручних обука на крају трећег циклуса основног образовања негативно делује на мотивацију полазника да се укључе у ФООО, али и да своје основно школовање приведу крају. Укључивање полазника завршног циклуса ФООО у мере активне политике за запошљавање у оквиру мера НСЗ биће једна од кључних активности школа, локалних служби за запошљавање и ЈПОА у наредној години. Одређене школе користе овај механизам за мотивисање полазника, али је то још увек у недовољној мери, те су Акционим планом планиране активности Министарства просвете у овом делу.</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У оквиру праћења мера за унапређивање права и положаја мањина, уочено је да од </w:t>
      </w:r>
      <w:r w:rsidRPr="001F0BAB">
        <w:rPr>
          <w:rFonts w:ascii="Arial" w:hAnsi="Arial" w:cs="Arial"/>
          <w:b/>
          <w:noProof w:val="0"/>
          <w:color w:val="000000"/>
          <w:sz w:val="22"/>
          <w:szCs w:val="22"/>
          <w:lang w:val="en-US"/>
        </w:rPr>
        <w:t>5477</w:t>
      </w:r>
      <w:r w:rsidRPr="001F0BAB">
        <w:rPr>
          <w:rFonts w:ascii="Arial" w:hAnsi="Arial" w:cs="Arial"/>
          <w:noProof w:val="0"/>
          <w:color w:val="000000"/>
          <w:sz w:val="22"/>
          <w:szCs w:val="22"/>
          <w:lang w:val="en-US"/>
        </w:rPr>
        <w:t xml:space="preserve"> полазника који су планирани за упис у оквиру програма основног образовања одраслих, </w:t>
      </w:r>
      <w:r w:rsidRPr="001F0BAB">
        <w:rPr>
          <w:rFonts w:ascii="Arial" w:hAnsi="Arial" w:cs="Arial"/>
          <w:b/>
          <w:noProof w:val="0"/>
          <w:color w:val="000000"/>
          <w:sz w:val="22"/>
          <w:szCs w:val="22"/>
          <w:lang w:val="en-US"/>
        </w:rPr>
        <w:t>4402</w:t>
      </w:r>
      <w:r w:rsidRPr="001F0BAB">
        <w:rPr>
          <w:rFonts w:ascii="Arial" w:hAnsi="Arial" w:cs="Arial"/>
          <w:noProof w:val="0"/>
          <w:color w:val="000000"/>
          <w:sz w:val="22"/>
          <w:szCs w:val="22"/>
          <w:lang w:val="en-US"/>
        </w:rPr>
        <w:t xml:space="preserve"> полазника је из ромске популације (</w:t>
      </w:r>
      <w:r w:rsidRPr="001F0BAB">
        <w:rPr>
          <w:rFonts w:ascii="Arial" w:hAnsi="Arial" w:cs="Arial"/>
          <w:b/>
          <w:noProof w:val="0"/>
          <w:color w:val="000000"/>
          <w:sz w:val="22"/>
          <w:szCs w:val="22"/>
          <w:lang w:val="en-US"/>
        </w:rPr>
        <w:t>80,37</w:t>
      </w:r>
      <w:r w:rsidRPr="001F0BAB">
        <w:rPr>
          <w:rFonts w:ascii="Arial" w:hAnsi="Arial" w:cs="Arial"/>
          <w:noProof w:val="0"/>
          <w:color w:val="000000"/>
          <w:sz w:val="22"/>
          <w:szCs w:val="22"/>
          <w:lang w:val="en-US"/>
        </w:rPr>
        <w:t xml:space="preserve">%). Удео ромске популације у укупном броју полазника је прилично висок и само је у благом паду у односу на прошлу годину. Овако висок проценат ромске популације у програму ФООО резултат је мера које су примењене у привлачењу, мотивисању и укључивању Рома у све нивое образовања, у оквиру система образовања у Републици Србији, као и у чињеници да ове популације највише има међу необразованима. Удео ромске популације у укупном броју полазника ФООО приказан је на </w:t>
      </w:r>
      <w:r w:rsidRPr="001F0BAB">
        <w:rPr>
          <w:rFonts w:ascii="Arial" w:hAnsi="Arial" w:cs="Arial"/>
          <w:i/>
          <w:noProof w:val="0"/>
          <w:color w:val="000000"/>
          <w:sz w:val="22"/>
          <w:szCs w:val="22"/>
          <w:lang w:val="en-US"/>
        </w:rPr>
        <w:t>Графикону број 7.</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Графикон број 7.</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Удео ромске популације у укупном броју полазника ФООО</w:t>
      </w:r>
    </w:p>
    <w:p w:rsidR="001F0BAB" w:rsidRPr="001F0BAB" w:rsidRDefault="001F0BAB" w:rsidP="001F0BAB">
      <w:pPr>
        <w:spacing w:after="200" w:line="276" w:lineRule="auto"/>
        <w:contextualSpacing w:val="0"/>
        <w:rPr>
          <w:rFonts w:ascii="Arial" w:hAnsi="Arial" w:cs="Arial"/>
          <w:noProof w:val="0"/>
          <w:sz w:val="22"/>
          <w:szCs w:val="22"/>
          <w:lang w:val="en-US"/>
        </w:rPr>
      </w:pPr>
      <w:bookmarkStart w:id="6" w:name="_idContainer025"/>
      <w:r w:rsidRPr="001F0BAB">
        <w:rPr>
          <w:rFonts w:ascii="Arial" w:hAnsi="Arial" w:cs="Arial"/>
          <w:sz w:val="22"/>
          <w:szCs w:val="22"/>
          <w:lang w:eastAsia="sr-Latn-RS"/>
        </w:rPr>
        <w:pict>
          <v:shape id="Picture 7" o:spid="_x0000_i1029" type="#_x0000_t75" style="width:255pt;height:67.5pt;visibility:visible;mso-wrap-style:square">
            <v:imagedata r:id="rId13" o:title=""/>
          </v:shape>
        </w:pict>
      </w:r>
    </w:p>
    <w:bookmarkEnd w:id="6"/>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У Казнено поправним заводима (у даљем тексту: КПЗ) и Васпитно поправним домовима (у даљем тексту: ВПД), у програм ФООО планирано је укључивање </w:t>
      </w:r>
      <w:r w:rsidRPr="001F0BAB">
        <w:rPr>
          <w:rFonts w:ascii="Arial" w:hAnsi="Arial" w:cs="Arial"/>
          <w:b/>
          <w:noProof w:val="0"/>
          <w:color w:val="000000"/>
          <w:sz w:val="22"/>
          <w:szCs w:val="22"/>
          <w:lang w:val="en-US"/>
        </w:rPr>
        <w:t>307</w:t>
      </w:r>
      <w:r w:rsidRPr="001F0BAB">
        <w:rPr>
          <w:rFonts w:ascii="Arial" w:hAnsi="Arial" w:cs="Arial"/>
          <w:noProof w:val="0"/>
          <w:color w:val="000000"/>
          <w:sz w:val="22"/>
          <w:szCs w:val="22"/>
          <w:lang w:val="en-US"/>
        </w:rPr>
        <w:t xml:space="preserve"> полазника, од којих је </w:t>
      </w:r>
      <w:r w:rsidRPr="001F0BAB">
        <w:rPr>
          <w:rFonts w:ascii="Arial" w:hAnsi="Arial" w:cs="Arial"/>
          <w:b/>
          <w:noProof w:val="0"/>
          <w:color w:val="000000"/>
          <w:sz w:val="22"/>
          <w:szCs w:val="22"/>
          <w:lang w:val="en-US"/>
        </w:rPr>
        <w:t>262</w:t>
      </w:r>
      <w:r w:rsidRPr="001F0BAB">
        <w:rPr>
          <w:rFonts w:ascii="Arial" w:hAnsi="Arial" w:cs="Arial"/>
          <w:noProof w:val="0"/>
          <w:color w:val="000000"/>
          <w:sz w:val="22"/>
          <w:szCs w:val="22"/>
          <w:lang w:val="en-US"/>
        </w:rPr>
        <w:t xml:space="preserve"> припадника ромске популације. Удео ромске популације у укупном броју полазника је нешто већи него у општој популацији (</w:t>
      </w:r>
      <w:r w:rsidRPr="001F0BAB">
        <w:rPr>
          <w:rFonts w:ascii="Arial" w:hAnsi="Arial" w:cs="Arial"/>
          <w:b/>
          <w:noProof w:val="0"/>
          <w:color w:val="000000"/>
          <w:sz w:val="22"/>
          <w:szCs w:val="22"/>
          <w:lang w:val="en-US"/>
        </w:rPr>
        <w:t>85,3</w:t>
      </w:r>
      <w:r w:rsidRPr="001F0BAB">
        <w:rPr>
          <w:rFonts w:ascii="Arial" w:hAnsi="Arial" w:cs="Arial"/>
          <w:noProof w:val="0"/>
          <w:color w:val="000000"/>
          <w:sz w:val="22"/>
          <w:szCs w:val="22"/>
          <w:lang w:val="en-US"/>
        </w:rPr>
        <w:t xml:space="preserve"> процената). На програму ФООО у КПЗ је планирано ангажовање </w:t>
      </w:r>
      <w:r w:rsidRPr="001F0BAB">
        <w:rPr>
          <w:rFonts w:ascii="Arial" w:hAnsi="Arial" w:cs="Arial"/>
          <w:b/>
          <w:noProof w:val="0"/>
          <w:color w:val="000000"/>
          <w:sz w:val="22"/>
          <w:szCs w:val="22"/>
          <w:lang w:val="en-US"/>
        </w:rPr>
        <w:t>101</w:t>
      </w:r>
      <w:r w:rsidRPr="001F0BAB">
        <w:rPr>
          <w:rFonts w:ascii="Arial" w:hAnsi="Arial" w:cs="Arial"/>
          <w:noProof w:val="0"/>
          <w:color w:val="000000"/>
          <w:sz w:val="22"/>
          <w:szCs w:val="22"/>
          <w:lang w:val="en-US"/>
        </w:rPr>
        <w:t xml:space="preserve"> наставника и </w:t>
      </w:r>
      <w:r w:rsidRPr="001F0BAB">
        <w:rPr>
          <w:rFonts w:ascii="Arial" w:hAnsi="Arial" w:cs="Arial"/>
          <w:b/>
          <w:noProof w:val="0"/>
          <w:color w:val="000000"/>
          <w:sz w:val="22"/>
          <w:szCs w:val="22"/>
          <w:lang w:val="en-US"/>
        </w:rPr>
        <w:t>5</w:t>
      </w:r>
      <w:r w:rsidRPr="001F0BAB">
        <w:rPr>
          <w:rFonts w:ascii="Arial" w:hAnsi="Arial" w:cs="Arial"/>
          <w:noProof w:val="0"/>
          <w:color w:val="000000"/>
          <w:sz w:val="22"/>
          <w:szCs w:val="22"/>
          <w:lang w:val="en-US"/>
        </w:rPr>
        <w:t xml:space="preserve"> андрагошких асистената.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Планирани буџет за реализацију активности основног образовања одраслих у основним школама, износи </w:t>
      </w:r>
      <w:r w:rsidRPr="001F0BAB">
        <w:rPr>
          <w:rFonts w:ascii="Arial" w:hAnsi="Arial" w:cs="Arial"/>
          <w:b/>
          <w:noProof w:val="0"/>
          <w:color w:val="000000"/>
          <w:sz w:val="22"/>
          <w:szCs w:val="22"/>
          <w:lang w:val="en-US"/>
        </w:rPr>
        <w:t>605.635.000,00 динара</w:t>
      </w:r>
      <w:r w:rsidRPr="001F0BAB">
        <w:rPr>
          <w:rFonts w:ascii="Arial" w:hAnsi="Arial" w:cs="Arial"/>
          <w:noProof w:val="0"/>
          <w:color w:val="000000"/>
          <w:sz w:val="22"/>
          <w:szCs w:val="22"/>
          <w:lang w:val="en-US"/>
        </w:rPr>
        <w:t>.</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Списак основних школа које планирају реализацију програма ФООО, планирани број полазника, извор и оквирни обим средстава, дати су </w:t>
      </w:r>
      <w:r w:rsidRPr="001F0BAB">
        <w:rPr>
          <w:rFonts w:ascii="Arial" w:hAnsi="Arial" w:cs="Arial"/>
          <w:i/>
          <w:noProof w:val="0"/>
          <w:color w:val="000000"/>
          <w:sz w:val="22"/>
          <w:szCs w:val="22"/>
          <w:lang w:val="en-US"/>
        </w:rPr>
        <w:t>у</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Прилогу број 1.</w:t>
      </w:r>
      <w:r w:rsidRPr="001F0BAB">
        <w:rPr>
          <w:rFonts w:ascii="Arial" w:hAnsi="Arial" w:cs="Arial"/>
          <w:noProof w:val="0"/>
          <w:color w:val="000000"/>
          <w:sz w:val="22"/>
          <w:szCs w:val="22"/>
          <w:lang w:val="en-US"/>
        </w:rPr>
        <w:t xml:space="preserve"> који је одштампан уз ГПОО за 2023. годину, и чини његов саставни део.</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Списак основних школа које планирају реализацију програма ФООО у КПЗ и ВПД, планирани број полазника, извор и оквирни обим средстава, дати су </w:t>
      </w:r>
      <w:r w:rsidRPr="001F0BAB">
        <w:rPr>
          <w:rFonts w:ascii="Arial" w:hAnsi="Arial" w:cs="Arial"/>
          <w:i/>
          <w:noProof w:val="0"/>
          <w:color w:val="000000"/>
          <w:sz w:val="22"/>
          <w:szCs w:val="22"/>
          <w:lang w:val="en-US"/>
        </w:rPr>
        <w:t>у</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Прилогу број 2.</w:t>
      </w:r>
      <w:r w:rsidRPr="001F0BAB">
        <w:rPr>
          <w:rFonts w:ascii="Arial" w:hAnsi="Arial" w:cs="Arial"/>
          <w:noProof w:val="0"/>
          <w:color w:val="000000"/>
          <w:sz w:val="22"/>
          <w:szCs w:val="22"/>
          <w:lang w:val="en-US"/>
        </w:rPr>
        <w:t xml:space="preserve"> који је одштампан уз ГПОО за 2023. годину, и чини његов саставни део.</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i/>
          <w:noProof w:val="0"/>
          <w:color w:val="000000"/>
          <w:sz w:val="22"/>
          <w:szCs w:val="22"/>
          <w:lang w:val="en-US"/>
        </w:rPr>
        <w:t>1.2. Средње образовање одраслих (ванредни полазници средњег образовања, старији од 17 година)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У 2023. години, планира се реализација формалног средњег образовања одраслих на територији </w:t>
      </w:r>
      <w:r w:rsidRPr="001F0BAB">
        <w:rPr>
          <w:rFonts w:ascii="Arial" w:hAnsi="Arial" w:cs="Arial"/>
          <w:b/>
          <w:noProof w:val="0"/>
          <w:color w:val="000000"/>
          <w:sz w:val="22"/>
          <w:szCs w:val="22"/>
          <w:lang w:val="en-US"/>
        </w:rPr>
        <w:t>16</w:t>
      </w:r>
      <w:r w:rsidRPr="001F0BAB">
        <w:rPr>
          <w:rFonts w:ascii="Arial" w:hAnsi="Arial" w:cs="Arial"/>
          <w:noProof w:val="0"/>
          <w:color w:val="000000"/>
          <w:sz w:val="22"/>
          <w:szCs w:val="22"/>
          <w:lang w:val="en-US"/>
        </w:rPr>
        <w:t xml:space="preserve"> школских управа, у </w:t>
      </w:r>
      <w:r w:rsidRPr="001F0BAB">
        <w:rPr>
          <w:rFonts w:ascii="Arial" w:hAnsi="Arial" w:cs="Arial"/>
          <w:b/>
          <w:noProof w:val="0"/>
          <w:color w:val="000000"/>
          <w:sz w:val="22"/>
          <w:szCs w:val="22"/>
          <w:lang w:val="en-US"/>
        </w:rPr>
        <w:t>139</w:t>
      </w:r>
      <w:r w:rsidRPr="001F0BAB">
        <w:rPr>
          <w:rFonts w:ascii="Arial" w:hAnsi="Arial" w:cs="Arial"/>
          <w:noProof w:val="0"/>
          <w:color w:val="000000"/>
          <w:sz w:val="22"/>
          <w:szCs w:val="22"/>
          <w:lang w:val="en-US"/>
        </w:rPr>
        <w:t xml:space="preserve"> средњих школа. </w:t>
      </w:r>
      <w:r w:rsidRPr="001F0BAB">
        <w:rPr>
          <w:rFonts w:ascii="Arial" w:hAnsi="Arial" w:cs="Arial"/>
          <w:i/>
          <w:noProof w:val="0"/>
          <w:color w:val="000000"/>
          <w:sz w:val="22"/>
          <w:szCs w:val="22"/>
          <w:lang w:val="en-US"/>
        </w:rPr>
        <w:t>У први разред</w:t>
      </w:r>
      <w:r w:rsidRPr="001F0BAB">
        <w:rPr>
          <w:rFonts w:ascii="Arial" w:hAnsi="Arial" w:cs="Arial"/>
          <w:noProof w:val="0"/>
          <w:color w:val="000000"/>
          <w:sz w:val="22"/>
          <w:szCs w:val="22"/>
          <w:lang w:val="en-US"/>
        </w:rPr>
        <w:t xml:space="preserve"> средњег образовања планиран је упис у </w:t>
      </w:r>
      <w:r w:rsidRPr="001F0BAB">
        <w:rPr>
          <w:rFonts w:ascii="Arial" w:hAnsi="Arial" w:cs="Arial"/>
          <w:b/>
          <w:noProof w:val="0"/>
          <w:color w:val="000000"/>
          <w:sz w:val="22"/>
          <w:szCs w:val="22"/>
          <w:lang w:val="en-US"/>
        </w:rPr>
        <w:t>56</w:t>
      </w:r>
      <w:r w:rsidRPr="001F0BAB">
        <w:rPr>
          <w:rFonts w:ascii="Arial" w:hAnsi="Arial" w:cs="Arial"/>
          <w:noProof w:val="0"/>
          <w:color w:val="000000"/>
          <w:sz w:val="22"/>
          <w:szCs w:val="22"/>
          <w:lang w:val="en-US"/>
        </w:rPr>
        <w:t xml:space="preserve"> средњих школа за </w:t>
      </w:r>
      <w:r w:rsidRPr="001F0BAB">
        <w:rPr>
          <w:rFonts w:ascii="Arial" w:hAnsi="Arial" w:cs="Arial"/>
          <w:b/>
          <w:noProof w:val="0"/>
          <w:color w:val="000000"/>
          <w:sz w:val="22"/>
          <w:szCs w:val="22"/>
          <w:lang w:val="en-US"/>
        </w:rPr>
        <w:t>225</w:t>
      </w:r>
      <w:r w:rsidRPr="001F0BAB">
        <w:rPr>
          <w:rFonts w:ascii="Arial" w:hAnsi="Arial" w:cs="Arial"/>
          <w:noProof w:val="0"/>
          <w:color w:val="000000"/>
          <w:sz w:val="22"/>
          <w:szCs w:val="22"/>
          <w:lang w:val="en-US"/>
        </w:rPr>
        <w:t xml:space="preserve"> полазника, старијих од 17 година, у својству ванредних полазника средњег образовања. Реализација уписа одраслих полазника у овај ниво образовања је већ традиционално веома ниска и број школа које уписују ванредне полазнике у средње образовање се смањује. Можемо приметити да са подручја целих школских управа, нпр. Крагујевац и Крушевац, нема ниједне средње школе која је планирала упис ванредних полазника средњег образовања, старијих од 17 година за школску 2022/2023. годину. Уочава се низак проценат укључивања одраслих у средње образовање након завршавања програма ФООО. Један од основних разлога је недостатак времена за континуирано одсуство у сврху образовања. Развојем неформалног система образовања, пружањем прилике да се и кроз овај систем стекну потребне квалификације и компетенције, неформални систем образовања постаје механизам који одрасли све више почињу да користе у задовољењу својих образовних потреба. Реализација ове активности се одвија у оквиру четрдесеточасовне радне недеље наставника средњих школа које уписују ванредне полазнике старије од 17 година (трошкови консултација, испита, комисије</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те се ова средства налазе у укупној суми средстава за реализацију средњег образовања.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Укупна средства потребна за реализацију активности средњег образовања одраслих за школску 2022/2023. годину, износе </w:t>
      </w:r>
      <w:r w:rsidRPr="001F0BAB">
        <w:rPr>
          <w:rFonts w:ascii="Arial" w:hAnsi="Arial" w:cs="Arial"/>
          <w:b/>
          <w:noProof w:val="0"/>
          <w:color w:val="000000"/>
          <w:sz w:val="22"/>
          <w:szCs w:val="22"/>
          <w:lang w:val="en-US"/>
        </w:rPr>
        <w:t>6.750.000,00 динара.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Списак средњих школа, планирани број полазника, извор и оквирни обим средстава, дати су у </w:t>
      </w:r>
      <w:r w:rsidRPr="001F0BAB">
        <w:rPr>
          <w:rFonts w:ascii="Arial" w:hAnsi="Arial" w:cs="Arial"/>
          <w:b/>
          <w:noProof w:val="0"/>
          <w:color w:val="000000"/>
          <w:sz w:val="22"/>
          <w:szCs w:val="22"/>
          <w:lang w:val="en-US"/>
        </w:rPr>
        <w:t>Прилогу број 3.</w:t>
      </w:r>
      <w:r w:rsidRPr="001F0BAB">
        <w:rPr>
          <w:rFonts w:ascii="Arial" w:hAnsi="Arial" w:cs="Arial"/>
          <w:noProof w:val="0"/>
          <w:color w:val="000000"/>
          <w:sz w:val="22"/>
          <w:szCs w:val="22"/>
          <w:lang w:val="en-US"/>
        </w:rPr>
        <w:t xml:space="preserve"> који је одштампан уз ГПОО за 2023. годину, и чини његов саставни део.</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i/>
          <w:noProof w:val="0"/>
          <w:color w:val="000000"/>
          <w:sz w:val="22"/>
          <w:szCs w:val="22"/>
          <w:lang w:val="en-US"/>
        </w:rPr>
        <w:t>1.3. Преквалификацијe, доквалификације и специјализације одраслих у средњем образовању</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Програми преквалификације, доквалификације и специјализације одраслих у средњем образовању, пружају велике могућности одраслима у кретању кроз систем образовања, самим тим бржи проналазак запослења, или жељену промену посла.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Планом уписа ванредних ученика на програме ПДС за школску 2022/2023. годину, на основу предлога школа достављених од стране надлежних школских управа и увида у релевантност предлога на тржишту рада, Министарство просвете је дало сагласност на одређени број места за упис одраслих за конкретне образовне профиле за сваку школу. Одобрени број за упис одраслих у школској 2022/23. години, у </w:t>
      </w:r>
      <w:r w:rsidRPr="001F0BAB">
        <w:rPr>
          <w:rFonts w:ascii="Arial" w:hAnsi="Arial" w:cs="Arial"/>
          <w:i/>
          <w:noProof w:val="0"/>
          <w:color w:val="000000"/>
          <w:sz w:val="22"/>
          <w:szCs w:val="22"/>
          <w:lang w:val="en-US"/>
        </w:rPr>
        <w:t>програме преквалификације</w:t>
      </w:r>
      <w:r w:rsidRPr="001F0BAB">
        <w:rPr>
          <w:rFonts w:ascii="Arial" w:hAnsi="Arial" w:cs="Arial"/>
          <w:noProof w:val="0"/>
          <w:color w:val="000000"/>
          <w:sz w:val="22"/>
          <w:szCs w:val="22"/>
          <w:lang w:val="en-US"/>
        </w:rPr>
        <w:t xml:space="preserve"> је </w:t>
      </w:r>
      <w:r w:rsidRPr="001F0BAB">
        <w:rPr>
          <w:rFonts w:ascii="Arial" w:hAnsi="Arial" w:cs="Arial"/>
          <w:b/>
          <w:noProof w:val="0"/>
          <w:color w:val="000000"/>
          <w:sz w:val="22"/>
          <w:szCs w:val="22"/>
          <w:lang w:val="en-US"/>
        </w:rPr>
        <w:t>12.693</w:t>
      </w:r>
      <w:r w:rsidRPr="001F0BAB">
        <w:rPr>
          <w:rFonts w:ascii="Arial" w:hAnsi="Arial" w:cs="Arial"/>
          <w:noProof w:val="0"/>
          <w:color w:val="000000"/>
          <w:sz w:val="22"/>
          <w:szCs w:val="22"/>
          <w:lang w:val="en-US"/>
        </w:rPr>
        <w:t xml:space="preserve">, за програме </w:t>
      </w:r>
      <w:r w:rsidRPr="001F0BAB">
        <w:rPr>
          <w:rFonts w:ascii="Arial" w:hAnsi="Arial" w:cs="Arial"/>
          <w:i/>
          <w:noProof w:val="0"/>
          <w:color w:val="000000"/>
          <w:sz w:val="22"/>
          <w:szCs w:val="22"/>
          <w:lang w:val="en-US"/>
        </w:rPr>
        <w:t>доквалификације</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8.653</w:t>
      </w:r>
      <w:r w:rsidRPr="001F0BAB">
        <w:rPr>
          <w:rFonts w:ascii="Arial" w:hAnsi="Arial" w:cs="Arial"/>
          <w:noProof w:val="0"/>
          <w:color w:val="000000"/>
          <w:sz w:val="22"/>
          <w:szCs w:val="22"/>
          <w:lang w:val="en-US"/>
        </w:rPr>
        <w:t xml:space="preserve"> и </w:t>
      </w:r>
      <w:r w:rsidRPr="001F0BAB">
        <w:rPr>
          <w:rFonts w:ascii="Arial" w:hAnsi="Arial" w:cs="Arial"/>
          <w:i/>
          <w:noProof w:val="0"/>
          <w:color w:val="000000"/>
          <w:sz w:val="22"/>
          <w:szCs w:val="22"/>
          <w:lang w:val="en-US"/>
        </w:rPr>
        <w:t>специјализације</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3.728</w:t>
      </w:r>
      <w:r w:rsidRPr="001F0BAB">
        <w:rPr>
          <w:rFonts w:ascii="Arial" w:hAnsi="Arial" w:cs="Arial"/>
          <w:noProof w:val="0"/>
          <w:color w:val="000000"/>
          <w:sz w:val="22"/>
          <w:szCs w:val="22"/>
          <w:lang w:val="en-US"/>
        </w:rPr>
        <w:t xml:space="preserve"> одраслих полазника.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У складу са тим, у 2023. години, планира се реализација ових програма на територији </w:t>
      </w:r>
      <w:r w:rsidRPr="001F0BAB">
        <w:rPr>
          <w:rFonts w:ascii="Arial" w:hAnsi="Arial" w:cs="Arial"/>
          <w:b/>
          <w:noProof w:val="0"/>
          <w:color w:val="000000"/>
          <w:sz w:val="22"/>
          <w:szCs w:val="22"/>
          <w:lang w:val="en-US"/>
        </w:rPr>
        <w:t>16</w:t>
      </w:r>
      <w:r w:rsidRPr="001F0BAB">
        <w:rPr>
          <w:rFonts w:ascii="Arial" w:hAnsi="Arial" w:cs="Arial"/>
          <w:noProof w:val="0"/>
          <w:color w:val="000000"/>
          <w:sz w:val="22"/>
          <w:szCs w:val="22"/>
          <w:lang w:val="en-US"/>
        </w:rPr>
        <w:t xml:space="preserve"> школских управа за укупно </w:t>
      </w:r>
      <w:r w:rsidRPr="001F0BAB">
        <w:rPr>
          <w:rFonts w:ascii="Arial" w:hAnsi="Arial" w:cs="Arial"/>
          <w:b/>
          <w:noProof w:val="0"/>
          <w:color w:val="000000"/>
          <w:sz w:val="22"/>
          <w:szCs w:val="22"/>
          <w:lang w:val="en-US"/>
        </w:rPr>
        <w:t>25.074</w:t>
      </w:r>
      <w:r w:rsidRPr="001F0BAB">
        <w:rPr>
          <w:rFonts w:ascii="Arial" w:hAnsi="Arial" w:cs="Arial"/>
          <w:noProof w:val="0"/>
          <w:color w:val="000000"/>
          <w:sz w:val="22"/>
          <w:szCs w:val="22"/>
          <w:lang w:val="en-US"/>
        </w:rPr>
        <w:t xml:space="preserve"> полазника. Наведене активности финансирају сами полазници сопственим средствима.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Највише тражени програми су из области Електротехника, Здравство и социјална заштита, Машинство и обрада метала, Пољопривреда, производња и прерада хране, Саобраћај и Трговина, туризам и угоститељство, па је у овим областима планиран највећи број ПДС.</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На основу података који су прикупљени од стране већине школа, када је у питању реализација уписа у програме ПДС у прошлој години, закључујемо да је План реализован у обиму од 29,94% (укупна одобрена квота школама износила је 24505, а реализација у школској 2021/22. години, била је 7336).</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План школа за програме преквалификације је реализован у обиму од 27,85% (укупна одобрена квота износила је 12665, а реализација је 3527). Када су у питању програми доквалификације, План је реализован у обиму од 33,72% (укупна одобрена квота износила је 8270, а реализација је 2789). На програмима специјализације План је реализован у обиму од 28,57% (укупна одобрена квота износила је 3570, а реализација је 1020). Уочава се да је степен реализације највиши код програма доквалификација, што је тренд већ неколико година за редом, па се може закључити да полазници у највећој мери настоје да напредују у области рада за коју су се претходно школовали, односно да подигну свој квалификациони ниво. Полазници су нешто мање спремни да мењају област рада уписујући се на преквалификације у некој другој области. Изузетак од овог правила су области Здравство и социјална заштита (где је попуњеност планираних места за преквалификацију 34,79%, већа од попуњености места за доквалификацију, која износи 29,82%) и област Саобраћај (где попуњеност места за преквалификацију достиже 64,78%, а за доквалификацију 60,43%). Ово се објашњава великом заинтересованошћу полазника за упис на програме у области Здравства и социјалне заштите, као и у области Саобраћаја. Треба нагласити да област Саобраћаја уопште узевши има најбољи обим реализације (укупно 59,34%). Појединачно гледано, у области Саобраћај реализација Плана преквалификације износила је 64,78%, доквалификације 60,43%, а специјализације 48,24%. Осим саобраћаја, релативно добру реализацију примећујемо и код подручја рада Геологија, рударство и металургија, где је План реализације свих облика ПДС укупно 45,14%, код подручја рада Економија, право и администрација, где укупна реализација износи 44,28%, и код подручја Шумарство и обрада дрвета, где је укупна реализација ПДС 40,5%. Реализација програма ПДС је устаљена на нивоу од око 30%, мада се у школској 2021/22. години, може регистровати благи пад у већини области, што се објашњава мањом активношћу школа које реализују ове програме, а која је последица Ковид ситуације.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Списак средњих школа, планирани број полазника програма ПДС, дати су у </w:t>
      </w:r>
      <w:r w:rsidRPr="001F0BAB">
        <w:rPr>
          <w:rFonts w:ascii="Arial" w:hAnsi="Arial" w:cs="Arial"/>
          <w:b/>
          <w:noProof w:val="0"/>
          <w:color w:val="000000"/>
          <w:sz w:val="22"/>
          <w:szCs w:val="22"/>
          <w:lang w:val="en-US"/>
        </w:rPr>
        <w:t>Прилогу број 4.</w:t>
      </w:r>
      <w:r w:rsidRPr="001F0BAB">
        <w:rPr>
          <w:rFonts w:ascii="Arial" w:hAnsi="Arial" w:cs="Arial"/>
          <w:noProof w:val="0"/>
          <w:color w:val="000000"/>
          <w:sz w:val="22"/>
          <w:szCs w:val="22"/>
          <w:lang w:val="en-US"/>
        </w:rPr>
        <w:t xml:space="preserve"> који је одштампан уз ГПОО за 2023. годину, и чини његов саставни део.</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b/>
          <w:noProof w:val="0"/>
          <w:color w:val="000000"/>
          <w:sz w:val="22"/>
          <w:szCs w:val="22"/>
          <w:lang w:val="en-US"/>
        </w:rPr>
        <w:t>2. Неформални систем образовања одраслих:</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i/>
          <w:noProof w:val="0"/>
          <w:color w:val="000000"/>
          <w:sz w:val="22"/>
          <w:szCs w:val="22"/>
          <w:lang w:val="en-US"/>
        </w:rPr>
        <w:t>2.1. Реализација програма и стицања компетенција и квалификација запослених и незапослених лица код ЈПОА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наредној години посебна пажња биће усмерена на проширење мреже ЈПОА за реализацију програма/активности у оквиру којих незапослена и запослена лица могу стећи потребне компетенције и квалификације. Статус ЈПОА стичу школе и друге организације које, након спроведеног поступка акредитације, добијају одобрење статуса ЈПОА за једну или више активности образовања одраслих. Поред школа и других организација, статус ЈПОА могу да имају и државни органи односно установе, које у складу са посебним законом обављају активности образовања одраслих.</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Поступак стицања статуса ЈПОА за спровођење једне или више активности образовања одраслих прописан је Законом о НОКС, а поступак се делимично разликује у зависности од тога да ли се ради о </w:t>
      </w:r>
      <w:r w:rsidRPr="001F0BAB">
        <w:rPr>
          <w:rFonts w:ascii="Arial" w:hAnsi="Arial" w:cs="Arial"/>
          <w:i/>
          <w:noProof w:val="0"/>
          <w:color w:val="000000"/>
          <w:sz w:val="22"/>
          <w:szCs w:val="22"/>
          <w:lang w:val="en-US"/>
        </w:rPr>
        <w:t>школи</w:t>
      </w:r>
      <w:r w:rsidRPr="001F0BAB">
        <w:rPr>
          <w:rFonts w:ascii="Arial" w:hAnsi="Arial" w:cs="Arial"/>
          <w:noProof w:val="0"/>
          <w:color w:val="000000"/>
          <w:sz w:val="22"/>
          <w:szCs w:val="22"/>
          <w:lang w:val="en-US"/>
        </w:rPr>
        <w:t xml:space="preserve"> или </w:t>
      </w:r>
      <w:r w:rsidRPr="001F0BAB">
        <w:rPr>
          <w:rFonts w:ascii="Arial" w:hAnsi="Arial" w:cs="Arial"/>
          <w:i/>
          <w:noProof w:val="0"/>
          <w:color w:val="000000"/>
          <w:sz w:val="22"/>
          <w:szCs w:val="22"/>
          <w:lang w:val="en-US"/>
        </w:rPr>
        <w:t>другој организацији</w:t>
      </w:r>
      <w:r w:rsidRPr="001F0BAB">
        <w:rPr>
          <w:rFonts w:ascii="Arial" w:hAnsi="Arial" w:cs="Arial"/>
          <w:noProof w:val="0"/>
          <w:color w:val="000000"/>
          <w:sz w:val="22"/>
          <w:szCs w:val="22"/>
          <w:lang w:val="en-US"/>
        </w:rPr>
        <w:t xml:space="preserve">. Поступак одобравања статуса ЈПОА за спровођење активности образовања одраслих за </w:t>
      </w:r>
      <w:r w:rsidRPr="001F0BAB">
        <w:rPr>
          <w:rFonts w:ascii="Arial" w:hAnsi="Arial" w:cs="Arial"/>
          <w:i/>
          <w:noProof w:val="0"/>
          <w:color w:val="000000"/>
          <w:sz w:val="22"/>
          <w:szCs w:val="22"/>
          <w:lang w:val="en-US"/>
        </w:rPr>
        <w:t>друге организације</w:t>
      </w:r>
      <w:r w:rsidRPr="001F0BAB">
        <w:rPr>
          <w:rFonts w:ascii="Arial" w:hAnsi="Arial" w:cs="Arial"/>
          <w:noProof w:val="0"/>
          <w:color w:val="000000"/>
          <w:sz w:val="22"/>
          <w:szCs w:val="22"/>
          <w:lang w:val="en-US"/>
        </w:rPr>
        <w:t xml:space="preserve"> води АзК, тако да захтев за издавање одобрења за статус ЈПОА, друга организација подноси АзК. Поступак у којем </w:t>
      </w:r>
      <w:r w:rsidRPr="001F0BAB">
        <w:rPr>
          <w:rFonts w:ascii="Arial" w:hAnsi="Arial" w:cs="Arial"/>
          <w:i/>
          <w:noProof w:val="0"/>
          <w:color w:val="000000"/>
          <w:sz w:val="22"/>
          <w:szCs w:val="22"/>
          <w:lang w:val="en-US"/>
        </w:rPr>
        <w:t>школе</w:t>
      </w:r>
      <w:r w:rsidRPr="001F0BAB">
        <w:rPr>
          <w:rFonts w:ascii="Arial" w:hAnsi="Arial" w:cs="Arial"/>
          <w:noProof w:val="0"/>
          <w:color w:val="000000"/>
          <w:sz w:val="22"/>
          <w:szCs w:val="22"/>
          <w:lang w:val="en-US"/>
        </w:rPr>
        <w:t xml:space="preserve"> стичу статус ЈПОА специфичан је у односу на исти поступак који је прописан за друге организације. Та специфичност се огледа у правном основу за његово спровођење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примена одредби о проширеној делатности из Закона о основама система образовања и васпитања и сходно примени одредби о поступку за стицање статуса ЈПОА који се примењује на друге организације из Закона о НОКС-у.</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У зависности од врсте активности образовања одраслих прописани су и посебни стандарди за добијање статуса ЈПОА. У складу са </w:t>
      </w:r>
      <w:r w:rsidRPr="001F0BAB">
        <w:rPr>
          <w:rFonts w:ascii="Arial" w:hAnsi="Arial" w:cs="Arial"/>
          <w:i/>
          <w:noProof w:val="0"/>
          <w:color w:val="000000"/>
          <w:sz w:val="22"/>
          <w:szCs w:val="22"/>
          <w:lang w:val="en-US"/>
        </w:rPr>
        <w:t>Правилником о врсти, називу и садржају образаца и начину вођења евиденција и називу, садржају и изгледу образаца јавних исправа и уверења у образовању одраслих</w:t>
      </w:r>
      <w:r w:rsidRPr="001F0BAB">
        <w:rPr>
          <w:rFonts w:ascii="Arial" w:hAnsi="Arial" w:cs="Arial"/>
          <w:noProof w:val="0"/>
          <w:color w:val="000000"/>
          <w:sz w:val="22"/>
          <w:szCs w:val="22"/>
          <w:lang w:val="en-US"/>
        </w:rPr>
        <w:t>, за савладани програм образовања одраслих, полазнику, односно кандидату, ЈПОА издаје јавну исправу (сертификат, уверење) или потврду. Сертификати и уверења издају се полазницима на прописаним обрасцима, а у складу са подзаконским актом.</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Статус ЈПОА може се стећи за активности неформалног образовања одраслих којима се стичу компетенције и/или квалификације за обављање, усавршавање или промену занимања, посла, радне функције или радне операције, за нивое од 1 до 3 и 5 НОКС-а; активност образовања одраслих којим се унапређују знања, вештине и способности, ради личног и професионалног развоја и друштвено одговорног понашања, унапређивања квалитета живота, општег образовања и културе (неформалним образовањем и информалним учењем), за нивое од 1 до 3 НОКС-а; активност КВиС и активност ППУ.</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До октобра 2022. године, статус ЈПОА је добило је </w:t>
      </w:r>
      <w:r w:rsidRPr="001F0BAB">
        <w:rPr>
          <w:rFonts w:ascii="Arial" w:hAnsi="Arial" w:cs="Arial"/>
          <w:b/>
          <w:noProof w:val="0"/>
          <w:color w:val="000000"/>
          <w:sz w:val="22"/>
          <w:szCs w:val="22"/>
          <w:lang w:val="en-US"/>
        </w:rPr>
        <w:t>132</w:t>
      </w:r>
      <w:r w:rsidRPr="001F0BAB">
        <w:rPr>
          <w:rFonts w:ascii="Arial" w:hAnsi="Arial" w:cs="Arial"/>
          <w:noProof w:val="0"/>
          <w:color w:val="000000"/>
          <w:sz w:val="22"/>
          <w:szCs w:val="22"/>
          <w:lang w:val="en-US"/>
        </w:rPr>
        <w:t xml:space="preserve"> установа/организација, од којих су 23 средње стручне школе и 109 других организација (предузећа, пословна удружења, народни раднички универзитети, институти и др.), за укупно </w:t>
      </w:r>
      <w:r w:rsidRPr="001F0BAB">
        <w:rPr>
          <w:rFonts w:ascii="Arial" w:hAnsi="Arial" w:cs="Arial"/>
          <w:b/>
          <w:noProof w:val="0"/>
          <w:color w:val="000000"/>
          <w:sz w:val="22"/>
          <w:szCs w:val="22"/>
          <w:lang w:val="en-US"/>
        </w:rPr>
        <w:t>543</w:t>
      </w:r>
      <w:r w:rsidRPr="001F0BAB">
        <w:rPr>
          <w:rFonts w:ascii="Arial" w:hAnsi="Arial" w:cs="Arial"/>
          <w:noProof w:val="0"/>
          <w:color w:val="000000"/>
          <w:sz w:val="22"/>
          <w:szCs w:val="22"/>
          <w:lang w:val="en-US"/>
        </w:rPr>
        <w:t xml:space="preserve"> програма, од којих је 84 програма акредитовано од стране школа и 459 програма других организација.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Статус ЈПОА је у 2022. години, изгубило 6 школа и 21 друга организација, због истицања петогодишњег периода на који се односила акредитација.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Поступак реакредитације програма ЈПОА је у току за Техничку школу из Пожеге и Пољопривредну школу са домом ученика</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,Соња Маринковић</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из Пожаревца.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Од укупно 122 акредитоване установе/организације, планове за реализацију програма у 2023. години, доставило је 110 ЈПОА.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На основу прикупљених података у наредној години, планирана је реализација за 412 акредитованих програма, за оквирно 13.000 полазника.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Када је реч о школама, оне су планирале реализацију 46 програма, а друге организације планирају реализацију 366 програма обука.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Највећи број планираних програма ЈПОА је у областима Здравства и социјалне заштите (19%), Грађевинарства (16%), Машинства и обраде метала (10%), Економије, права и администрације, (9%), Страних језика (9%), Саобраћаја (9%), Трговине, угоститељства и туризма (5%), Личних услуга (5%), Безбедности и здравих услова рада (5%), Електротехнике (4%), ИКТ (4%), Шумарства и обраде дрвета (2%). Планирани програми обука код ЈПОА по областима рада за 2023. годину, приказани су на </w:t>
      </w:r>
      <w:r w:rsidRPr="001F0BAB">
        <w:rPr>
          <w:rFonts w:ascii="Arial" w:hAnsi="Arial" w:cs="Arial"/>
          <w:i/>
          <w:noProof w:val="0"/>
          <w:color w:val="000000"/>
          <w:sz w:val="22"/>
          <w:szCs w:val="22"/>
          <w:lang w:val="en-US"/>
        </w:rPr>
        <w:t>Графикону број 8.</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Графикон број 8.</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Планирани програми обука код ЈПОА по областима рада за 2023. годину</w:t>
      </w:r>
    </w:p>
    <w:p w:rsidR="001F0BAB" w:rsidRPr="001F0BAB" w:rsidRDefault="001F0BAB" w:rsidP="001F0BAB">
      <w:pPr>
        <w:spacing w:after="200" w:line="276" w:lineRule="auto"/>
        <w:contextualSpacing w:val="0"/>
        <w:rPr>
          <w:rFonts w:ascii="Arial" w:hAnsi="Arial" w:cs="Arial"/>
          <w:noProof w:val="0"/>
          <w:sz w:val="22"/>
          <w:szCs w:val="22"/>
          <w:lang w:val="en-US"/>
        </w:rPr>
      </w:pPr>
      <w:bookmarkStart w:id="7" w:name="_idContainer026"/>
      <w:r w:rsidRPr="001F0BAB">
        <w:rPr>
          <w:rFonts w:ascii="Arial" w:hAnsi="Arial" w:cs="Arial"/>
          <w:sz w:val="22"/>
          <w:szCs w:val="22"/>
          <w:lang w:eastAsia="sr-Latn-RS"/>
        </w:rPr>
        <w:pict>
          <v:shape id="Picture 8" o:spid="_x0000_i1028" type="#_x0000_t75" style="width:255pt;height:111pt;visibility:visible;mso-wrap-style:square">
            <v:imagedata r:id="rId14" o:title=""/>
          </v:shape>
        </w:pict>
      </w:r>
    </w:p>
    <w:bookmarkEnd w:id="7"/>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Aнализом података из годишњих планова образовања одраслих у протекле четири године, уочава се континуирано повећање броја обука ЈПОА из области: Грађевинарства (148), Здравства и социјалне заштите (146), Машинства и обраде метала (131) и Страних језика (109), Саобраћаја (60) и Економије, права и администрације (58). Планирани програми обука код ЈПОА по областима рада за 2020, 2021, 2022. и 2023. годину, приказани су на </w:t>
      </w:r>
      <w:r w:rsidRPr="001F0BAB">
        <w:rPr>
          <w:rFonts w:ascii="Arial" w:hAnsi="Arial" w:cs="Arial"/>
          <w:i/>
          <w:noProof w:val="0"/>
          <w:color w:val="000000"/>
          <w:sz w:val="22"/>
          <w:szCs w:val="22"/>
          <w:lang w:val="en-US"/>
        </w:rPr>
        <w:t>Графикону број 9.</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Графикон број 9.</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Планирани програми обука код ЈПОА по областима рада за 2020, 2021, 2022. и 2023. годину</w:t>
      </w:r>
    </w:p>
    <w:p w:rsidR="001F0BAB" w:rsidRPr="001F0BAB" w:rsidRDefault="001F0BAB" w:rsidP="001F0BAB">
      <w:pPr>
        <w:spacing w:after="200" w:line="276" w:lineRule="auto"/>
        <w:contextualSpacing w:val="0"/>
        <w:rPr>
          <w:rFonts w:ascii="Arial" w:hAnsi="Arial" w:cs="Arial"/>
          <w:noProof w:val="0"/>
          <w:sz w:val="22"/>
          <w:szCs w:val="22"/>
          <w:lang w:val="en-US"/>
        </w:rPr>
      </w:pPr>
      <w:bookmarkStart w:id="8" w:name="_idContainer027"/>
      <w:r w:rsidRPr="001F0BAB">
        <w:rPr>
          <w:rFonts w:ascii="Arial" w:hAnsi="Arial" w:cs="Arial"/>
          <w:sz w:val="22"/>
          <w:szCs w:val="22"/>
          <w:lang w:eastAsia="sr-Latn-RS"/>
        </w:rPr>
        <w:pict>
          <v:shape id="Picture 9" o:spid="_x0000_i1027" type="#_x0000_t75" style="width:255pt;height:64.5pt;visibility:visible;mso-wrap-style:square">
            <v:imagedata r:id="rId15" o:title=""/>
          </v:shape>
        </w:pict>
      </w:r>
    </w:p>
    <w:bookmarkEnd w:id="8"/>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Према прикупљеним подацима очекивани полазници планираних обука код ЈПОА у 2023. години, највећим делом су: физичка лица (44%), лица евидентирана код НСЗ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незапослена лица (16%), правна лица са којима ЈПОА има већ остварену сарадњу (15%), запослена лица која желе да се усавршавају за потребе предузећа (15%), јавна предузећа (4%), привредна друштва (3%), лица на издржавању затворске казне (1.35%), удружења, лица из реадмисије и др.</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Предвиђени извори средстава за реализацију програма у наредној години, а које наводе друге организације и школе су: сопствена средства кандидата (53.50%), средства институција и организација из које полазници долазе на обуке (19%), средства НСЗ (12%), послодавци који финансирају стручно оспособљавање и усавршавање својих запослених (12%), невладине организације (2%), привредна друштва (0.50%), јавна и друштвена предузећа (0.30%).</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Уочава се: да су сопствена средства кандидата (највећим делом извор финансирања за обучавање код ЈПОА) повећана у ГПОО за 2023. годину, за 15% у односу на План за 2022. годину; да се број обука које финансирају послодавци за стручно оспособљавање и усавршавање запослених повећао за 10% у односу на 2022. годину; као и да се планирање средстава за реализацију програма обука у 2023. години, из НСЗ смањило за 8%. Планирани извори финансирања програма ЈПОА у 2023. години, приказани су на </w:t>
      </w:r>
      <w:r w:rsidRPr="001F0BAB">
        <w:rPr>
          <w:rFonts w:ascii="Arial" w:hAnsi="Arial" w:cs="Arial"/>
          <w:i/>
          <w:noProof w:val="0"/>
          <w:color w:val="000000"/>
          <w:sz w:val="22"/>
          <w:szCs w:val="22"/>
          <w:lang w:val="en-US"/>
        </w:rPr>
        <w:t>Графикону број 10.</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Графикон број 10.</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Планирани извори финансирања програма ЈПОА у 2023. години</w:t>
      </w:r>
    </w:p>
    <w:p w:rsidR="001F0BAB" w:rsidRPr="001F0BAB" w:rsidRDefault="001F0BAB" w:rsidP="001F0BAB">
      <w:pPr>
        <w:spacing w:after="200" w:line="276" w:lineRule="auto"/>
        <w:contextualSpacing w:val="0"/>
        <w:rPr>
          <w:rFonts w:ascii="Arial" w:hAnsi="Arial" w:cs="Arial"/>
          <w:noProof w:val="0"/>
          <w:sz w:val="22"/>
          <w:szCs w:val="22"/>
          <w:lang w:val="en-US"/>
        </w:rPr>
      </w:pPr>
      <w:bookmarkStart w:id="9" w:name="_idContainer028"/>
      <w:r w:rsidRPr="001F0BAB">
        <w:rPr>
          <w:rFonts w:ascii="Arial" w:hAnsi="Arial" w:cs="Arial"/>
          <w:sz w:val="22"/>
          <w:szCs w:val="22"/>
          <w:lang w:eastAsia="sr-Latn-RS"/>
        </w:rPr>
        <w:pict>
          <v:shape id="Picture 10" o:spid="_x0000_i1026" type="#_x0000_t75" style="width:255pt;height:127.5pt;visibility:visible;mso-wrap-style:square">
            <v:imagedata r:id="rId16" o:title=""/>
          </v:shape>
        </w:pict>
      </w:r>
    </w:p>
    <w:bookmarkEnd w:id="9"/>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Када говоримо о месту реализације практичног дела обуке, уочавамо да ЈПОА планирају реализацију овог дела обуке пре свега у специјализованим школским кабинетима, школским радионицама, полигонима, ресторанима и у седишту својих предузећа (61%). Остали ЈПОА реализацију практичног дела обуке планирају у предузећима са којима имају уговор о сарадњи, закупу простора или уговор о коришћењу полигона за реализацију практичног дела обуке (39%).</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У складу са донетим прописима, акредитацију и верификацију проширене делатности за активност ППУ добиле су Политехничка школа из Суботице, Техничка школа из Власотинца, Техничка школа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Дрво арт</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из Београда и Угоститељско туристичка школа из Чајетине за укупно 11 програма. Наведене школе планирају реализацију активности ППУ у 2023. години, за оквирно 180 кандидата. Потенцијални кандидати су физичка лица, незапослени и запослени у привредним друштвима, док се као извор финансирања, планирају сопствена средства кандидата и средства компанија.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За активност КВиС-а, статус ЈПОА-а, имају 2 установе/организације, за укупно три програма. У 2023. години, Техничка школа из Власотинца планира реализацију 4 обуке у оквиру 2 програма (Предузетничко запошљавање младих,</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,Активатор</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и Развијање вештина за активно тражење посла и предузетништво) за оквирно 40 кандидата. Европски покрет у Србији из Лесковца и</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,EDEPA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Institute for education personal development &amp; parentship</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д.о.о. Београд, у 2023. години, планира реализацију 36 обука за три програма за оквирно 625 кандидата.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Детаљнији план реализације програма ЈПОА у 2023. години, налази се </w:t>
      </w:r>
      <w:r w:rsidRPr="001F0BAB">
        <w:rPr>
          <w:rFonts w:ascii="Arial" w:hAnsi="Arial" w:cs="Arial"/>
          <w:i/>
          <w:noProof w:val="0"/>
          <w:color w:val="000000"/>
          <w:sz w:val="22"/>
          <w:szCs w:val="22"/>
          <w:lang w:val="en-US"/>
        </w:rPr>
        <w:t>у</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Прилогу број 5.</w:t>
      </w:r>
      <w:r w:rsidRPr="001F0BAB">
        <w:rPr>
          <w:rFonts w:ascii="Arial" w:hAnsi="Arial" w:cs="Arial"/>
          <w:noProof w:val="0"/>
          <w:color w:val="000000"/>
          <w:sz w:val="22"/>
          <w:szCs w:val="22"/>
          <w:lang w:val="en-US"/>
        </w:rPr>
        <w:t xml:space="preserve"> који је одштампан уз ГПОО за 2023. годину, и чини његов саставни део.</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i/>
          <w:noProof w:val="0"/>
          <w:color w:val="000000"/>
          <w:sz w:val="22"/>
          <w:szCs w:val="22"/>
          <w:lang w:val="en-US"/>
        </w:rPr>
        <w:t>2.2. Реализација програма и других активности неформалног образовања и обучавања одраслих у организацији НСЗ, других државних органа и установа, удружења и комора, а у оквиру којих незапослена и запослена лица стичу компетенције од важности за лични и професионални развој, запошљавање, одржање запослења и каријерно напредовање, као и управљање каријером и доношење одлука о даљем образовању и запошљавању</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Своје планове за 2023. годину, доставиле су следеће институције:</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noProof w:val="0"/>
          <w:color w:val="000000"/>
          <w:sz w:val="22"/>
          <w:szCs w:val="22"/>
          <w:lang w:val="en-US"/>
        </w:rPr>
        <w:t>Министарствo за рад, запошљавање, борачка и социјална питања и Национална служба за запошљавање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Према Акционом плану за период од 2021. до 2023. године, а за спровођење Стратегије запошљавања у Републици Србији за период од 2021. до 2026. године, током 2023. године, планирана је реализација следећих мера додатног образовања и обука:</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Стручна пракса</w:t>
      </w:r>
      <w:r w:rsidRPr="001F0BAB">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Стручно оспособљавање незапослених лица за самосталан рад у струци, са стеченим одговарајућим образовањем, кроз обављањe приправничког стажа, односно стицање услова за полагање стручног испита. Циљна група су незапослена лица са квалификацијама најмање трећег нивоа, без радног искуства у струци, односно која нису стручно оспособљена или која су се стручно оспособљавала краће од времена потребног за полагање приправничког или стручног испита. У 2023. години, планира се укључење </w:t>
      </w:r>
      <w:r w:rsidRPr="001F0BAB">
        <w:rPr>
          <w:rFonts w:ascii="Arial" w:hAnsi="Arial" w:cs="Arial"/>
          <w:b/>
          <w:noProof w:val="0"/>
          <w:color w:val="000000"/>
          <w:sz w:val="22"/>
          <w:szCs w:val="22"/>
          <w:lang w:val="en-US"/>
        </w:rPr>
        <w:t>4.400</w:t>
      </w:r>
      <w:r w:rsidRPr="001F0BAB">
        <w:rPr>
          <w:rFonts w:ascii="Arial" w:hAnsi="Arial" w:cs="Arial"/>
          <w:noProof w:val="0"/>
          <w:color w:val="000000"/>
          <w:sz w:val="22"/>
          <w:szCs w:val="22"/>
          <w:lang w:val="en-US"/>
        </w:rPr>
        <w:t xml:space="preserve"> незапослених лица од којих </w:t>
      </w:r>
      <w:r w:rsidRPr="001F0BAB">
        <w:rPr>
          <w:rFonts w:ascii="Arial" w:hAnsi="Arial" w:cs="Arial"/>
          <w:b/>
          <w:noProof w:val="0"/>
          <w:color w:val="000000"/>
          <w:sz w:val="22"/>
          <w:szCs w:val="22"/>
          <w:lang w:val="en-US"/>
        </w:rPr>
        <w:t>30</w:t>
      </w:r>
      <w:r w:rsidRPr="001F0BAB">
        <w:rPr>
          <w:rFonts w:ascii="Arial" w:hAnsi="Arial" w:cs="Arial"/>
          <w:noProof w:val="0"/>
          <w:color w:val="000000"/>
          <w:sz w:val="22"/>
          <w:szCs w:val="22"/>
          <w:lang w:val="en-US"/>
        </w:rPr>
        <w:t xml:space="preserve"> особа са инвалидитетом.</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Приправништво за младе са високим образовањем</w:t>
      </w:r>
      <w:r w:rsidRPr="001F0BAB">
        <w:rPr>
          <w:rFonts w:ascii="Arial" w:hAnsi="Arial" w:cs="Arial"/>
          <w:noProof w:val="0"/>
          <w:color w:val="000000"/>
          <w:sz w:val="22"/>
          <w:szCs w:val="22"/>
          <w:lang w:val="en-US"/>
        </w:rPr>
        <w:t xml:space="preserve"> </w:t>
      </w: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Стручно оспособљавање незапослених лица за самосталан рад у струци за коју је стечено најмање високо трогодишње или четворогодишње образовање, ради обављања приправничког стажа, односно стицања услова за полагање стручног испита кад је то законом, односно правилником предвиђено као посебан услов за рад на одређеним пословима, уз заснивање радног односа код послодавца. Циљна група су незапослена лица са квалификацијама најмање шестог нивоа, са просечном оценом од најмање 8,0 на завршеним студијама, до 30 година старости, без радног искуства у струци за коју су стекла образовање или која су се стручно оспособљавала краће од времена потребног за полагање стручног или приправничког испита. У 2023. години, планирано је да </w:t>
      </w:r>
      <w:r w:rsidRPr="001F0BAB">
        <w:rPr>
          <w:rFonts w:ascii="Arial" w:hAnsi="Arial" w:cs="Arial"/>
          <w:b/>
          <w:noProof w:val="0"/>
          <w:color w:val="000000"/>
          <w:sz w:val="22"/>
          <w:szCs w:val="22"/>
          <w:lang w:val="en-US"/>
        </w:rPr>
        <w:t>650</w:t>
      </w:r>
      <w:r w:rsidRPr="001F0BAB">
        <w:rPr>
          <w:rFonts w:ascii="Arial" w:hAnsi="Arial" w:cs="Arial"/>
          <w:noProof w:val="0"/>
          <w:color w:val="000000"/>
          <w:sz w:val="22"/>
          <w:szCs w:val="22"/>
          <w:lang w:val="en-US"/>
        </w:rPr>
        <w:t xml:space="preserve"> лица буде обухваћено мером, а од тога </w:t>
      </w:r>
      <w:r w:rsidRPr="001F0BAB">
        <w:rPr>
          <w:rFonts w:ascii="Arial" w:hAnsi="Arial" w:cs="Arial"/>
          <w:b/>
          <w:noProof w:val="0"/>
          <w:color w:val="000000"/>
          <w:sz w:val="22"/>
          <w:szCs w:val="22"/>
          <w:lang w:val="en-US"/>
        </w:rPr>
        <w:t>20</w:t>
      </w:r>
      <w:r w:rsidRPr="001F0BAB">
        <w:rPr>
          <w:rFonts w:ascii="Arial" w:hAnsi="Arial" w:cs="Arial"/>
          <w:noProof w:val="0"/>
          <w:color w:val="000000"/>
          <w:sz w:val="22"/>
          <w:szCs w:val="22"/>
          <w:lang w:val="en-US"/>
        </w:rPr>
        <w:t xml:space="preserve"> особа са инвалидитетом.</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Приправништво за незапослене са средњим образовањем</w:t>
      </w:r>
      <w:r w:rsidRPr="001F0BAB">
        <w:rPr>
          <w:rFonts w:ascii="Arial" w:hAnsi="Arial" w:cs="Arial"/>
          <w:noProof w:val="0"/>
          <w:color w:val="000000"/>
          <w:sz w:val="22"/>
          <w:szCs w:val="22"/>
          <w:lang w:val="en-US"/>
        </w:rPr>
        <w:t xml:space="preserve"> </w:t>
      </w: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Стручно оспособљавање незапослених лица за самосталан рад у струци за коју је стечено средње образовање, ради обављања приправничког стажа, односно стицања услова за полагање стручног испита кад је то законом, односно правилником предвиђено као посебан услов за самосталан рад у струци, уз заснивање радног односа код послодавца. Циљна група су незапослена лица са завршеним средњим образовањем, без радног искуства у струци за коју је стечено образовање и то: млади до 30 година старости који се налазе на евиденцији незапослених дуже од шест месеци, особе са инвалидитетом, Роми, млади у домском смештају, хранитељским породицама и старатељским породицама. У 2023. години, планира се укључење </w:t>
      </w:r>
      <w:r w:rsidRPr="001F0BAB">
        <w:rPr>
          <w:rFonts w:ascii="Arial" w:hAnsi="Arial" w:cs="Arial"/>
          <w:b/>
          <w:noProof w:val="0"/>
          <w:color w:val="000000"/>
          <w:sz w:val="22"/>
          <w:szCs w:val="22"/>
          <w:lang w:val="en-US"/>
        </w:rPr>
        <w:t>600</w:t>
      </w:r>
      <w:r w:rsidRPr="001F0BAB">
        <w:rPr>
          <w:rFonts w:ascii="Arial" w:hAnsi="Arial" w:cs="Arial"/>
          <w:noProof w:val="0"/>
          <w:color w:val="000000"/>
          <w:sz w:val="22"/>
          <w:szCs w:val="22"/>
          <w:lang w:val="en-US"/>
        </w:rPr>
        <w:t xml:space="preserve"> лица, од којих </w:t>
      </w:r>
      <w:r w:rsidRPr="001F0BAB">
        <w:rPr>
          <w:rFonts w:ascii="Arial" w:hAnsi="Arial" w:cs="Arial"/>
          <w:b/>
          <w:noProof w:val="0"/>
          <w:color w:val="000000"/>
          <w:sz w:val="22"/>
          <w:szCs w:val="22"/>
          <w:lang w:val="en-US"/>
        </w:rPr>
        <w:t>30</w:t>
      </w:r>
      <w:r w:rsidRPr="001F0BAB">
        <w:rPr>
          <w:rFonts w:ascii="Arial" w:hAnsi="Arial" w:cs="Arial"/>
          <w:noProof w:val="0"/>
          <w:color w:val="000000"/>
          <w:sz w:val="22"/>
          <w:szCs w:val="22"/>
          <w:lang w:val="en-US"/>
        </w:rPr>
        <w:t xml:space="preserve"> особа са инвалидитетом.</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Стицање практичних знања</w:t>
      </w:r>
      <w:r w:rsidRPr="001F0BAB">
        <w:rPr>
          <w:rFonts w:ascii="Arial" w:hAnsi="Arial" w:cs="Arial"/>
          <w:noProof w:val="0"/>
          <w:color w:val="000000"/>
          <w:sz w:val="22"/>
          <w:szCs w:val="22"/>
          <w:lang w:val="en-US"/>
        </w:rPr>
        <w:t xml:space="preserve"> </w:t>
      </w: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Стицање практичних знања и вештина кроз обављање конкретних послова заснивањем радног односа код послодавца који припада приватном сектору. Циљна група су незапослена лица без завршене средње школе, односно без квалификација, укључујући и лица која су завршила ФООО, који у укупном броју планираних полазника ове мере учествују са најмање 40%; лица која се налазе на евиденцији незапослених НСЗ дуже од 12 месеци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са средњим образовањем, без обзира на врсту стеченог образовања и радно искуство, а која немају адекватна и применљива знања, вештине и компетенције за обављање специфичних послова, односно којима су потребна нова знања и вештине или прилагођавање нивоа и садржаја знања и вештина за обављање радних задатака у складу са потребама посла који по сложености захтевају најмање средње образовање. Планирано је да у 2023. години, </w:t>
      </w:r>
      <w:r w:rsidRPr="001F0BAB">
        <w:rPr>
          <w:rFonts w:ascii="Arial" w:hAnsi="Arial" w:cs="Arial"/>
          <w:b/>
          <w:noProof w:val="0"/>
          <w:color w:val="000000"/>
          <w:sz w:val="22"/>
          <w:szCs w:val="22"/>
          <w:lang w:val="en-US"/>
        </w:rPr>
        <w:t>900</w:t>
      </w:r>
      <w:r w:rsidRPr="001F0BAB">
        <w:rPr>
          <w:rFonts w:ascii="Arial" w:hAnsi="Arial" w:cs="Arial"/>
          <w:noProof w:val="0"/>
          <w:color w:val="000000"/>
          <w:sz w:val="22"/>
          <w:szCs w:val="22"/>
          <w:lang w:val="en-US"/>
        </w:rPr>
        <w:t xml:space="preserve"> лица буде обухваћено овом мером, од тога </w:t>
      </w:r>
      <w:r w:rsidRPr="001F0BAB">
        <w:rPr>
          <w:rFonts w:ascii="Arial" w:hAnsi="Arial" w:cs="Arial"/>
          <w:b/>
          <w:noProof w:val="0"/>
          <w:color w:val="000000"/>
          <w:sz w:val="22"/>
          <w:szCs w:val="22"/>
          <w:lang w:val="en-US"/>
        </w:rPr>
        <w:t>20</w:t>
      </w:r>
      <w:r w:rsidRPr="001F0BAB">
        <w:rPr>
          <w:rFonts w:ascii="Arial" w:hAnsi="Arial" w:cs="Arial"/>
          <w:noProof w:val="0"/>
          <w:color w:val="000000"/>
          <w:sz w:val="22"/>
          <w:szCs w:val="22"/>
          <w:lang w:val="en-US"/>
        </w:rPr>
        <w:t xml:space="preserve"> особа са инвалидитетом.</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Обуке за тржиште рада</w:t>
      </w:r>
      <w:r w:rsidRPr="001F0BAB">
        <w:rPr>
          <w:rFonts w:ascii="Arial" w:hAnsi="Arial" w:cs="Arial"/>
          <w:noProof w:val="0"/>
          <w:color w:val="000000"/>
          <w:sz w:val="22"/>
          <w:szCs w:val="22"/>
          <w:lang w:val="en-US"/>
        </w:rPr>
        <w:t xml:space="preserve"> </w:t>
      </w: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Стицање стручних додатних теоријских и практичних знања и вештина у складу са потребама тржишта рада и послодаваца, а са циљем унапређења запошљивости незапослених лица првенствено теже запошљивих без квалификација или са ниским квалификацијама, и то: Обуке за тржиште рада за: незапослена лица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планирано укључивање најмање </w:t>
      </w:r>
      <w:r w:rsidRPr="001F0BAB">
        <w:rPr>
          <w:rFonts w:ascii="Arial" w:hAnsi="Arial" w:cs="Arial"/>
          <w:b/>
          <w:noProof w:val="0"/>
          <w:color w:val="000000"/>
          <w:sz w:val="22"/>
          <w:szCs w:val="22"/>
          <w:lang w:val="en-US"/>
        </w:rPr>
        <w:t>500</w:t>
      </w:r>
      <w:r w:rsidRPr="001F0BAB">
        <w:rPr>
          <w:rFonts w:ascii="Arial" w:hAnsi="Arial" w:cs="Arial"/>
          <w:noProof w:val="0"/>
          <w:color w:val="000000"/>
          <w:sz w:val="22"/>
          <w:szCs w:val="22"/>
          <w:lang w:val="en-US"/>
        </w:rPr>
        <w:t xml:space="preserve"> незапослених лица; за лица без завршене средње школе и лица која завршавају основно образовање по моделу ФООО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планирано укључивање најмање </w:t>
      </w:r>
      <w:r w:rsidRPr="001F0BAB">
        <w:rPr>
          <w:rFonts w:ascii="Arial" w:hAnsi="Arial" w:cs="Arial"/>
          <w:b/>
          <w:noProof w:val="0"/>
          <w:color w:val="000000"/>
          <w:sz w:val="22"/>
          <w:szCs w:val="22"/>
          <w:lang w:val="en-US"/>
        </w:rPr>
        <w:t>200</w:t>
      </w:r>
      <w:r w:rsidRPr="001F0BAB">
        <w:rPr>
          <w:rFonts w:ascii="Arial" w:hAnsi="Arial" w:cs="Arial"/>
          <w:noProof w:val="0"/>
          <w:color w:val="000000"/>
          <w:sz w:val="22"/>
          <w:szCs w:val="22"/>
          <w:lang w:val="en-US"/>
        </w:rPr>
        <w:t xml:space="preserve"> незапослених лица; за особе са инвалидитетом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планирано укључивање најмање </w:t>
      </w:r>
      <w:r w:rsidRPr="001F0BAB">
        <w:rPr>
          <w:rFonts w:ascii="Arial" w:hAnsi="Arial" w:cs="Arial"/>
          <w:b/>
          <w:noProof w:val="0"/>
          <w:color w:val="000000"/>
          <w:sz w:val="22"/>
          <w:szCs w:val="22"/>
          <w:lang w:val="en-US"/>
        </w:rPr>
        <w:t>500</w:t>
      </w:r>
      <w:r w:rsidRPr="001F0BAB">
        <w:rPr>
          <w:rFonts w:ascii="Arial" w:hAnsi="Arial" w:cs="Arial"/>
          <w:noProof w:val="0"/>
          <w:color w:val="000000"/>
          <w:sz w:val="22"/>
          <w:szCs w:val="22"/>
          <w:lang w:val="en-US"/>
        </w:rPr>
        <w:t xml:space="preserve"> незапослених лица.</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 xml:space="preserve">Обука на захтев послодавца </w:t>
      </w:r>
      <w:r>
        <w:rPr>
          <w:rFonts w:ascii="Arial" w:hAnsi="Arial" w:cs="Arial"/>
          <w:b/>
          <w:noProof w:val="0"/>
          <w:color w:val="000000"/>
          <w:sz w:val="22"/>
          <w:szCs w:val="22"/>
          <w:lang w:val="en-US"/>
        </w:rPr>
        <w:t>-</w:t>
      </w:r>
      <w:r w:rsidRPr="001F0BAB">
        <w:rPr>
          <w:rFonts w:ascii="Arial" w:hAnsi="Arial" w:cs="Arial"/>
          <w:b/>
          <w:noProof w:val="0"/>
          <w:color w:val="000000"/>
          <w:sz w:val="22"/>
          <w:szCs w:val="22"/>
          <w:lang w:val="en-US"/>
        </w:rPr>
        <w:t xml:space="preserve"> за незапослене</w:t>
      </w:r>
      <w:r w:rsidRPr="001F0BAB">
        <w:rPr>
          <w:rFonts w:ascii="Arial" w:hAnsi="Arial" w:cs="Arial"/>
          <w:noProof w:val="0"/>
          <w:color w:val="000000"/>
          <w:sz w:val="22"/>
          <w:szCs w:val="22"/>
          <w:lang w:val="en-US"/>
        </w:rPr>
        <w:t xml:space="preserve"> </w:t>
      </w: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Стицање додатних знања и вештина потребних за обављање послова на конкретном радном месту, на захтев послодавца који припада приватном сектору, као и предузећа за професионалну рехабилитацију и запошљавање особа са инвалидитетом која послују са већинским државним капиталом. Услов је да на евиденцији незапослених НСЗ нема лица са посебним знањима и вештинама за обављање послова на конкретном радном месту, односно постојећа знања и вештине не одговарају потребама конкретног радног места. У меру се укључују незапослена лица са евиденције НСЗ која задовољавају опште и посебне услове за укључивање на обуку. План у 2023. години, је да </w:t>
      </w:r>
      <w:r w:rsidRPr="001F0BAB">
        <w:rPr>
          <w:rFonts w:ascii="Arial" w:hAnsi="Arial" w:cs="Arial"/>
          <w:b/>
          <w:noProof w:val="0"/>
          <w:color w:val="000000"/>
          <w:sz w:val="22"/>
          <w:szCs w:val="22"/>
          <w:lang w:val="en-US"/>
        </w:rPr>
        <w:t>700</w:t>
      </w:r>
      <w:r w:rsidRPr="001F0BAB">
        <w:rPr>
          <w:rFonts w:ascii="Arial" w:hAnsi="Arial" w:cs="Arial"/>
          <w:noProof w:val="0"/>
          <w:color w:val="000000"/>
          <w:sz w:val="22"/>
          <w:szCs w:val="22"/>
          <w:lang w:val="en-US"/>
        </w:rPr>
        <w:t xml:space="preserve"> лица буде обухваћено овом мером, од којих </w:t>
      </w:r>
      <w:r w:rsidRPr="001F0BAB">
        <w:rPr>
          <w:rFonts w:ascii="Arial" w:hAnsi="Arial" w:cs="Arial"/>
          <w:b/>
          <w:noProof w:val="0"/>
          <w:color w:val="000000"/>
          <w:sz w:val="22"/>
          <w:szCs w:val="22"/>
          <w:lang w:val="en-US"/>
        </w:rPr>
        <w:t>30</w:t>
      </w:r>
      <w:r w:rsidRPr="001F0BAB">
        <w:rPr>
          <w:rFonts w:ascii="Arial" w:hAnsi="Arial" w:cs="Arial"/>
          <w:noProof w:val="0"/>
          <w:color w:val="000000"/>
          <w:sz w:val="22"/>
          <w:szCs w:val="22"/>
          <w:lang w:val="en-US"/>
        </w:rPr>
        <w:t xml:space="preserve"> особа са инвалидитетом.</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Функционално основно образовање одраслих</w:t>
      </w:r>
      <w:r w:rsidRPr="001F0BAB">
        <w:rPr>
          <w:rFonts w:ascii="Arial" w:hAnsi="Arial" w:cs="Arial"/>
          <w:noProof w:val="0"/>
          <w:color w:val="000000"/>
          <w:sz w:val="22"/>
          <w:szCs w:val="22"/>
          <w:lang w:val="en-US"/>
        </w:rPr>
        <w:t xml:space="preserve"> </w:t>
      </w: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Стицање основног образовања у складу са законом, уз могућност стицања компетенције за обављање једноставних послова. Циљна група су незапослена лица без завршеног основног образовања. У 2023. години, планира се укључење </w:t>
      </w:r>
      <w:r w:rsidRPr="001F0BAB">
        <w:rPr>
          <w:rFonts w:ascii="Arial" w:hAnsi="Arial" w:cs="Arial"/>
          <w:b/>
          <w:noProof w:val="0"/>
          <w:color w:val="000000"/>
          <w:sz w:val="22"/>
          <w:szCs w:val="22"/>
          <w:lang w:val="en-US"/>
        </w:rPr>
        <w:t>1.500</w:t>
      </w:r>
      <w:r w:rsidRPr="001F0BAB">
        <w:rPr>
          <w:rFonts w:ascii="Arial" w:hAnsi="Arial" w:cs="Arial"/>
          <w:noProof w:val="0"/>
          <w:color w:val="000000"/>
          <w:sz w:val="22"/>
          <w:szCs w:val="22"/>
          <w:lang w:val="en-US"/>
        </w:rPr>
        <w:t xml:space="preserve"> незапослених лица.</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 xml:space="preserve">Обука за потребе послодавца </w:t>
      </w:r>
      <w:r>
        <w:rPr>
          <w:rFonts w:ascii="Arial" w:hAnsi="Arial" w:cs="Arial"/>
          <w:b/>
          <w:noProof w:val="0"/>
          <w:color w:val="000000"/>
          <w:sz w:val="22"/>
          <w:szCs w:val="22"/>
          <w:lang w:val="en-US"/>
        </w:rPr>
        <w:t>-</w:t>
      </w:r>
      <w:r w:rsidRPr="001F0BAB">
        <w:rPr>
          <w:rFonts w:ascii="Arial" w:hAnsi="Arial" w:cs="Arial"/>
          <w:b/>
          <w:noProof w:val="0"/>
          <w:color w:val="000000"/>
          <w:sz w:val="22"/>
          <w:szCs w:val="22"/>
          <w:lang w:val="en-US"/>
        </w:rPr>
        <w:t xml:space="preserve"> за запосленог</w:t>
      </w:r>
      <w:r w:rsidRPr="001F0BAB">
        <w:rPr>
          <w:rFonts w:ascii="Arial" w:hAnsi="Arial" w:cs="Arial"/>
          <w:noProof w:val="0"/>
          <w:color w:val="000000"/>
          <w:sz w:val="22"/>
          <w:szCs w:val="22"/>
          <w:lang w:val="en-US"/>
        </w:rPr>
        <w:t xml:space="preserve"> </w:t>
      </w: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Стицање недостајућих и/или додатних знања и вештина потребних за обављање послова и радних задатака са циљем одржања запослења код послодавца. Циљна група су запослена лица код послодавца која задовољавају опште и посебне услове за укључивање на обуку. Број запослених код послодаваца за које НСЗ учествује у финансирању трошкова обуке зависи од потреба послодаваца и испуњености услова за учешће у мери.</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Специјалистичке обуке Информационе технологије</w:t>
      </w:r>
      <w:r w:rsidRPr="001F0BAB">
        <w:rPr>
          <w:rFonts w:ascii="Arial" w:hAnsi="Arial" w:cs="Arial"/>
          <w:noProof w:val="0"/>
          <w:color w:val="000000"/>
          <w:sz w:val="22"/>
          <w:szCs w:val="22"/>
          <w:lang w:val="en-US"/>
        </w:rPr>
        <w:t xml:space="preserve"> </w:t>
      </w: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Стицање додатних знања и вештина у домену напредних Информационих технологија. Мера ће се реализовати у зависности од интересовања и могућности.</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noProof w:val="0"/>
          <w:color w:val="000000"/>
          <w:sz w:val="22"/>
          <w:szCs w:val="22"/>
          <w:lang w:val="en-US"/>
        </w:rPr>
        <w:t>Агенција за квалификације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2023. години, планирана је реализација следећих активности:</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Унапређивање капацитета АзК за примену стандарда за самовредновање и спољашње вредновање ЈПОА;</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Унапређивање нормативног оквира за развој неформалног образовања одраслих;</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Израда извештаја о самовредновању и екстерном вредновању рада ЈПОА;</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Унапређивање оквира осигурања квалитета у образовању одраслих;</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Анализа могућности пилотирања поступка ППУ у другим организацијама са статусом ЈПОА;</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Промоција система НОКС и целоживотног учења;</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Припрема података за Портал НОКС-а и унос у Регистар НОКС.</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noProof w:val="0"/>
          <w:color w:val="000000"/>
          <w:sz w:val="22"/>
          <w:szCs w:val="22"/>
          <w:lang w:val="en-US"/>
        </w:rPr>
        <w:t>Завод за унапређивање образовања и васпитања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2023. години, ЗУОВ ће припремити, у сарадњи са релевантним институцијама, Предлог годишњег плана образовања одраслих за 2023. годину. Такође, ЗУОВ ће у 2023. години, наставити са подршком школама у поступку стицања статуса ЈПОА за активност ППУ, пре свега у припреми релевантних инструмената за процену компетенција кандидата у поступку ППУ. Планирана је и реализација одређених активности усмерених на оснаживање саветника Центра за стручно образовање и образовање одраслих ЗУОВ-а, за пружање подршке за примену методологије оцењивања компетенција у поступку ППУ и за израду инструмената за овај поступак. ЗУОВ ће радити и на континуираној обуци кадра укљученог у поступак ППУ (Тимова за ППУ у школама), промоцији концепта ППУ, као и на праћењу и унапређивању система осигурања квалитета поступка ППУ.</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оквиру Центра за професионални развој у образовању, ЗУОВ ће у наредној години наставити са реализацијом започетих обука наставника основних школа и школа за основно образовање одраслих, а који учествују у спровођењу програма ФООО (Интегрални програм обуке за остваривање ФООО), као и на унапређивању програма стручног усавршавања намењеног наставницима који спроводе програм ФООО.</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noProof w:val="0"/>
          <w:color w:val="000000"/>
          <w:sz w:val="22"/>
          <w:szCs w:val="22"/>
          <w:lang w:val="en-US"/>
        </w:rPr>
        <w:t>Фондацијa Темпус</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Фондација Темпус ће током 2023. године, организовати вебинаре, презентације, конференције и радионице, за различите циљне групе одраслих, а са циљем развоја вештина.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Планирано је 7 информативних сесија и радионица за младе, запослене и незапослене одрасле</w:t>
      </w:r>
      <w:r w:rsidRPr="001F0BAB">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Информисање и обучавање на тему представљања претходно стечених знања и вештина кроз Europass документа. Планирано је да учествује </w:t>
      </w:r>
      <w:r w:rsidRPr="001F0BAB">
        <w:rPr>
          <w:rFonts w:ascii="Arial" w:hAnsi="Arial" w:cs="Arial"/>
          <w:b/>
          <w:noProof w:val="0"/>
          <w:color w:val="000000"/>
          <w:sz w:val="22"/>
          <w:szCs w:val="22"/>
          <w:lang w:val="en-US"/>
        </w:rPr>
        <w:t>100</w:t>
      </w:r>
      <w:r w:rsidRPr="001F0BAB">
        <w:rPr>
          <w:rFonts w:ascii="Arial" w:hAnsi="Arial" w:cs="Arial"/>
          <w:noProof w:val="0"/>
          <w:color w:val="000000"/>
          <w:sz w:val="22"/>
          <w:szCs w:val="22"/>
          <w:lang w:val="en-US"/>
        </w:rPr>
        <w:t xml:space="preserve"> корисника.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Информативни вебинари и презентације на тему планирања развоја вештина</w:t>
      </w:r>
      <w:r w:rsidRPr="001F0BAB">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Програми информисања на тему планирања развоја кључних компетенција/меких вештина/вештина управљања каријером за студенте, запослене и незапослене одрасле, 25 вебинара и презентација током 2023. године. Планирано је укључивање </w:t>
      </w:r>
      <w:r w:rsidRPr="001F0BAB">
        <w:rPr>
          <w:rFonts w:ascii="Arial" w:hAnsi="Arial" w:cs="Arial"/>
          <w:b/>
          <w:noProof w:val="0"/>
          <w:color w:val="000000"/>
          <w:sz w:val="22"/>
          <w:szCs w:val="22"/>
          <w:lang w:val="en-US"/>
        </w:rPr>
        <w:t>900</w:t>
      </w:r>
      <w:r w:rsidRPr="001F0BAB">
        <w:rPr>
          <w:rFonts w:ascii="Arial" w:hAnsi="Arial" w:cs="Arial"/>
          <w:noProof w:val="0"/>
          <w:color w:val="000000"/>
          <w:sz w:val="22"/>
          <w:szCs w:val="22"/>
          <w:lang w:val="en-US"/>
        </w:rPr>
        <w:t xml:space="preserve"> корисника.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Реализација</w:t>
      </w:r>
      <w:r>
        <w:rPr>
          <w:rFonts w:ascii="Arial" w:hAnsi="Arial" w:cs="Arial"/>
          <w:noProof w:val="0"/>
          <w:color w:val="000000"/>
          <w:sz w:val="22"/>
          <w:szCs w:val="22"/>
          <w:lang w:val="en-US"/>
        </w:rPr>
        <w:t>,</w:t>
      </w:r>
      <w:r w:rsidRPr="001F0BAB">
        <w:rPr>
          <w:rFonts w:ascii="Arial" w:hAnsi="Arial" w:cs="Arial"/>
          <w:b/>
          <w:noProof w:val="0"/>
          <w:color w:val="000000"/>
          <w:sz w:val="22"/>
          <w:szCs w:val="22"/>
          <w:lang w:val="en-US"/>
        </w:rPr>
        <w:t xml:space="preserve">,Акредитованог семинара Припрема ученика за тржиште рада </w:t>
      </w:r>
      <w:r>
        <w:rPr>
          <w:rFonts w:ascii="Arial" w:hAnsi="Arial" w:cs="Arial"/>
          <w:b/>
          <w:noProof w:val="0"/>
          <w:color w:val="000000"/>
          <w:sz w:val="22"/>
          <w:szCs w:val="22"/>
          <w:lang w:val="en-US"/>
        </w:rPr>
        <w:t>-</w:t>
      </w:r>
      <w:r w:rsidRPr="001F0BAB">
        <w:rPr>
          <w:rFonts w:ascii="Arial" w:hAnsi="Arial" w:cs="Arial"/>
          <w:b/>
          <w:noProof w:val="0"/>
          <w:color w:val="000000"/>
          <w:sz w:val="22"/>
          <w:szCs w:val="22"/>
          <w:lang w:val="en-US"/>
        </w:rPr>
        <w:t xml:space="preserve"> самопроцена вештина и представљање послодавцима</w:t>
      </w: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Информативни центар у оквиру Фондације Темпус одржаће обуку на тему представљања претходно стечених знања и вештина, самопроцена вештина и припрема за тржиште рада. Планиран број учесника је </w:t>
      </w:r>
      <w:r w:rsidRPr="001F0BAB">
        <w:rPr>
          <w:rFonts w:ascii="Arial" w:hAnsi="Arial" w:cs="Arial"/>
          <w:b/>
          <w:noProof w:val="0"/>
          <w:color w:val="000000"/>
          <w:sz w:val="22"/>
          <w:szCs w:val="22"/>
          <w:lang w:val="en-US"/>
        </w:rPr>
        <w:t>30</w:t>
      </w:r>
      <w:r w:rsidRPr="001F0BAB">
        <w:rPr>
          <w:rFonts w:ascii="Arial" w:hAnsi="Arial" w:cs="Arial"/>
          <w:noProof w:val="0"/>
          <w:color w:val="000000"/>
          <w:sz w:val="22"/>
          <w:szCs w:val="22"/>
          <w:lang w:val="en-US"/>
        </w:rPr>
        <w:t xml:space="preserve"> Реализација </w:t>
      </w:r>
      <w:r w:rsidRPr="001F0BAB">
        <w:rPr>
          <w:rFonts w:ascii="Arial" w:hAnsi="Arial" w:cs="Arial"/>
          <w:b/>
          <w:noProof w:val="0"/>
          <w:color w:val="000000"/>
          <w:sz w:val="22"/>
          <w:szCs w:val="22"/>
          <w:lang w:val="en-US"/>
        </w:rPr>
        <w:t xml:space="preserve">Акредитованог семинаар </w:t>
      </w:r>
      <w:r>
        <w:rPr>
          <w:rFonts w:ascii="Arial" w:hAnsi="Arial" w:cs="Arial"/>
          <w:b/>
          <w:noProof w:val="0"/>
          <w:color w:val="000000"/>
          <w:sz w:val="22"/>
          <w:szCs w:val="22"/>
          <w:lang w:val="en-US"/>
        </w:rPr>
        <w:t>"</w:t>
      </w:r>
      <w:r w:rsidRPr="001F0BAB">
        <w:rPr>
          <w:rFonts w:ascii="Arial" w:hAnsi="Arial" w:cs="Arial"/>
          <w:b/>
          <w:noProof w:val="0"/>
          <w:color w:val="000000"/>
          <w:sz w:val="22"/>
          <w:szCs w:val="22"/>
          <w:lang w:val="en-US"/>
        </w:rPr>
        <w:t>Каријерно информисање ученика и европски Europass алати за представљање вештина и знања</w:t>
      </w: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Информативни центар и национални </w:t>
      </w:r>
      <w:r w:rsidRPr="001F0BAB">
        <w:rPr>
          <w:rFonts w:ascii="Arial" w:hAnsi="Arial" w:cs="Arial"/>
          <w:i/>
          <w:noProof w:val="0"/>
          <w:color w:val="000000"/>
          <w:sz w:val="22"/>
          <w:szCs w:val="22"/>
          <w:lang w:val="en-US"/>
        </w:rPr>
        <w:t>Europass</w:t>
      </w:r>
      <w:r w:rsidRPr="001F0BAB">
        <w:rPr>
          <w:rFonts w:ascii="Arial" w:hAnsi="Arial" w:cs="Arial"/>
          <w:noProof w:val="0"/>
          <w:color w:val="000000"/>
          <w:sz w:val="22"/>
          <w:szCs w:val="22"/>
          <w:lang w:val="en-US"/>
        </w:rPr>
        <w:t xml:space="preserve"> центар у оквиру Фондације Темпус одржаће један семинар у циљу оспособљавања и подршке за писање радне биографије (CV), као и упознавања са иновираном европском </w:t>
      </w:r>
      <w:r w:rsidRPr="001F0BAB">
        <w:rPr>
          <w:rFonts w:ascii="Arial" w:hAnsi="Arial" w:cs="Arial"/>
          <w:i/>
          <w:noProof w:val="0"/>
          <w:color w:val="000000"/>
          <w:sz w:val="22"/>
          <w:szCs w:val="22"/>
          <w:lang w:val="en-US"/>
        </w:rPr>
        <w:t>Europass</w:t>
      </w:r>
      <w:r w:rsidRPr="001F0BAB">
        <w:rPr>
          <w:rFonts w:ascii="Arial" w:hAnsi="Arial" w:cs="Arial"/>
          <w:noProof w:val="0"/>
          <w:color w:val="000000"/>
          <w:sz w:val="22"/>
          <w:szCs w:val="22"/>
          <w:lang w:val="en-US"/>
        </w:rPr>
        <w:t xml:space="preserve"> платформом као алатом за писање CV и информисање о могућностима за унапређење знања и вештина.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Подршка имплементацији Правилника о стандардима услуга КВиС</w:t>
      </w:r>
      <w:r w:rsidRPr="001F0BAB">
        <w:rPr>
          <w:rFonts w:ascii="Arial" w:hAnsi="Arial" w:cs="Arial"/>
          <w:noProof w:val="0"/>
          <w:color w:val="000000"/>
          <w:sz w:val="22"/>
          <w:szCs w:val="22"/>
          <w:lang w:val="en-US"/>
        </w:rPr>
        <w:t xml:space="preserve"> кроз следеће мере: Редовно ажурирање веб-сајта </w:t>
      </w:r>
      <w:r w:rsidRPr="001F0BAB">
        <w:rPr>
          <w:rFonts w:ascii="Arial" w:hAnsi="Arial" w:cs="Arial"/>
          <w:i/>
          <w:noProof w:val="0"/>
          <w:color w:val="000000"/>
          <w:sz w:val="22"/>
          <w:szCs w:val="22"/>
          <w:lang w:val="en-US"/>
        </w:rPr>
        <w:t>euroguidance.rs</w:t>
      </w:r>
      <w:r w:rsidRPr="001F0BAB">
        <w:rPr>
          <w:rFonts w:ascii="Arial" w:hAnsi="Arial" w:cs="Arial"/>
          <w:noProof w:val="0"/>
          <w:color w:val="000000"/>
          <w:sz w:val="22"/>
          <w:szCs w:val="22"/>
          <w:lang w:val="en-US"/>
        </w:rPr>
        <w:t xml:space="preserve"> вестима из националног </w:t>
      </w:r>
      <w:r w:rsidRPr="001F0BAB">
        <w:rPr>
          <w:rFonts w:ascii="Arial" w:hAnsi="Arial" w:cs="Arial"/>
          <w:i/>
          <w:noProof w:val="0"/>
          <w:color w:val="000000"/>
          <w:sz w:val="22"/>
          <w:szCs w:val="22"/>
          <w:lang w:val="en-US"/>
        </w:rPr>
        <w:t>Еuroguidance</w:t>
      </w:r>
      <w:r w:rsidRPr="001F0BAB">
        <w:rPr>
          <w:rFonts w:ascii="Arial" w:hAnsi="Arial" w:cs="Arial"/>
          <w:noProof w:val="0"/>
          <w:color w:val="000000"/>
          <w:sz w:val="22"/>
          <w:szCs w:val="22"/>
          <w:lang w:val="en-US"/>
        </w:rPr>
        <w:t xml:space="preserve"> центра и мреже, као и актуелностима у области КВиС; Израда електронског билтена за каријерне практичаре на месечном нивоу и годишње публикације</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,Каријера и мобилност</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Организовање обука за каријерне практичаре у области образовања и социјалне заштите и националне конференције</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,Каријерно вођење и саветовање у Републици Србији и Европи</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Организовање Националног такмичења добрих пракси у области КВиС.</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Учествовање у Радној групи за унапређивање квалитета услуга КВиС и пружање подршке у будућој имплементацији донетих решења</w:t>
      </w:r>
      <w:r w:rsidRPr="001F0BAB">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Учешће у састанцима Радне групе за израду профила квалификација за каријерне практичаре.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Семинари</w:t>
      </w:r>
      <w:r>
        <w:rPr>
          <w:rFonts w:ascii="Arial" w:hAnsi="Arial" w:cs="Arial"/>
          <w:b/>
          <w:noProof w:val="0"/>
          <w:color w:val="000000"/>
          <w:sz w:val="22"/>
          <w:szCs w:val="22"/>
          <w:lang w:val="en-US"/>
        </w:rPr>
        <w:t>,</w:t>
      </w:r>
      <w:r w:rsidRPr="001F0BAB">
        <w:rPr>
          <w:rFonts w:ascii="Arial" w:hAnsi="Arial" w:cs="Arial"/>
          <w:b/>
          <w:noProof w:val="0"/>
          <w:color w:val="000000"/>
          <w:sz w:val="22"/>
          <w:szCs w:val="22"/>
          <w:lang w:val="en-US"/>
        </w:rPr>
        <w:t>,Каријерно вођење и саветовање одраслих у услугама социјалне заштите</w:t>
      </w: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Одржавање четири семинара за запослене у систему социјалне заштите који спроводе активности КВиС. Планиранo је укључивање </w:t>
      </w:r>
      <w:r w:rsidRPr="001F0BAB">
        <w:rPr>
          <w:rFonts w:ascii="Arial" w:hAnsi="Arial" w:cs="Arial"/>
          <w:b/>
          <w:noProof w:val="0"/>
          <w:color w:val="000000"/>
          <w:sz w:val="22"/>
          <w:szCs w:val="22"/>
          <w:lang w:val="en-US"/>
        </w:rPr>
        <w:t>90</w:t>
      </w:r>
      <w:r w:rsidRPr="001F0BAB">
        <w:rPr>
          <w:rFonts w:ascii="Arial" w:hAnsi="Arial" w:cs="Arial"/>
          <w:noProof w:val="0"/>
          <w:color w:val="000000"/>
          <w:sz w:val="22"/>
          <w:szCs w:val="22"/>
          <w:lang w:val="en-US"/>
        </w:rPr>
        <w:t xml:space="preserve"> учесника.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Семинари на тему спровођења активности КВиС у школском систему</w:t>
      </w:r>
      <w:r w:rsidRPr="001F0BAB">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 циљу реализације програма сталног стручног усавршавања за спрoвођење активности КВиС у формалном образовању за наставнике и стручне сараднике и асистенте из основних, средњих и школа за образовање одраслих, планира се одржавање три семинара. Планирано је учешће </w:t>
      </w:r>
      <w:r w:rsidRPr="001F0BAB">
        <w:rPr>
          <w:rFonts w:ascii="Arial" w:hAnsi="Arial" w:cs="Arial"/>
          <w:b/>
          <w:noProof w:val="0"/>
          <w:color w:val="000000"/>
          <w:sz w:val="22"/>
          <w:szCs w:val="22"/>
          <w:lang w:val="en-US"/>
        </w:rPr>
        <w:t>90</w:t>
      </w:r>
      <w:r w:rsidRPr="001F0BAB">
        <w:rPr>
          <w:rFonts w:ascii="Arial" w:hAnsi="Arial" w:cs="Arial"/>
          <w:noProof w:val="0"/>
          <w:color w:val="000000"/>
          <w:sz w:val="22"/>
          <w:szCs w:val="22"/>
          <w:lang w:val="en-US"/>
        </w:rPr>
        <w:t xml:space="preserve"> корисника.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ЕПАЛЕ национална конференција</w:t>
      </w:r>
      <w:r w:rsidRPr="001F0BAB">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ЕПАЛЕ национални тим за подршку у Републици Србији сваке године, организује националну конференцију која има за циљ да окупи практичаре и професионалце у области образовања одраслих из Републике Србије и региона и да покрене дискусију на теме од значаја за образовања одраслих. Планиран број учесника је од </w:t>
      </w:r>
      <w:r w:rsidRPr="001F0BAB">
        <w:rPr>
          <w:rFonts w:ascii="Arial" w:hAnsi="Arial" w:cs="Arial"/>
          <w:b/>
          <w:noProof w:val="0"/>
          <w:color w:val="000000"/>
          <w:sz w:val="22"/>
          <w:szCs w:val="22"/>
          <w:lang w:val="en-US"/>
        </w:rPr>
        <w:t>100</w:t>
      </w:r>
      <w:r w:rsidRPr="001F0BAB">
        <w:rPr>
          <w:rFonts w:ascii="Arial" w:hAnsi="Arial" w:cs="Arial"/>
          <w:noProof w:val="0"/>
          <w:color w:val="000000"/>
          <w:sz w:val="22"/>
          <w:szCs w:val="22"/>
          <w:lang w:val="en-US"/>
        </w:rPr>
        <w:t xml:space="preserve"> до </w:t>
      </w:r>
      <w:r w:rsidRPr="001F0BAB">
        <w:rPr>
          <w:rFonts w:ascii="Arial" w:hAnsi="Arial" w:cs="Arial"/>
          <w:b/>
          <w:noProof w:val="0"/>
          <w:color w:val="000000"/>
          <w:sz w:val="22"/>
          <w:szCs w:val="22"/>
          <w:lang w:val="en-US"/>
        </w:rPr>
        <w:t>150</w:t>
      </w:r>
      <w:r w:rsidRPr="001F0BAB">
        <w:rPr>
          <w:rFonts w:ascii="Arial" w:hAnsi="Arial" w:cs="Arial"/>
          <w:noProof w:val="0"/>
          <w:color w:val="000000"/>
          <w:sz w:val="22"/>
          <w:szCs w:val="22"/>
          <w:lang w:val="en-US"/>
        </w:rPr>
        <w:t>.</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Реализација </w:t>
      </w:r>
      <w:r w:rsidRPr="001F0BAB">
        <w:rPr>
          <w:rFonts w:ascii="Arial" w:hAnsi="Arial" w:cs="Arial"/>
          <w:b/>
          <w:noProof w:val="0"/>
          <w:color w:val="000000"/>
          <w:sz w:val="22"/>
          <w:szCs w:val="22"/>
          <w:lang w:val="en-US"/>
        </w:rPr>
        <w:t>три наградна конкурса за најбољи блог на ЕПАЛЕ платформи</w:t>
      </w:r>
      <w:r w:rsidRPr="001F0BAB">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Организовање наградних конкурса за најбољи блог на ЕПАЛЕ платформи и слање аутора најбољих текстова (практичара у образовању одраслих) на усавршавање на међународним конференцијама у области образовања одраслих. Планирано је укључивање </w:t>
      </w:r>
      <w:r w:rsidRPr="001F0BAB">
        <w:rPr>
          <w:rFonts w:ascii="Arial" w:hAnsi="Arial" w:cs="Arial"/>
          <w:b/>
          <w:noProof w:val="0"/>
          <w:color w:val="000000"/>
          <w:sz w:val="22"/>
          <w:szCs w:val="22"/>
          <w:lang w:val="en-US"/>
        </w:rPr>
        <w:t>10</w:t>
      </w:r>
      <w:r w:rsidRPr="001F0BAB">
        <w:rPr>
          <w:rFonts w:ascii="Arial" w:hAnsi="Arial" w:cs="Arial"/>
          <w:noProof w:val="0"/>
          <w:color w:val="000000"/>
          <w:sz w:val="22"/>
          <w:szCs w:val="22"/>
          <w:lang w:val="en-US"/>
        </w:rPr>
        <w:t xml:space="preserve"> учесника.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Учешће на догађајима међународне сарадње</w:t>
      </w:r>
      <w:r w:rsidRPr="001F0BAB">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Слање наставног и радно ангажованог кадра у образовању одраслих на догађаје међународне сарадње које организују Националне агенције за Еразмус+. Планирано је укључивање </w:t>
      </w:r>
      <w:r w:rsidRPr="001F0BAB">
        <w:rPr>
          <w:rFonts w:ascii="Arial" w:hAnsi="Arial" w:cs="Arial"/>
          <w:b/>
          <w:noProof w:val="0"/>
          <w:color w:val="000000"/>
          <w:sz w:val="22"/>
          <w:szCs w:val="22"/>
          <w:lang w:val="en-US"/>
        </w:rPr>
        <w:t>10</w:t>
      </w:r>
      <w:r w:rsidRPr="001F0BAB">
        <w:rPr>
          <w:rFonts w:ascii="Arial" w:hAnsi="Arial" w:cs="Arial"/>
          <w:noProof w:val="0"/>
          <w:color w:val="000000"/>
          <w:sz w:val="22"/>
          <w:szCs w:val="22"/>
          <w:lang w:val="en-US"/>
        </w:rPr>
        <w:t xml:space="preserve"> учесника.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Учешће на Европској годишњој ЕПАЛЕ конференцији</w:t>
      </w:r>
      <w:r w:rsidRPr="001F0BAB">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Учешће делегације Републике Србије на годишњој ЕПАЛЕ конференцији у Европи. Планирано је укључивање </w:t>
      </w:r>
      <w:r w:rsidRPr="001F0BAB">
        <w:rPr>
          <w:rFonts w:ascii="Arial" w:hAnsi="Arial" w:cs="Arial"/>
          <w:b/>
          <w:noProof w:val="0"/>
          <w:color w:val="000000"/>
          <w:sz w:val="22"/>
          <w:szCs w:val="22"/>
          <w:lang w:val="en-US"/>
        </w:rPr>
        <w:t>6</w:t>
      </w:r>
      <w:r w:rsidRPr="001F0BAB">
        <w:rPr>
          <w:rFonts w:ascii="Arial" w:hAnsi="Arial" w:cs="Arial"/>
          <w:noProof w:val="0"/>
          <w:color w:val="000000"/>
          <w:sz w:val="22"/>
          <w:szCs w:val="22"/>
          <w:lang w:val="en-US"/>
        </w:rPr>
        <w:t xml:space="preserve"> учесника.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Еразмус+ информативни дани</w:t>
      </w:r>
      <w:r w:rsidRPr="001F0BAB">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Представљање могућности у оквиру Еразмус+ програма кроз одржавање информативних догађаја (инфо дана) широм Републике Србије, као и презентација и вебинара о Еразмус+ пројектима мобилности у области општег, стручног и образовања одраслих. Планирано у укључивање од </w:t>
      </w:r>
      <w:r w:rsidRPr="001F0BAB">
        <w:rPr>
          <w:rFonts w:ascii="Arial" w:hAnsi="Arial" w:cs="Arial"/>
          <w:b/>
          <w:noProof w:val="0"/>
          <w:color w:val="000000"/>
          <w:sz w:val="22"/>
          <w:szCs w:val="22"/>
          <w:lang w:val="en-US"/>
        </w:rPr>
        <w:t>1000</w:t>
      </w:r>
      <w:r w:rsidRPr="001F0BAB">
        <w:rPr>
          <w:rFonts w:ascii="Arial" w:hAnsi="Arial" w:cs="Arial"/>
          <w:noProof w:val="0"/>
          <w:color w:val="000000"/>
          <w:sz w:val="22"/>
          <w:szCs w:val="22"/>
          <w:lang w:val="en-US"/>
        </w:rPr>
        <w:t xml:space="preserve"> до </w:t>
      </w:r>
      <w:r w:rsidRPr="001F0BAB">
        <w:rPr>
          <w:rFonts w:ascii="Arial" w:hAnsi="Arial" w:cs="Arial"/>
          <w:b/>
          <w:noProof w:val="0"/>
          <w:color w:val="000000"/>
          <w:sz w:val="22"/>
          <w:szCs w:val="22"/>
          <w:lang w:val="en-US"/>
        </w:rPr>
        <w:t>1200</w:t>
      </w:r>
      <w:r w:rsidRPr="001F0BAB">
        <w:rPr>
          <w:rFonts w:ascii="Arial" w:hAnsi="Arial" w:cs="Arial"/>
          <w:noProof w:val="0"/>
          <w:color w:val="000000"/>
          <w:sz w:val="22"/>
          <w:szCs w:val="22"/>
          <w:lang w:val="en-US"/>
        </w:rPr>
        <w:t xml:space="preserve"> учесника.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 xml:space="preserve">Одржавање најмање четири предавања на интернету </w:t>
      </w:r>
      <w:r>
        <w:rPr>
          <w:rFonts w:ascii="Arial" w:hAnsi="Arial" w:cs="Arial"/>
          <w:b/>
          <w:noProof w:val="0"/>
          <w:color w:val="000000"/>
          <w:sz w:val="22"/>
          <w:szCs w:val="22"/>
          <w:lang w:val="en-US"/>
        </w:rPr>
        <w:t>-</w:t>
      </w:r>
      <w:r w:rsidRPr="001F0BAB">
        <w:rPr>
          <w:rFonts w:ascii="Arial" w:hAnsi="Arial" w:cs="Arial"/>
          <w:b/>
          <w:noProof w:val="0"/>
          <w:color w:val="000000"/>
          <w:sz w:val="22"/>
          <w:szCs w:val="22"/>
          <w:lang w:val="en-US"/>
        </w:rPr>
        <w:t xml:space="preserve"> вебинара</w:t>
      </w:r>
      <w:r w:rsidRPr="001F0BAB">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Вебинари су информативни догађаји који се одржавају са циљем упознавања наставног и радно ангажованог кадра у образовању одраслих и шире јавности са могућностима и функционалностима ЕПАЛЕ мреже, као и са актуелним темама у образовању одраслих на националном и европском нивоу. Планирано у укључивање од </w:t>
      </w:r>
      <w:r w:rsidRPr="001F0BAB">
        <w:rPr>
          <w:rFonts w:ascii="Arial" w:hAnsi="Arial" w:cs="Arial"/>
          <w:b/>
          <w:noProof w:val="0"/>
          <w:color w:val="000000"/>
          <w:sz w:val="22"/>
          <w:szCs w:val="22"/>
          <w:lang w:val="en-US"/>
        </w:rPr>
        <w:t>100</w:t>
      </w:r>
      <w:r w:rsidRPr="001F0BAB">
        <w:rPr>
          <w:rFonts w:ascii="Arial" w:hAnsi="Arial" w:cs="Arial"/>
          <w:noProof w:val="0"/>
          <w:color w:val="000000"/>
          <w:sz w:val="22"/>
          <w:szCs w:val="22"/>
          <w:lang w:val="en-US"/>
        </w:rPr>
        <w:t xml:space="preserve"> до </w:t>
      </w:r>
      <w:r w:rsidRPr="001F0BAB">
        <w:rPr>
          <w:rFonts w:ascii="Arial" w:hAnsi="Arial" w:cs="Arial"/>
          <w:b/>
          <w:noProof w:val="0"/>
          <w:color w:val="000000"/>
          <w:sz w:val="22"/>
          <w:szCs w:val="22"/>
          <w:lang w:val="en-US"/>
        </w:rPr>
        <w:t>200</w:t>
      </w:r>
      <w:r w:rsidRPr="001F0BAB">
        <w:rPr>
          <w:rFonts w:ascii="Arial" w:hAnsi="Arial" w:cs="Arial"/>
          <w:noProof w:val="0"/>
          <w:color w:val="000000"/>
          <w:sz w:val="22"/>
          <w:szCs w:val="22"/>
          <w:lang w:val="en-US"/>
        </w:rPr>
        <w:t xml:space="preserve"> учесника.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Радионице за писање Еразмус+ пројеката</w:t>
      </w:r>
      <w:r w:rsidRPr="001F0BAB">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Одржавање радионица за писање пројеката мобилности и стратешких партнерстава у оквиру Еразмус+ програма са циљем подизања компетенција запослених у образовању у области спровођења пројеката и успостављања међународне сарадње. Планирано је да буде укључено </w:t>
      </w:r>
      <w:r w:rsidRPr="001F0BAB">
        <w:rPr>
          <w:rFonts w:ascii="Arial" w:hAnsi="Arial" w:cs="Arial"/>
          <w:b/>
          <w:noProof w:val="0"/>
          <w:color w:val="000000"/>
          <w:sz w:val="22"/>
          <w:szCs w:val="22"/>
          <w:lang w:val="en-US"/>
        </w:rPr>
        <w:t>150</w:t>
      </w:r>
      <w:r w:rsidRPr="001F0BAB">
        <w:rPr>
          <w:rFonts w:ascii="Arial" w:hAnsi="Arial" w:cs="Arial"/>
          <w:noProof w:val="0"/>
          <w:color w:val="000000"/>
          <w:sz w:val="22"/>
          <w:szCs w:val="22"/>
          <w:lang w:val="en-US"/>
        </w:rPr>
        <w:t xml:space="preserve"> учесника.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Активности на ЕПАЛЕ платформи</w:t>
      </w:r>
      <w:r w:rsidRPr="001F0BAB">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Информисање професионалаца и практичара у образовању одраслих о актуелностима у Републици Србији и Европи и промовисање образовања одраслих кроз блогове, вести, ресурсе, догађаје и магазине објављене на ЕПАЛЕ платформи на српском и енглеском језику. Планирано је да буде укључено </w:t>
      </w:r>
      <w:r w:rsidRPr="001F0BAB">
        <w:rPr>
          <w:rFonts w:ascii="Arial" w:hAnsi="Arial" w:cs="Arial"/>
          <w:b/>
          <w:noProof w:val="0"/>
          <w:color w:val="000000"/>
          <w:sz w:val="22"/>
          <w:szCs w:val="22"/>
          <w:lang w:val="en-US"/>
        </w:rPr>
        <w:t>2.000</w:t>
      </w:r>
      <w:r w:rsidRPr="001F0BAB">
        <w:rPr>
          <w:rFonts w:ascii="Arial" w:hAnsi="Arial" w:cs="Arial"/>
          <w:noProof w:val="0"/>
          <w:color w:val="000000"/>
          <w:sz w:val="22"/>
          <w:szCs w:val="22"/>
          <w:lang w:val="en-US"/>
        </w:rPr>
        <w:t xml:space="preserve"> учесника.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Четири семинара</w:t>
      </w:r>
      <w:r>
        <w:rPr>
          <w:rFonts w:ascii="Arial" w:hAnsi="Arial" w:cs="Arial"/>
          <w:b/>
          <w:noProof w:val="0"/>
          <w:color w:val="000000"/>
          <w:sz w:val="22"/>
          <w:szCs w:val="22"/>
          <w:lang w:val="en-US"/>
        </w:rPr>
        <w:t>,</w:t>
      </w:r>
      <w:r w:rsidRPr="001F0BAB">
        <w:rPr>
          <w:rFonts w:ascii="Arial" w:hAnsi="Arial" w:cs="Arial"/>
          <w:b/>
          <w:noProof w:val="0"/>
          <w:color w:val="000000"/>
          <w:sz w:val="22"/>
          <w:szCs w:val="22"/>
          <w:lang w:val="en-US"/>
        </w:rPr>
        <w:t>,Пројектно оријентисана настава у основном образовању одраслих</w:t>
      </w: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Одржавање обуке намењене наставницима који раде у ФООО са циљем унапређења методике рада са одраслима. Планирано је да буде укључено од </w:t>
      </w:r>
      <w:r w:rsidRPr="001F0BAB">
        <w:rPr>
          <w:rFonts w:ascii="Arial" w:hAnsi="Arial" w:cs="Arial"/>
          <w:b/>
          <w:noProof w:val="0"/>
          <w:color w:val="000000"/>
          <w:sz w:val="22"/>
          <w:szCs w:val="22"/>
          <w:lang w:val="en-US"/>
        </w:rPr>
        <w:t>100</w:t>
      </w:r>
      <w:r w:rsidRPr="001F0BAB">
        <w:rPr>
          <w:rFonts w:ascii="Arial" w:hAnsi="Arial" w:cs="Arial"/>
          <w:noProof w:val="0"/>
          <w:color w:val="000000"/>
          <w:sz w:val="22"/>
          <w:szCs w:val="22"/>
          <w:lang w:val="en-US"/>
        </w:rPr>
        <w:t xml:space="preserve"> до </w:t>
      </w:r>
      <w:r w:rsidRPr="001F0BAB">
        <w:rPr>
          <w:rFonts w:ascii="Arial" w:hAnsi="Arial" w:cs="Arial"/>
          <w:b/>
          <w:noProof w:val="0"/>
          <w:color w:val="000000"/>
          <w:sz w:val="22"/>
          <w:szCs w:val="22"/>
          <w:lang w:val="en-US"/>
        </w:rPr>
        <w:t>120</w:t>
      </w:r>
      <w:r w:rsidRPr="001F0BAB">
        <w:rPr>
          <w:rFonts w:ascii="Arial" w:hAnsi="Arial" w:cs="Arial"/>
          <w:noProof w:val="0"/>
          <w:color w:val="000000"/>
          <w:sz w:val="22"/>
          <w:szCs w:val="22"/>
          <w:lang w:val="en-US"/>
        </w:rPr>
        <w:t xml:space="preserve"> учесника.</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noProof w:val="0"/>
          <w:color w:val="000000"/>
          <w:sz w:val="22"/>
          <w:szCs w:val="22"/>
          <w:lang w:val="en-US"/>
        </w:rPr>
        <w:t>Националнa академијa за јавну управу</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Када говоримо о развоју и унапређењу компетенција запослених у јавној управи, Национална академија за јавну управу, планира реализацију следећих активности у 2023. години:</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Реализација Општег програма обуке државних службеника, Општег програма обуке запослених у ЈЛС, Програма обуке руководилаца у државним органима и Програма обуке руководилаца у ЈЛС. Наведене програме ће спроводити акредитовани реализатори НАЈУ који се налазе на Сталној листи предавача и других реализатора обука. Очекује се да ће обуке које спроводи НАЈУ у 2023. години, у складу са донетим програмима похађати више од </w:t>
      </w:r>
      <w:r w:rsidRPr="001F0BAB">
        <w:rPr>
          <w:rFonts w:ascii="Arial" w:hAnsi="Arial" w:cs="Arial"/>
          <w:b/>
          <w:noProof w:val="0"/>
          <w:color w:val="000000"/>
          <w:sz w:val="22"/>
          <w:szCs w:val="22"/>
          <w:lang w:val="en-US"/>
        </w:rPr>
        <w:t>16000</w:t>
      </w:r>
      <w:r w:rsidRPr="001F0BAB">
        <w:rPr>
          <w:rFonts w:ascii="Arial" w:hAnsi="Arial" w:cs="Arial"/>
          <w:noProof w:val="0"/>
          <w:color w:val="000000"/>
          <w:sz w:val="22"/>
          <w:szCs w:val="22"/>
          <w:lang w:val="en-US"/>
        </w:rPr>
        <w:t xml:space="preserve"> полазника. Обуке ће бити организоване у тренинг центру НАЈУ, путем </w:t>
      </w:r>
      <w:r w:rsidRPr="001F0BAB">
        <w:rPr>
          <w:rFonts w:ascii="Arial" w:hAnsi="Arial" w:cs="Arial"/>
          <w:i/>
          <w:noProof w:val="0"/>
          <w:color w:val="000000"/>
          <w:sz w:val="22"/>
          <w:szCs w:val="22"/>
          <w:lang w:val="en-US"/>
        </w:rPr>
        <w:t>self-paced</w:t>
      </w:r>
      <w:r w:rsidRPr="001F0BAB">
        <w:rPr>
          <w:rFonts w:ascii="Arial" w:hAnsi="Arial" w:cs="Arial"/>
          <w:noProof w:val="0"/>
          <w:color w:val="000000"/>
          <w:sz w:val="22"/>
          <w:szCs w:val="22"/>
          <w:lang w:val="en-US"/>
        </w:rPr>
        <w:t xml:space="preserve"> online обука, вебинара и путем комбинованог учења.</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Програми стручног усавршавања за осетљиве циљне групе и унапређење положаја осетљивих група</w:t>
      </w:r>
      <w:r w:rsidRPr="001F0BAB">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 сарадњи са организацијама Грађански покрет Опре Рома Србија и Канцеларијом за ромске иницијативе Фондације за отворено друштво, НАЈУ развија Програм стручног оспособљавања Рома. Наиме, са циљем унапређивања положаја Рома и њихове веће запошљивости, НАЈУ ће спровести низ мултидисциплинарних обука за незапослене припаднике ромске популације са стеченим високим образовањем. Наведени програм ће спроводити акредитовани реализатори НАЈУ.</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 циљу праћења квалитета посебних програма, НАЈУ је развила критеријуме и стандарде за акредитацију посебних програма и континуирано пружа подршку органима јавне управе у наведеном процесу. Сектор за припрему програма обука и управљања квалитетом НАЈУ наставља да се бави истраживачким активностима и у плану је организационо оснивање Центра за истраживање. С обзиром на то да савремена јавна управа има потребу за компетентним кадровима, оспособљеним за примену нових метода рада у променљивом окружењу, једно у низу истраживања НАЈУ односиће се на снимање стања тренерских компетенција тренера НАЈУ и начина њиховог развоја и унапређења, имајући у виду развијен</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,Оквир компетенција тренера НАЈУ</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НАЈУ ће као резултат претходне сарадње са Саветом Европе, кроз пројекат</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,Управљање људским ресурсима у локалној самоуправи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фаза 2</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у 2023. години, посебну пажњу посветити унапређењу стандарда компетенција тренера, алата за процену и самопроцену тренерских компетенција и протокола за праћење рада тренера приликом симулације на интерном конкурсу, и касније током извођења тренинга. У 2023. години, се очекује спровођење обука, у циљу развоја тренерских компетенција, које су део Општег програма обуке државних службеника за 2023. годину, односно део Општег програма обуке запослених у јединицама локалне самоуправе за 2023. годину, (тематска област Обука предавача).</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noProof w:val="0"/>
          <w:color w:val="000000"/>
          <w:sz w:val="22"/>
          <w:szCs w:val="22"/>
          <w:lang w:val="en-US"/>
        </w:rPr>
        <w:t>Привреднa коморa Србије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2023. години, планирана је реализација следећих програма и обука са циљем одржања запослења и каријерног напредовања:</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Обуке за одржање запослења и каријерно напредовање:</w:t>
      </w:r>
      <w:r w:rsidRPr="001F0BAB">
        <w:rPr>
          <w:rFonts w:ascii="Arial" w:hAnsi="Arial" w:cs="Arial"/>
          <w:noProof w:val="0"/>
          <w:color w:val="000000"/>
          <w:sz w:val="22"/>
          <w:szCs w:val="22"/>
          <w:lang w:val="en-US"/>
        </w:rPr>
        <w:t xml:space="preserve"> Специјалистичке обуке; Обуке на којима полазници стичу компетенције за лични и професионални развој; Континуирано усавршавање овлашћених заступника и овлашћених посредника у осигурању. Планирано је повећање од најмање 5% у односу на реализовано у 2022. години.</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Обуке као припрема за излазак на испит у циљу стицања лиценце или сертификата:</w:t>
      </w:r>
      <w:r w:rsidRPr="001F0BAB">
        <w:rPr>
          <w:rFonts w:ascii="Arial" w:hAnsi="Arial" w:cs="Arial"/>
          <w:noProof w:val="0"/>
          <w:color w:val="000000"/>
          <w:sz w:val="22"/>
          <w:szCs w:val="22"/>
          <w:lang w:val="en-US"/>
        </w:rPr>
        <w:t xml:space="preserve"> Обуке за припрему за полагање испита за овлашћеног заступника и овлашћеног посредника у осигурању; Обуке за припрему за полагање испита за лиценцу за професионалног управника; Обуке за процену ризика у заштити лица, имовине и пословања; Обуке за проценитеља вредности некретнина; Обуке за стручна лица у области безбедности и здравља на раду; Обуке за службеника за јавне набавке; Обуке инструктора у дуалном образовању. Планирано је повећање од најмање 5% у односу на реализовано у 2022. години.</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Обуке по ЈПОА програму (за стицање квалификације)</w:t>
      </w:r>
      <w:r w:rsidRPr="001F0BAB">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 току је израда програма за 2 такве обуке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за Монтера лифтова и за Дрогеристу (квалификације на 5. нивоу НОКС).</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Обуке за развој основних дигиталних вештина</w:t>
      </w:r>
      <w:r w:rsidRPr="001F0BAB">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За које је планирано повећање од најмање 5% у односу на реализовано у 2022. години.</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Обуке за подстицање самозапошљавања</w:t>
      </w:r>
      <w:r w:rsidRPr="001F0BAB">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За које је такође планирано повећање од најмање 5% у односу на реализовано у 2022. години.</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noProof w:val="0"/>
          <w:color w:val="000000"/>
          <w:sz w:val="22"/>
          <w:szCs w:val="22"/>
          <w:lang w:val="en-US"/>
        </w:rPr>
        <w:t>Унија послодаваца Србије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Унија послодаваца Србије (у даљем тексту: УПС) као учесник социјалног дијалога на највишем нивоу, у сталној консултацији са привредом, подносиће иницијативе за унапређење нормативног оквира за развој формалног и неформалног образовања.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Представници УПС су укључени у </w:t>
      </w:r>
      <w:bookmarkStart w:id="10" w:name="_GoBack"/>
      <w:bookmarkEnd w:id="10"/>
      <w:r w:rsidRPr="001F0BAB">
        <w:rPr>
          <w:rFonts w:ascii="Arial" w:hAnsi="Arial" w:cs="Arial"/>
          <w:noProof w:val="0"/>
          <w:color w:val="000000"/>
          <w:sz w:val="22"/>
          <w:szCs w:val="22"/>
          <w:lang w:val="en-US"/>
        </w:rPr>
        <w:t>различита стручна стална или привремена радна тела у области стручног образовања и образовања одраслих.</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УПС ће у наредном периоду подстицати и оснаживати заинтересоване стране за давање пуног доприноса превазилажењу јаза између образовања и тржишта рада.</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noProof w:val="0"/>
          <w:color w:val="000000"/>
          <w:sz w:val="22"/>
          <w:szCs w:val="22"/>
          <w:lang w:val="en-US"/>
        </w:rPr>
        <w:t>Министарство правде, Управа за извршење кривичних санкција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Учешће одраслих у програмима образовања и обучавања у 2023. години, је планирано у Казнено-поправном заводу у Београду у Падинској Скели, Казнено-поправном заводу Београд, Специјалној затворској болници у Београду, Окружном затвору у Београду, Казнено-поправном заводу у Панчеву, Казнено-поправном заводу у Шапцу, Казнено-поправном заводу у Нишу, Казнено-поправном заводу за жене у Пожаревцу, Казнено-поправном заводу у Пожаревцу, Казнено-поправном заводу за жене у Сремској Митровици, Казнено-поправном заводу у Крагујевцу, Казнено-поправном заводу у Ваљеву, Казнено-поправном заводу у Сомбору, Окружном затвору у Суботици, Васпитно-поправном дому у Крушевцу, Окружном затвору у Смедереву, Окружном затвору у Зрењанину, Окружном затвору у Ћуприји, Окружном затвору у Лесковцу и Окружном затвору Прокупљу. У оквиру ових установа планирана је реализација следећих програма:</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Програм Функционалног основног образовања за одрасле за 307 лица;</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Програми неформалног образовања за 698 лица, и то пре свега програма стручних обука за израду ПВЦ столарије, за сушење и прераду воћа, поврћа и лековитог биља, за гајење поврћа у заштићеном простору, за производњу разних врста хлеба и пецива, за руковаоца пољопривредном механизацијом, за кувара, за пекара, за повртара, за сточара, за ратара, за столара, за виљушкаристу, за заваривача, за CO</w:t>
      </w:r>
      <w:r w:rsidRPr="001F0BAB">
        <w:rPr>
          <w:rFonts w:ascii="Arial" w:hAnsi="Arial" w:cs="Arial"/>
          <w:noProof w:val="0"/>
          <w:color w:val="000000"/>
          <w:sz w:val="22"/>
          <w:szCs w:val="22"/>
          <w:vertAlign w:val="subscript"/>
          <w:lang w:val="en-US"/>
        </w:rPr>
        <w:t>2</w:t>
      </w:r>
      <w:r w:rsidRPr="001F0BAB">
        <w:rPr>
          <w:rFonts w:ascii="Arial" w:hAnsi="Arial" w:cs="Arial"/>
          <w:noProof w:val="0"/>
          <w:color w:val="000000"/>
          <w:sz w:val="22"/>
          <w:szCs w:val="22"/>
          <w:lang w:val="en-US"/>
        </w:rPr>
        <w:t xml:space="preserve"> заваривање, за руковаоца котловима под притиском, за оператера машином за ласерско гравирање, за мушког фризера, за шивење, за рад у основним рачунарским програмима, обука из информатике, као и специјализовани програми за смањење зависничког поврата у циљу смањења криминолошког поврата;</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Омогућавање стицања дипломе високог/вишег образовања за четири лица.</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noProof w:val="0"/>
          <w:color w:val="000000"/>
          <w:sz w:val="22"/>
          <w:szCs w:val="22"/>
          <w:lang w:val="en-US"/>
        </w:rPr>
        <w:t>Министарство државне управе и локалне самоуправе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2023. години, планирана је реализација следећих програма:</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Секторски посебни програм обуке матичара за 2023. годину</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Припреми овог програма претходио је поступак утврђивања потреба за стручним усавршавањем матичара и заменика матичара и припрема Извештаја о анализи потреба за стручним усавршавањем матичара за 2023. годину, на основу којег је утврђен висок степен потребе за обуком матичара, али и њихових руководилаца. Планирано је спровођење програма обука за 21 тематску целину из 7 области стручног усавршавања: Матичне књиге, Регистар матичних књига, Држављанство, Породични односи, брак и лично име, Међународне конвенције и статусна питања са иностраним елементом, Развој личних вештина и Комуникационе вештине матичара.</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Секторски посебни програм обуке запослених у јединицама локалне самоуправе који обављају поверене послове ажурирања јединственог бирачког списка за 2023. годину</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Припреми овог програма претходио је поступак утврђивања потреба за стручним усавршавањем запослених у ЈЛС који обављају поверене послове ажурирања јединственог бирачког списка, и припрема Извештаја о анализи потреба за стручним усавршавањем запослених у ЈЛС који обављају послове ажурирања јединственог бирачког списка за 2023. годину, на основу којег је утврђен висок степен потребе ове категорије запослених, али и њихових руководилаца за унапређењем капацитета и стицањем нових знања, вештина и способности за обављање послова радног места. Циљ је да се обезбеди једнак квалитет стручног усавршавања и једнак приступ праву на стручно усавршавање запослених који обављају поверене послове ажурирања јединственог бирачког списка, као и било којој другој категорији запослених у ЈЛС за области стручног усавршавања: Јединствени бирачки списак; Посебни управни поступак у области јединственог бирачког списка; Личне вештине; Комуникација и односи са јавношћу.</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Посебни програм обуке државних службеника у Министарству државне управе и локалне самоуправе за 2023. годину</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Циљ посебног програма је стручно усавршавање у области страних језика, развијања аналитичких капацитета и дигиталне писмености (обрада, статистичка анализа и интерпретација података).</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noProof w:val="0"/>
          <w:color w:val="000000"/>
          <w:sz w:val="22"/>
          <w:szCs w:val="22"/>
          <w:lang w:val="en-US"/>
        </w:rPr>
        <w:t>Министарство привреде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2023. години, планирана је реализација Програма стандардизованог сета услуга за микро, мала и средња предузећа и предузетнике. Планирана је реализација преко акредитованих регионалних развојних агенција, за микро, мала и средња предузећа и предузетнике на локалном нивоу у циљу информисања, обуке, саветовања као и промоције расположивих видова подршке.</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noProof w:val="0"/>
          <w:color w:val="000000"/>
          <w:sz w:val="22"/>
          <w:szCs w:val="22"/>
          <w:lang w:val="en-US"/>
        </w:rPr>
        <w:t>Министарство информисања и телекомуникација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2023. години, планирана је реализација следећих програма: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Обуке са циљем подизања компетенција запослених у јавним институцијама из система здравства, образовања и система социјалне заштите, а везано за функционисање апликације LIVE 02</w:t>
      </w:r>
      <w:r w:rsidRPr="001F0BAB">
        <w:rPr>
          <w:rFonts w:ascii="Arial" w:hAnsi="Arial" w:cs="Arial"/>
          <w:noProof w:val="0"/>
          <w:color w:val="000000"/>
          <w:sz w:val="22"/>
          <w:szCs w:val="22"/>
          <w:lang w:val="en-US"/>
        </w:rPr>
        <w:t>, која се односи на брзо обавештавање и размену информација на тему сајбербулинга, прекомерне употребе интернета, и других облика вршњачког насиља над децом школског узраста. Реализатори обука биће стручни сарадници Националног контакт центра за безбедност деце на интернету. Укупно планирани број учесника је око 1010 полазника (учитељи, наставници, педијатри, психолози, социјални радници);</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Осигуравање безбедности деце на интернету</w:t>
      </w:r>
      <w:r w:rsidRPr="001F0BAB">
        <w:rPr>
          <w:rFonts w:ascii="Arial" w:hAnsi="Arial" w:cs="Arial"/>
          <w:noProof w:val="0"/>
          <w:color w:val="000000"/>
          <w:sz w:val="22"/>
          <w:szCs w:val="22"/>
          <w:lang w:val="en-US"/>
        </w:rPr>
        <w:t xml:space="preserve"> кроз вебинаре и презентације са том тематиком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едукативни семинар</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,Дигитална екологија</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Процедуре поступања у случају инцидента у ИКТ системима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обуке;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Обуке за безбедно коришћење интернета</w:t>
      </w:r>
      <w:r w:rsidRPr="001F0BAB">
        <w:rPr>
          <w:rFonts w:ascii="Arial" w:hAnsi="Arial" w:cs="Arial"/>
          <w:i/>
          <w:noProof w:val="0"/>
          <w:color w:val="000000"/>
          <w:sz w:val="22"/>
          <w:szCs w:val="22"/>
          <w:lang w:val="en-US"/>
        </w:rPr>
        <w:t>.</w:t>
      </w:r>
      <w:r w:rsidRPr="001F0BAB">
        <w:rPr>
          <w:rFonts w:ascii="Arial" w:hAnsi="Arial" w:cs="Arial"/>
          <w:noProof w:val="0"/>
          <w:color w:val="000000"/>
          <w:sz w:val="22"/>
          <w:szCs w:val="22"/>
          <w:lang w:val="en-US"/>
        </w:rPr>
        <w:t xml:space="preserve"> Број учесника у обукама: 30 запослених у здравственом систему, 80 запослених у систему социјалне заштите, 250 запослених у образовном систему (90 учитеља и 160 наставника предметне наставе).</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noProof w:val="0"/>
          <w:color w:val="000000"/>
          <w:sz w:val="22"/>
          <w:szCs w:val="22"/>
          <w:lang w:val="en-US"/>
        </w:rPr>
        <w:t>Министарство унутрашњих послова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2023. години, планирана је реализација Програма обуке и оспособљавања физичких лица за вршење детективских послова и полагање стручног испита за детективе, а у складу са Правилником о обуци и оспособљавању и стручном испиту за детективске послове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Службени гласник РС</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брoj 27/19) за укупно 30 полазника уз 10 реализатора обука. Након завршетка обуке кандидати ће полагати стручни испит за детектива и по успешном завршетку добити лиценцу за вршење детективских послова.</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noProof w:val="0"/>
          <w:color w:val="000000"/>
          <w:sz w:val="22"/>
          <w:szCs w:val="22"/>
          <w:lang w:val="en-US"/>
        </w:rPr>
        <w:t>Министарство пољопривреде, шумарства и водопривреде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2023. години, планирана је реализација обука и програма стручног усавршавања, пољопривредних саветодаваца и пољопривредних произвођача, а у складу са Уредбом о утврђивању Годишњег програма развоја саветодавних послова у пољопривреди, у сарадњи са домаћим и страним образовним институцијама, у циљу стварања квалитетнијег и ефикаснијег сервиса за пружање стручних савета, препорука и помоћи пољопривредним произвођачима и другим члановима локалних заједница, за 207 корисника. Такође, Годишњи план укључује и одржавање Годишњег семинара саветодаваца у 2023. години.</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Списак министарстава и других организација, планираних активности у области образовања одраслих, извори средстава, детаљније се могу видети у </w:t>
      </w:r>
      <w:r w:rsidRPr="001F0BAB">
        <w:rPr>
          <w:rFonts w:ascii="Arial" w:hAnsi="Arial" w:cs="Arial"/>
          <w:b/>
          <w:noProof w:val="0"/>
          <w:color w:val="000000"/>
          <w:sz w:val="22"/>
          <w:szCs w:val="22"/>
          <w:lang w:val="en-US"/>
        </w:rPr>
        <w:t>Прилогу број 6.</w:t>
      </w:r>
      <w:r w:rsidRPr="001F0BAB">
        <w:rPr>
          <w:rFonts w:ascii="Arial" w:hAnsi="Arial" w:cs="Arial"/>
          <w:noProof w:val="0"/>
          <w:color w:val="000000"/>
          <w:sz w:val="22"/>
          <w:szCs w:val="22"/>
          <w:lang w:val="en-US"/>
        </w:rPr>
        <w:t xml:space="preserve"> који је одштампан уз ГПОО за 2023. годину, и чини његов саставни део.</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noProof w:val="0"/>
          <w:color w:val="000000"/>
          <w:sz w:val="22"/>
          <w:szCs w:val="22"/>
          <w:lang w:val="en-US"/>
        </w:rPr>
        <w:t>Б) Приоритна област: УНАПРЕЂИВАЊЕ УСЛОВА ЗА ЦЕЛОЖИВОТНО УЧЕЊЕ И ОСИГУРАЊЕ КВАЛИТЕТА У ОБРАЗОВАЊУ ОДРАСЛИХ</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b/>
          <w:noProof w:val="0"/>
          <w:color w:val="000000"/>
          <w:sz w:val="22"/>
          <w:szCs w:val="22"/>
          <w:lang w:val="en-US"/>
        </w:rPr>
        <w:t>1. Унапређивање нормативног оквира за развој формалног и неформалног система образовања одраслих</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претходној години предузете су значајне активности на унапређивању нормативног оквира за развој система образовања одраслих. Припремљен је предлог измена и допуна Закона о НОКС, којим се значајно унапређује ефикасност поступка акредитације програма обуке и активности ППУ. Како се због изборног процеса у претходној години нису стекли услови за усвајање измена и допуна Закона о НОКС, то се очекује у току наредне године (2023).</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Ради унапређивања система осигурања квалитета у систему образовања одраслих у првом кварталу 2022. године, усвојен је Правилник (,,Службени гласник РС</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број 27/22) којим су утврђени стандарди за самовредновање и спољашње вредновање квалитета рада ЈПОА, док је поступак спровођења спољашњег вредновања дефинисан Правилником о спољашњем вредновању квалитета рада ЈПОА који је донела АзК. У складу са донетим Правилником, квалитет рада ЈПОА се вреднује у три области: управљање системом квалитета на нивоу ЈПОА; програм и процес учења и постигнућа полазника/кандидата и подршка полазницима/ кандидатима у каријерном и личном развоју.</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Како је 2020. године, НОКС повезан са Европским оквиром квалификација измене и допуне реализоване су и у Правилнику о врсти, називу и садржају образаца и начину вођења евиденција и називу, садржају и изгледу образаца јавних исправа и уверења у образовању одраслих (,,Службени гласник РС</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бр. 89/15, 102/15 и 102/22) на начин да јавна исправа (сертификат) садржи и податке о квалификацији која се стиче завршетком програма укључујући и ниво НОКС и ниво ЕОК. На тај начин унапређена је транспарентност и упоредивост квалификација које се стичу у систему образовања одраслих са квалификацијама из других европских земаља.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Узимајући у обзир да усвајање наведених подзаконских аката као и примена Правилника о ближим условима у погледу програма, кадра, простора, опреме и наставних средстава за стицање статуса јавно признатог организатора активности образовања одраслих (,,Службени гласник РС</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број 130/21) који је усвојен крајем 2021. године, предвиђа одређена унапређивања аката који се односи на вођење андрагошке документације за наредну годину, планирана је и измена акта којим је то дефинисано. Посебна пажња биће посвећена праћењу имплементације усвојених подзаконских аката, те предлагању њиховог унапређивања у складу са резултатима мониторинга.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Када је реч о области стручног усавршавања запослених у јавној управи у претходном периоду спроведене су ex-post анализе постојећих прописа (закона и подзаконских аката) који регулишу ту област. Након тога уследиће ex-ante анализа за нове прописе који уређују ову област. Планиран је даљи рад на унапређењу истраживачко-аналитичке функције НАЈУ као и постављање основа за успостављањем функције НАЈУ у вези са управљањем квалитетом стручног усавршавања у јавној управи, а што је и предвиђено Акционим планом Стратегије реформе јавне управе.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Такође, очекује се успостављање и развој комерцијалне функције НАЈУ за шта је потребно и успостављање адекватног нормативног оквира сходно одредби Закона о Националној академији за јавну управу која се односи на доношење подзаконског акта од стране Владе Републике Србије у вези са одређивањем тарифе за услуге стручног усавршавања и обављања других стручних послова за потребе корисника који нису корисници средстава буџета Републике Србије, као и за кориснике ван система јавне управе.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наредној години Привредна комора Србије ће радити и на иницијативи за ослобађање од ПДВ када привредно друштво врши промет услуга образовања одраслих у оквиру обављања делатност и осталог образовања.</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b/>
          <w:noProof w:val="0"/>
          <w:color w:val="000000"/>
          <w:sz w:val="22"/>
          <w:szCs w:val="22"/>
          <w:lang w:val="en-US"/>
        </w:rPr>
        <w:t>2. Даљи развој НОКС-а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протеклој години настављен је рад на имплементацији система НОКС као снажна подршка систему образовања одраслих. Развијани су стандарди квалификација као полазна основа за развој Програма обуке као и за спровођење поступка ППУ. До сада је у Регистар НОКС унето 83 стандарда квалификација. У наредном периоду планирано је даље осавремењивање/развој стандарда квалификација као и развој система континуираног праћења ефеката примене квалификација на запошљавање и целоживотно учење.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Узимајући у обзир да су у постојећи систем НОКС укључене образовне квалификације у току наредне године, планирано је сагледавање могућности за успостављање флексибилнијег и свеобухватнијег система НОКС у који би биле интегрисане и парцијалне квалификације, односно квалификације за запошљавање.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наредном периоду посебна пажња ће бити посвећена успостављању нових функционалности Јединственог информационог система просвете (у дањем тексту: ЈИСП), процесу дигитализације поступка подношења иницијативе и развој стандарда квалификације, процесу визуелизацији података из ЈИСП и Регистра НОКС, превођењу укупног садржаја Регистра НОКС на енглески језик као и повезивању Регистра НОКС са европским порталом квалификација.</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b/>
          <w:noProof w:val="0"/>
          <w:color w:val="000000"/>
          <w:sz w:val="22"/>
          <w:szCs w:val="22"/>
          <w:lang w:val="en-US"/>
        </w:rPr>
        <w:t>3. Развој система за признавање претходног учења и промоција целоживотног учења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Признавање претходног учења је активност образовања одраслих која се остварује проценом знања, вештина и способности стечених образовањем, животним или радним искуством и омогућава даље учење и повећање конкурентности на тржишту рада.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Са аспекта појединца, ППУ од значаја је јер: омогућава брже стицање одређене квалификације; олакшава интеграцију на тржиште рада и отвара могућности за развој каријере, има позитиван утицај на мотивацију, самопоштовање лица и квалитетнију социјалну интеракцију. Из угла послодавца, ППУ од значаја је јер: омогућава ефикаснију употребу/примену вештина које радна снага већ поседује, без додатних улагања; омогућава да се идентификују празнине у вештинама, пружајући чврсту основу за анализу потреба за обуком и планирање каријере које је у функцији развоја привредног субјекта; негује културу учења, гради самопоуздање за даље образовање и обуку и мотивише запослене.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току 2022. године, настављена је имплементација поступка ППУ, тако што је уз подршку Немачке организације за међународну сарадњу (ГИЗ) у оквиру пројекта DECIDE шест средњих стручних школа започело поступак акредитације за поступак ППУ. У наредном периоду планирана је реализација активности на даљем развоју концепта ППУ, на унапређивању мреже ЈПОА у складу са потребама тржишта рада и одраслих, на пружању подршке установама у поступку акредитације и стицању статуса ЈПОА, на оснаживању ЗУОВ-а, за пружање подршке за примену методологије оцењивања компетенција у поступку ППУ и изради инструмената, на обучавању кадра укљученог у поступак ППУ, промоцији концепта ППУ као и на праћењу и унапређивању система осигурања квалитета поступка ППУ.</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b/>
          <w:noProof w:val="0"/>
          <w:color w:val="000000"/>
          <w:sz w:val="22"/>
          <w:szCs w:val="22"/>
          <w:lang w:val="en-US"/>
        </w:rPr>
        <w:t>4. Развој система каријерног вођења и саветовања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Каријерно вођење и саветовање саставни је део континуираног професионалног развоја појединца, односно процеса целоживотног учења и у функцији је обезбеђивања на потребама засноване квалитетне радне снаге. У претходном периоду, учињен је значајан помак у унапређењу система КВиС. Услуге КВиС доминантно су развијене у три кључне области: образовање, запошљавање и млади</w:t>
      </w:r>
      <w:r w:rsidRPr="001F0BAB">
        <w:rPr>
          <w:rFonts w:ascii="Arial" w:hAnsi="Arial" w:cs="Arial"/>
          <w:b/>
          <w:noProof w:val="0"/>
          <w:color w:val="000000"/>
          <w:sz w:val="22"/>
          <w:szCs w:val="22"/>
          <w:lang w:val="en-US"/>
        </w:rPr>
        <w:t>.</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претходном периоду, уз подршку НИРАС пројекта, унапређен је поступак акредитације програма КВиС, као активности образовања одраслих. Уз подршку Европске тренинг фондације припремљена је студија која приказује стање система подршке каријерном развоју у Републици Србији. Тренутно експерти припремају студију која се односи на имплементацију услуге КВиС, укључујући и примену стандарда КВиС дефинисаних подзаконским актом и то у сва три сектора: образовање, запошљавање и млади. Резултат студије даће полазну основу за развијање система прикупљања података и континуираног праћења и унапређивања услуге КвиС.</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току наредне године планирано је успостављање система сертификације каријерних практичара кроз поступак ППУ као и кроз систем образовања/ обучавања. То ће допринети унапређивању капацитета и осигурање квалитета компетенција каријерних практичара као и ширење мреже компетентних каријерних практичара, ради пуне имплементације стандарда услуга КВиС, те унапређивање квалитета активности КВиС. Посебна пажња биће посвећена развоју дигиталног система за праћење имплементације услуга КВиС и праћење примене стандарда КВиС, као и развоју инструмената и алата за КВиС, те обучавању координатора тимова за КВиС за дуално образовање у вези са процедурама прописаним законом и подзаконским актима. Унапређивање квалитета и транспарентности услуга КВиС, као и доступности услуга дигиталним путем, од посебног је значаја за квалитетну имплементацију Програма Гаранције за младе, посебно за категорију младих који су најрањивији на тржишту рада.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Када је у питању КВиС које спроводе каријерни практичари у НСЗ реализује се информисање и саветовање о могућностима за развој каријере, тренинг самоефикасности, радионица за превладавање стреса услед губитка посла, а од недавно и пилот радионица</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w:t>
      </w:r>
      <w:r w:rsidRPr="001F0BAB">
        <w:rPr>
          <w:rFonts w:ascii="Arial" w:hAnsi="Arial" w:cs="Arial"/>
          <w:i/>
          <w:noProof w:val="0"/>
          <w:color w:val="000000"/>
          <w:sz w:val="22"/>
          <w:szCs w:val="22"/>
          <w:lang w:val="en-US"/>
        </w:rPr>
        <w:t>Психолошки изазови предузетништва</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која се спроводи са лицима која су заинтересована за покретање сопствене делатности, али се осећају несигурно, немају довољно поверења у своје компетенције и очекују подршку и по питању одлуке да ли да се упусте у покретање сопственог посла. Планирани обухват за 2023. годину, је 10.000 лица за </w:t>
      </w:r>
      <w:r w:rsidRPr="001F0BAB">
        <w:rPr>
          <w:rFonts w:ascii="Arial" w:hAnsi="Arial" w:cs="Arial"/>
          <w:i/>
          <w:noProof w:val="0"/>
          <w:color w:val="000000"/>
          <w:sz w:val="22"/>
          <w:szCs w:val="22"/>
          <w:lang w:val="en-US"/>
        </w:rPr>
        <w:t>саветовање о могућностима за развој каријере</w:t>
      </w:r>
      <w:r w:rsidRPr="001F0BAB">
        <w:rPr>
          <w:rFonts w:ascii="Arial" w:hAnsi="Arial" w:cs="Arial"/>
          <w:noProof w:val="0"/>
          <w:color w:val="000000"/>
          <w:sz w:val="22"/>
          <w:szCs w:val="22"/>
          <w:lang w:val="en-US"/>
        </w:rPr>
        <w:t xml:space="preserve">, 6.000 лица за </w:t>
      </w:r>
      <w:r w:rsidRPr="001F0BAB">
        <w:rPr>
          <w:rFonts w:ascii="Arial" w:hAnsi="Arial" w:cs="Arial"/>
          <w:i/>
          <w:noProof w:val="0"/>
          <w:color w:val="000000"/>
          <w:sz w:val="22"/>
          <w:szCs w:val="22"/>
          <w:lang w:val="en-US"/>
        </w:rPr>
        <w:t xml:space="preserve">информисање о могућностима за развој каријере (непосредно информисање у Центру за информисање и професионално саветовање </w:t>
      </w:r>
      <w:r>
        <w:rPr>
          <w:rFonts w:ascii="Arial" w:hAnsi="Arial" w:cs="Arial"/>
          <w:i/>
          <w:noProof w:val="0"/>
          <w:color w:val="000000"/>
          <w:sz w:val="22"/>
          <w:szCs w:val="22"/>
          <w:lang w:val="en-US"/>
        </w:rPr>
        <w:t>-</w:t>
      </w:r>
      <w:r w:rsidRPr="001F0BAB">
        <w:rPr>
          <w:rFonts w:ascii="Arial" w:hAnsi="Arial" w:cs="Arial"/>
          <w:i/>
          <w:noProof w:val="0"/>
          <w:color w:val="000000"/>
          <w:sz w:val="22"/>
          <w:szCs w:val="22"/>
          <w:lang w:val="en-US"/>
        </w:rPr>
        <w:t xml:space="preserve"> ЦИПС)</w:t>
      </w:r>
      <w:r w:rsidRPr="001F0BAB">
        <w:rPr>
          <w:rFonts w:ascii="Arial" w:hAnsi="Arial" w:cs="Arial"/>
          <w:noProof w:val="0"/>
          <w:color w:val="000000"/>
          <w:sz w:val="22"/>
          <w:szCs w:val="22"/>
          <w:lang w:val="en-US"/>
        </w:rPr>
        <w:t xml:space="preserve">, 2.800 лица за </w:t>
      </w:r>
      <w:r w:rsidRPr="001F0BAB">
        <w:rPr>
          <w:rFonts w:ascii="Arial" w:hAnsi="Arial" w:cs="Arial"/>
          <w:i/>
          <w:noProof w:val="0"/>
          <w:color w:val="000000"/>
          <w:sz w:val="22"/>
          <w:szCs w:val="22"/>
          <w:lang w:val="en-US"/>
        </w:rPr>
        <w:t>тренинг самоефикасности</w:t>
      </w:r>
      <w:r w:rsidRPr="001F0BAB">
        <w:rPr>
          <w:rFonts w:ascii="Arial" w:hAnsi="Arial" w:cs="Arial"/>
          <w:noProof w:val="0"/>
          <w:color w:val="000000"/>
          <w:sz w:val="22"/>
          <w:szCs w:val="22"/>
          <w:lang w:val="en-US"/>
        </w:rPr>
        <w:t xml:space="preserve"> и 900 лица за </w:t>
      </w:r>
      <w:r w:rsidRPr="001F0BAB">
        <w:rPr>
          <w:rFonts w:ascii="Arial" w:hAnsi="Arial" w:cs="Arial"/>
          <w:i/>
          <w:noProof w:val="0"/>
          <w:color w:val="000000"/>
          <w:sz w:val="22"/>
          <w:szCs w:val="22"/>
          <w:lang w:val="en-US"/>
        </w:rPr>
        <w:t>радионицу за превладавање стреса услед губитка посла</w:t>
      </w:r>
      <w:r w:rsidRPr="001F0BAB">
        <w:rPr>
          <w:rFonts w:ascii="Arial" w:hAnsi="Arial" w:cs="Arial"/>
          <w:noProof w:val="0"/>
          <w:color w:val="000000"/>
          <w:sz w:val="22"/>
          <w:szCs w:val="22"/>
          <w:lang w:val="en-US"/>
        </w:rPr>
        <w:t>.</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Саветници за запошљавање реализују активности и са незапосленим лицима које се могу подвести под КВиС, као што су обуке за активно тражење посла (обука за активно тражење посла за квалификована лица, мотивационо-активациона обука за лица без квалификација и нискоквалификована лица), клуб за тражење посла, али и саветовање при запошљавању и упућивање на посао. Међутим, у времену интензивиране и променљиве потражње за радом, нису више незапослена лица примарни корисници предности услуга КВиС, односно постаје све релевантније за запослене, како у смислу одржања запослења, тако и промене посла.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i/>
          <w:noProof w:val="0"/>
          <w:color w:val="000000"/>
          <w:sz w:val="22"/>
          <w:szCs w:val="22"/>
          <w:lang w:val="en-US"/>
        </w:rPr>
        <w:t>Фондација Темпус</w:t>
      </w:r>
      <w:r w:rsidRPr="001F0BAB">
        <w:rPr>
          <w:rFonts w:ascii="Arial" w:hAnsi="Arial" w:cs="Arial"/>
          <w:noProof w:val="0"/>
          <w:color w:val="000000"/>
          <w:sz w:val="22"/>
          <w:szCs w:val="22"/>
          <w:lang w:val="en-US"/>
        </w:rPr>
        <w:t xml:space="preserve"> у 2023. години, има у плану спровођење различитих активности које имају за циљ подршку и унапређење активности КВиС и то: имплементација и промовисање Правилника о стандардима услуга каријерног вођења и саветовања кроз публиковање материјала и вести на сајту </w:t>
      </w:r>
      <w:r w:rsidRPr="001F0BAB">
        <w:rPr>
          <w:rFonts w:ascii="Arial" w:hAnsi="Arial" w:cs="Arial"/>
          <w:i/>
          <w:noProof w:val="0"/>
          <w:color w:val="000000"/>
          <w:sz w:val="22"/>
          <w:szCs w:val="22"/>
          <w:lang w:val="en-US"/>
        </w:rPr>
        <w:t>Euroguidance</w:t>
      </w:r>
      <w:r w:rsidRPr="001F0BAB">
        <w:rPr>
          <w:rFonts w:ascii="Arial" w:hAnsi="Arial" w:cs="Arial"/>
          <w:noProof w:val="0"/>
          <w:color w:val="000000"/>
          <w:sz w:val="22"/>
          <w:szCs w:val="22"/>
          <w:lang w:val="en-US"/>
        </w:rPr>
        <w:t xml:space="preserve"> центра и мреже као и кроз догађаје у организацији </w:t>
      </w:r>
      <w:r w:rsidRPr="001F0BAB">
        <w:rPr>
          <w:rFonts w:ascii="Arial" w:hAnsi="Arial" w:cs="Arial"/>
          <w:i/>
          <w:noProof w:val="0"/>
          <w:color w:val="000000"/>
          <w:sz w:val="22"/>
          <w:szCs w:val="22"/>
          <w:lang w:val="en-US"/>
        </w:rPr>
        <w:t>Euroguidance</w:t>
      </w:r>
      <w:r w:rsidRPr="001F0BAB">
        <w:rPr>
          <w:rFonts w:ascii="Arial" w:hAnsi="Arial" w:cs="Arial"/>
          <w:noProof w:val="0"/>
          <w:color w:val="000000"/>
          <w:sz w:val="22"/>
          <w:szCs w:val="22"/>
          <w:lang w:val="en-US"/>
        </w:rPr>
        <w:t xml:space="preserve"> центра;</w:t>
      </w:r>
      <w:r>
        <w:rPr>
          <w:rFonts w:ascii="Arial" w:hAnsi="Arial" w:cs="Arial"/>
          <w:noProof w:val="0"/>
          <w:color w:val="000000"/>
          <w:sz w:val="22"/>
          <w:szCs w:val="22"/>
          <w:lang w:val="en-US"/>
        </w:rPr>
        <w:t xml:space="preserve"> </w:t>
      </w:r>
      <w:r w:rsidRPr="001F0BAB">
        <w:rPr>
          <w:rFonts w:ascii="Arial" w:hAnsi="Arial" w:cs="Arial"/>
          <w:noProof w:val="0"/>
          <w:color w:val="000000"/>
          <w:sz w:val="22"/>
          <w:szCs w:val="22"/>
          <w:lang w:val="en-US"/>
        </w:rPr>
        <w:t xml:space="preserve">препознавање и промовисање добрих пракси у области каријерног вођења које образовне институције и организације у Републици Србији већ спроводе, а које су у складу са Стандардима КВиС кроз организацију годишњег </w:t>
      </w:r>
      <w:r w:rsidRPr="001F0BAB">
        <w:rPr>
          <w:rFonts w:ascii="Arial" w:hAnsi="Arial" w:cs="Arial"/>
          <w:i/>
          <w:noProof w:val="0"/>
          <w:color w:val="000000"/>
          <w:sz w:val="22"/>
          <w:szCs w:val="22"/>
          <w:lang w:val="en-US"/>
        </w:rPr>
        <w:t>Euroguidance</w:t>
      </w:r>
      <w:r w:rsidRPr="001F0BAB">
        <w:rPr>
          <w:rFonts w:ascii="Arial" w:hAnsi="Arial" w:cs="Arial"/>
          <w:noProof w:val="0"/>
          <w:color w:val="000000"/>
          <w:sz w:val="22"/>
          <w:szCs w:val="22"/>
          <w:lang w:val="en-US"/>
        </w:rPr>
        <w:t xml:space="preserve"> такмичења добрих пракси.</w:t>
      </w:r>
      <w:r>
        <w:rPr>
          <w:rFonts w:ascii="Arial" w:hAnsi="Arial" w:cs="Arial"/>
          <w:noProof w:val="0"/>
          <w:color w:val="000000"/>
          <w:sz w:val="22"/>
          <w:szCs w:val="22"/>
          <w:lang w:val="en-US"/>
        </w:rPr>
        <w:t xml:space="preserve"> </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Кључне активности које се планирају у 2023. години, су следеће: спровођење обука о КВиС за запослене у области образовања одраслих као подршке имплементацији квалитетнијих услуга КВиС;</w:t>
      </w:r>
      <w:r>
        <w:rPr>
          <w:rFonts w:ascii="Arial" w:hAnsi="Arial" w:cs="Arial"/>
          <w:noProof w:val="0"/>
          <w:color w:val="000000"/>
          <w:sz w:val="22"/>
          <w:szCs w:val="22"/>
          <w:lang w:val="en-US"/>
        </w:rPr>
        <w:t xml:space="preserve"> </w:t>
      </w:r>
      <w:r w:rsidRPr="001F0BAB">
        <w:rPr>
          <w:rFonts w:ascii="Arial" w:hAnsi="Arial" w:cs="Arial"/>
          <w:noProof w:val="0"/>
          <w:color w:val="000000"/>
          <w:sz w:val="22"/>
          <w:szCs w:val="22"/>
          <w:lang w:val="en-US"/>
        </w:rPr>
        <w:t xml:space="preserve">спровођење конкурса за допуњено издање Приручника и базе активности КВиС са примерима активности који се могу реализовати са ученицима и полазницима образовних програма; пружање подршке информисању каријерних практичара о новостима и иницијативама ради унапређења активности КВиС путем редовних месечних електронских билтена и годишње публикације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Каријера и Мобилност</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повезивање и пружање прилике за умрежавање каријерних практичара из различитих установа и организација на националном и интернационалном нивоу кроз организацију семинара, студијских посета, конференција и других догађаја и активности.</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b/>
          <w:noProof w:val="0"/>
          <w:color w:val="000000"/>
          <w:sz w:val="22"/>
          <w:szCs w:val="22"/>
          <w:lang w:val="en-US"/>
        </w:rPr>
        <w:t>5. Унапређивање Подрегистра ЈПОА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складу са Законом о НОКС и Правилником о садржају и начину вођења Регистра НОКС (,,Службени гласник РС</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бр. 159/20 и 46/22) успостављен је Регистар НОКС и у оквиру њега Подрегистар ЈПОА са послодавцима код којих се организује практична настава. У Подрегистру ЈПОА унети су сви до сада акредитовани програми обука и сходно томе представља релевантну базу понуде обучавања одраслих.</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Узимајући у обзир да је у последњем кварталу 2021. године, унапређен поступак акредитације програма и стицање статуса ЈПОА, за наредну годину планирано је унапређивање функционалности Подрегистра ЈПОА, при чему ће посебна пажња бити посвећена дигитализацији поступка акредитације и стицању статуса ЈПОА.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Такође, у текућој години започет је поступак превођења садржаја Регистра НОКС као и његово повезивање са европским порталом квалификација, тако да се очекује да до краја 2023. године, укупан садржај Подрегистра ЈПОА буде преведен на енглески језик као и да квалификације које се стичу у систему неформалног образовања или кроз поступак ППУ, буду видљиве и упоредиве на европском порталу квалификација. Са успостављањем ЈИСП и Регистра НОКС започет је унос података о ЈПОА, о програмима и послодавцима код којих се реализује практична настава. У току 2023. године, очекује се унос свих података о акредитованим програмима у Подрегистар ЈПОА. Министарство просвете је доставило АзК у електронском облику комплетну документацију за упис у Подрегистар 245 акредитованих програма. Такође, посебна пажња у 2023. години, биће посвећена информисању ЈПОА о начину уноса података о полазницима и кандидатима у оквиру ЈИСП.</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b/>
          <w:noProof w:val="0"/>
          <w:color w:val="000000"/>
          <w:sz w:val="22"/>
          <w:szCs w:val="22"/>
          <w:lang w:val="en-US"/>
        </w:rPr>
        <w:t>6. Развој мреже установа и организација за реализацију активности образовања одраслих</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наредној години планирају се активности на проширењу мреже установа и организација за реализацију програма и активности образовања одраслих. Планирана је верификација издвојених одељења редовних основних школа у установама за извршење кривичних санкција као и сагледавање могућности о верификацији издвојених одељења средњих стручних школа, за одређене образовне профиле, у установама за извршење кривичних санкција.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Налази Извештаја Европске Комисије о напретку Републике Србије у 2021. години, су указали да, упркос одређеном напретку, квалитет, правичност и релевантност образовања и обучавања не задовољавају у потпуности потребе тржишта рада. У области неформалног образовања тренутно постоји велики број пружалаца услуга образовања одраслих различитих профила и са различитим нивоима капацитета за примену релевантних стандарда и прописа. Веома је мало пружаоца стандардизованих услуга неформалног образовања које воде до стицања квалификација. У претходном периоду припремљен је трогодишњи ИПА пројекат и у 2023. години, се очекује отпочињање његове реализације, а чији је главни циљ обезбеђивање услова за повећање понуде и диверсификацију акредитованих неформалних програма обуке и пружаоца услуга обука за одрасле.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циљу повећања ефикасности система образовања одраслих у наредном периоду очекује се даља реализација дефинисаних активности на успостављању националних ресурсних центара компетенција за целоживотно учење у средњим стручним школама. Велики део активности биће усмерен на успостављање статуса ЈПОА у тим школама за релевантне програме како би одговориле на различите потребе одраслих и привреде.</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b/>
          <w:noProof w:val="0"/>
          <w:color w:val="000000"/>
          <w:sz w:val="22"/>
          <w:szCs w:val="22"/>
          <w:lang w:val="en-US"/>
        </w:rPr>
        <w:t>7. Унапређивање компетенција кадра ангажованог у активностима образовања одраслих</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Имплементација програма основног образовања одраслих по моделу ФООО захтева посебну обуку кадра ангажованог на његовом спровођењу.</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У 64 основне школе, које планирају реализацију програма ФООО у школској 2022/23. години, за око 5.500 полазника, учествује </w:t>
      </w:r>
      <w:r w:rsidRPr="001F0BAB">
        <w:rPr>
          <w:rFonts w:ascii="Arial" w:hAnsi="Arial" w:cs="Arial"/>
          <w:b/>
          <w:noProof w:val="0"/>
          <w:color w:val="000000"/>
          <w:sz w:val="22"/>
          <w:szCs w:val="22"/>
          <w:lang w:val="en-US"/>
        </w:rPr>
        <w:t>841</w:t>
      </w:r>
      <w:r w:rsidRPr="001F0BAB">
        <w:rPr>
          <w:rFonts w:ascii="Arial" w:hAnsi="Arial" w:cs="Arial"/>
          <w:noProof w:val="0"/>
          <w:color w:val="000000"/>
          <w:sz w:val="22"/>
          <w:szCs w:val="22"/>
          <w:lang w:val="en-US"/>
        </w:rPr>
        <w:t xml:space="preserve"> наставник. Стручно усавршавање за реализацију програма ФООО у 2023. години, планирано је за </w:t>
      </w:r>
      <w:r w:rsidRPr="001F0BAB">
        <w:rPr>
          <w:rFonts w:ascii="Arial" w:hAnsi="Arial" w:cs="Arial"/>
          <w:b/>
          <w:noProof w:val="0"/>
          <w:color w:val="000000"/>
          <w:sz w:val="22"/>
          <w:szCs w:val="22"/>
          <w:lang w:val="en-US"/>
        </w:rPr>
        <w:t>402</w:t>
      </w:r>
      <w:r w:rsidRPr="001F0BAB">
        <w:rPr>
          <w:rFonts w:ascii="Arial" w:hAnsi="Arial" w:cs="Arial"/>
          <w:noProof w:val="0"/>
          <w:color w:val="000000"/>
          <w:sz w:val="22"/>
          <w:szCs w:val="22"/>
          <w:lang w:val="en-US"/>
        </w:rPr>
        <w:t xml:space="preserve"> наставника за Модул 1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основне андрагошке вештине. За Модул 2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обука за имплементацију појединачних предмета у програму ФООО планирана је обука за </w:t>
      </w:r>
      <w:r w:rsidRPr="001F0BAB">
        <w:rPr>
          <w:rFonts w:ascii="Arial" w:hAnsi="Arial" w:cs="Arial"/>
          <w:b/>
          <w:noProof w:val="0"/>
          <w:color w:val="000000"/>
          <w:sz w:val="22"/>
          <w:szCs w:val="22"/>
          <w:lang w:val="en-US"/>
        </w:rPr>
        <w:t>906</w:t>
      </w:r>
      <w:r w:rsidRPr="001F0BAB">
        <w:rPr>
          <w:rFonts w:ascii="Arial" w:hAnsi="Arial" w:cs="Arial"/>
          <w:noProof w:val="0"/>
          <w:color w:val="000000"/>
          <w:sz w:val="22"/>
          <w:szCs w:val="22"/>
          <w:lang w:val="en-US"/>
        </w:rPr>
        <w:t xml:space="preserve"> наставника. Модул 3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обука андрагошких асистената, у 2023. години, потребно је спровести за </w:t>
      </w:r>
      <w:r w:rsidRPr="001F0BAB">
        <w:rPr>
          <w:rFonts w:ascii="Arial" w:hAnsi="Arial" w:cs="Arial"/>
          <w:b/>
          <w:noProof w:val="0"/>
          <w:color w:val="000000"/>
          <w:sz w:val="22"/>
          <w:szCs w:val="22"/>
          <w:lang w:val="en-US"/>
        </w:rPr>
        <w:t>50</w:t>
      </w:r>
      <w:r w:rsidRPr="001F0BAB">
        <w:rPr>
          <w:rFonts w:ascii="Arial" w:hAnsi="Arial" w:cs="Arial"/>
          <w:noProof w:val="0"/>
          <w:color w:val="000000"/>
          <w:sz w:val="22"/>
          <w:szCs w:val="22"/>
          <w:lang w:val="en-US"/>
        </w:rPr>
        <w:t xml:space="preserve"> андрагошких асистената. У протеклом периоду </w:t>
      </w:r>
      <w:r w:rsidRPr="001F0BAB">
        <w:rPr>
          <w:rFonts w:ascii="Arial" w:hAnsi="Arial" w:cs="Arial"/>
          <w:b/>
          <w:noProof w:val="0"/>
          <w:color w:val="000000"/>
          <w:sz w:val="22"/>
          <w:szCs w:val="22"/>
          <w:lang w:val="en-US"/>
        </w:rPr>
        <w:t>490</w:t>
      </w:r>
      <w:r w:rsidRPr="001F0BAB">
        <w:rPr>
          <w:rFonts w:ascii="Arial" w:hAnsi="Arial" w:cs="Arial"/>
          <w:noProof w:val="0"/>
          <w:color w:val="000000"/>
          <w:sz w:val="22"/>
          <w:szCs w:val="22"/>
          <w:lang w:val="en-US"/>
        </w:rPr>
        <w:t xml:space="preserve"> наставника је већ унапредило своје компетенције за имплементацију програма за ФООО и за рад са одраслима. Када говоримо о андрагошким асистентима, њих </w:t>
      </w:r>
      <w:r w:rsidRPr="001F0BAB">
        <w:rPr>
          <w:rFonts w:ascii="Arial" w:hAnsi="Arial" w:cs="Arial"/>
          <w:b/>
          <w:noProof w:val="0"/>
          <w:color w:val="000000"/>
          <w:sz w:val="22"/>
          <w:szCs w:val="22"/>
          <w:lang w:val="en-US"/>
        </w:rPr>
        <w:t>26</w:t>
      </w:r>
      <w:r w:rsidRPr="001F0BAB">
        <w:rPr>
          <w:rFonts w:ascii="Arial" w:hAnsi="Arial" w:cs="Arial"/>
          <w:noProof w:val="0"/>
          <w:color w:val="000000"/>
          <w:sz w:val="22"/>
          <w:szCs w:val="22"/>
          <w:lang w:val="en-US"/>
        </w:rPr>
        <w:t xml:space="preserve"> је већ обучено на прописани начин, док је за </w:t>
      </w:r>
      <w:r w:rsidRPr="001F0BAB">
        <w:rPr>
          <w:rFonts w:ascii="Arial" w:hAnsi="Arial" w:cs="Arial"/>
          <w:b/>
          <w:noProof w:val="0"/>
          <w:color w:val="000000"/>
          <w:sz w:val="22"/>
          <w:szCs w:val="22"/>
          <w:lang w:val="en-US"/>
        </w:rPr>
        <w:t>50</w:t>
      </w:r>
      <w:r w:rsidRPr="001F0BAB">
        <w:rPr>
          <w:rFonts w:ascii="Arial" w:hAnsi="Arial" w:cs="Arial"/>
          <w:noProof w:val="0"/>
          <w:color w:val="000000"/>
          <w:sz w:val="22"/>
          <w:szCs w:val="22"/>
          <w:lang w:val="en-US"/>
        </w:rPr>
        <w:t xml:space="preserve"> потребно организовати обуку. Очекујемо да ће се у школама након потребног обучавања наставника и андрагошких асистената, проценат осипања полазника смањити, да ће се квалитет реализације програма знатније повећати и да ће наставници имати трансфер стечених компетенција и на редовну наставу (дефинисање исхода, пројектна настава, дигиталне вештине, коришћење ЕПАЛЕ платформе у раду, процена напредовања, стратегије учења).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Образовне интервенције са наставницима у ФООО, које су у протеклом периоду реализоване, дале су запажене резултате.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Министарство просвете је у школској 2022/23. години, започело са реализацијом програма обука за наставнике којима недостају основне андрагошке вештине за рад у програму функционалног основног образовања одраслих.</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Планирана подршка унапређења компетенција наставног и стручног кадра, односно спровођења обука, као и већ остварена подршка за унапређивање компетенцијa наставног и стручног кадра у области функционалног основног образовања одраслих дати су у </w:t>
      </w:r>
      <w:r w:rsidRPr="001F0BAB">
        <w:rPr>
          <w:rFonts w:ascii="Arial" w:hAnsi="Arial" w:cs="Arial"/>
          <w:b/>
          <w:noProof w:val="0"/>
          <w:color w:val="000000"/>
          <w:sz w:val="22"/>
          <w:szCs w:val="22"/>
          <w:lang w:val="en-US"/>
        </w:rPr>
        <w:t>Прилогу број 7.</w:t>
      </w:r>
      <w:r w:rsidRPr="001F0BAB">
        <w:rPr>
          <w:rFonts w:ascii="Arial" w:hAnsi="Arial" w:cs="Arial"/>
          <w:noProof w:val="0"/>
          <w:color w:val="000000"/>
          <w:sz w:val="22"/>
          <w:szCs w:val="22"/>
          <w:lang w:val="en-US"/>
        </w:rPr>
        <w:t xml:space="preserve"> који је одштампан уз ГПОО за 2023. годину, и чини његов саставни део.</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циљу осигурања квалитета неформалног образовања одраслих законским и подзаконским актима прописани су услови у погледу кадра за остваривање активности образовања одраслих, међу којим су услови у погледу експертизе у области програма и услови у погледу компетентности за образовни рад са одраслим. План за 2023. годину, је да се настави са континуираним стручним усавршавањем и стицањем андрагошких компетенција кадра ангажованог у активностима образовања одраслих у складу са важећим Правилником којим се дефинишу ближи услови у погледу програма, кадра, простора, опреме и наставних средстава за стицање статуса ЈПОА. Налази спроведених истраживања у претходном периоду указали су на потребу флексибилнијег приступа достизања андрагошких компетенција кадра и отварања више канала за њихово потврђивање. Новим Правилником о ближим условима у погледу програма, кадра, простора, опреме и наставних средстава за стицање статуса јавно признатог организатора активности образовања одраслих</w:t>
      </w:r>
      <w:r w:rsidRPr="001F0BAB">
        <w:rPr>
          <w:rFonts w:ascii="Arial" w:hAnsi="Arial" w:cs="Arial"/>
          <w:i/>
          <w:noProof w:val="0"/>
          <w:color w:val="000000"/>
          <w:sz w:val="22"/>
          <w:szCs w:val="22"/>
          <w:lang w:val="en-US"/>
        </w:rPr>
        <w:t>,</w:t>
      </w:r>
      <w:r w:rsidRPr="001F0BAB">
        <w:rPr>
          <w:rFonts w:ascii="Arial" w:hAnsi="Arial" w:cs="Arial"/>
          <w:noProof w:val="0"/>
          <w:color w:val="000000"/>
          <w:sz w:val="22"/>
          <w:szCs w:val="22"/>
          <w:lang w:val="en-US"/>
        </w:rPr>
        <w:t xml:space="preserve"> (,,</w:t>
      </w:r>
      <w:r w:rsidRPr="001F0BAB">
        <w:rPr>
          <w:rFonts w:ascii="Arial" w:hAnsi="Arial" w:cs="Arial"/>
          <w:i/>
          <w:noProof w:val="0"/>
          <w:color w:val="000000"/>
          <w:sz w:val="22"/>
          <w:szCs w:val="22"/>
          <w:lang w:val="en-US"/>
        </w:rPr>
        <w:t>Службени гласник РС</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w:t>
      </w:r>
      <w:r w:rsidRPr="001F0BAB">
        <w:rPr>
          <w:rFonts w:ascii="Arial" w:hAnsi="Arial" w:cs="Arial"/>
          <w:i/>
          <w:noProof w:val="0"/>
          <w:color w:val="000000"/>
          <w:sz w:val="22"/>
          <w:szCs w:val="22"/>
          <w:lang w:val="en-US"/>
        </w:rPr>
        <w:t>број 130 од 29. децембра 2021</w:t>
      </w:r>
      <w:r w:rsidRPr="001F0BAB">
        <w:rPr>
          <w:rFonts w:ascii="Arial" w:hAnsi="Arial" w:cs="Arial"/>
          <w:noProof w:val="0"/>
          <w:color w:val="000000"/>
          <w:sz w:val="22"/>
          <w:szCs w:val="22"/>
          <w:lang w:val="en-US"/>
        </w:rPr>
        <w:t xml:space="preserve">), андрагошке компетенције, кадар ангажован код ЈПОА, поред похађања акредитованих програма код ЗУОВ-а, може да стекне и на одговарајућем програму за стицање андрагошких компетенција који у оквиру целоживотног учења реализује високошколска установа акредитована за студијске програме у области андрагогије или кроз обуку коју спроводи стручни сарадник андрагог код ЈПОА. У подзаконском акту дат је и оквир за развој програма обуке за стицање пет андрагошких компетенција: </w:t>
      </w:r>
      <w:r w:rsidRPr="001F0BAB">
        <w:rPr>
          <w:rFonts w:ascii="Arial" w:hAnsi="Arial" w:cs="Arial"/>
          <w:i/>
          <w:noProof w:val="0"/>
          <w:color w:val="000000"/>
          <w:sz w:val="22"/>
          <w:szCs w:val="22"/>
          <w:lang w:val="en-US"/>
        </w:rPr>
        <w:t>Планирање и извођење активности учења одраслих; Подстицање одраслих на учење; Методе и технике у образовању одраслих; Комуникација и групна динамика у образовању и учењу одраслих и оцењивање постигнућа</w:t>
      </w:r>
      <w:r w:rsidRPr="001F0BAB">
        <w:rPr>
          <w:rFonts w:ascii="Arial" w:hAnsi="Arial" w:cs="Arial"/>
          <w:noProof w:val="0"/>
          <w:color w:val="000000"/>
          <w:sz w:val="22"/>
          <w:szCs w:val="22"/>
          <w:lang w:val="en-US"/>
        </w:rPr>
        <w:t>, као и листа исхода учења за сваку компетенцију, препоручени садржаји и минимално трајање обуке (50 часова укупно, односно за сваку андрагошку компетенцију минимум 10 часова програма обуке). У ситуацији када за кадар ЈПОА стручни сарадник андрагог спроводи обуку за стицање андрагошких компетенција, ЈПОА је у обавези да обавештава Агенцију o датуму и месту одржавања те обуке, најкасније 10 дана пре извођења обуке. Поред наведених начина стицања, андрагошке компетенције се могу доказати и достављањем потврде о компетенцијама за рад са одраслима, издатој од стране високошколске установе акредитоване за студијске програме у области андрагогије, достављањем потврде струковног удружења андрагога или на основу мишљења високошколске установе акредитоване за студијске програме у области андрагогије, уз претпоставку да одговарајућа високошколска установа и струковно удружење андрагога, у оквиру стандардизованог поступка, могу да признају животним или радним искуством стечене компетенције за рад са одраслима, а у складу са Оквиром за развој програма обуке за стицање андрагошких компетенција.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У оквиру активности сталног стручног усавршавања кадра ангажованог код ЈПОА, а у складу са Правилником из 2015. године, закључно са 2022. годином, број обучених реализатора програма који су завршили обуку по модулима је: Модул 1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Основни принципи, карактеристике и стилови учења одраслих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511 лица; Модул 2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Мотивацијa у учењу одраслих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517 лица; Модул 3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Управљање образовном групом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537 лица; Модул 4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Методе и технике интерактивног образовног рада са одраслима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512 лица; Модул 5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Методе и технике процене постигнућа полазника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476 лица; Модул 6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Планирање, организацију и индивидуализацију образовног процеса укључујући и особе са инвалидитетом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459 лице; Модул 7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Евалуација образовног процеса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419 лица.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На основу прикупљених података, од стране 96 установа/организација ЈПОА, закључно са 2022. годином, програме стручног усавршавања по предвиђеним модулима завршило је 1.179 извођача програма (предавачи, тренери, водитељи, инструктори). Уочава се и значајно повећање броја обучених реализатора програма обука по модулима у текућој години у односу на претходне године.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Преглед обучености ангажованог кадра код ЈПОА у складу са прописима дат је у </w:t>
      </w:r>
      <w:r w:rsidRPr="001F0BAB">
        <w:rPr>
          <w:rFonts w:ascii="Arial" w:hAnsi="Arial" w:cs="Arial"/>
          <w:b/>
          <w:noProof w:val="0"/>
          <w:color w:val="000000"/>
          <w:sz w:val="22"/>
          <w:szCs w:val="22"/>
          <w:lang w:val="en-US"/>
        </w:rPr>
        <w:t>Прилогу број 8.</w:t>
      </w:r>
      <w:r w:rsidRPr="001F0BAB">
        <w:rPr>
          <w:rFonts w:ascii="Arial" w:hAnsi="Arial" w:cs="Arial"/>
          <w:noProof w:val="0"/>
          <w:color w:val="000000"/>
          <w:sz w:val="22"/>
          <w:szCs w:val="22"/>
          <w:lang w:val="en-US"/>
        </w:rPr>
        <w:t xml:space="preserve"> који је одштампан уз ГПОО за 2023. годину, и чини његов саставни део.</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НАЈУ ће и током 2023. године, посебну пажњу посветити унапређењу стандарда андрагошких компетенција тренера и пажња ће бити усмерена на примену развијених методолошких алата (алат за самопроцену тренерских компетенција, протокол за праћење рада тренера, индивидуални план развоја тренера, компетенцијски тест и други). Унапређени инструменти за процену тренерских компетенција примениће се током интерног конкурса за ангажовање тренера (оцену њиховог дизајна тренинга као и оцену симулације).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У 2023. години, се очекује спровођење обука за развој тренерских вештина које су део Општег програма обуке државних службеника за 2022. годину, односно део Општег програма обуке запослених у јединицама локалне самоуправе за 2022. годину. Тематску област чини базична петодневна обука Тренинг тренера као и низ дидактичко-методичних радионица у циљу јачања тренерских компетенција утврђених Оквиром компетенција тренера НАЈУ. НАЈУ ће уз подршку ГИЗ пројекта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Подршка реформи јавне управе</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 наредној години урадити смернице за успостављање и развој различитих мрежа стручњака у управи од којих је посебно значајна и мрежа тренера.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Значајан сегмент у активностима сталног усавршавања компетенција запосленог и радно ангажованог кадра у образовању одраслих јесте и учешће у догађајима различитог типа попут конференција, стручних скупова, акредитованих семинара и других обука у области образовања одраслих.</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Под окриљем највећег европског програма за подршку образовању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Еразмус+ функционише ЕПАЛЕ мрежа која представља заједницу практичара и професионалаца у образовању одраслих и као таква реализује активности подршке образовању одраслих у свим земљама чланицама мреже. На националном нивоу, платформом координира Национални тим за подршку који у Републици Србији функционише под окриљем Фондације Темпус. У оквиру редовних активности ове мреже у Републици Србији током 2023. године, планиран је велики број активности стручног усавршавања компетенција запосленог и радно ангажованог кадра у образовању одраслих као што је реализација акредитованих семинара на тему: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Припрема ученика за тржиште рада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самопроцена вештина и представљање послодавцима</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Каријерно информисање ученика и европски </w:t>
      </w:r>
      <w:r w:rsidRPr="001F0BAB">
        <w:rPr>
          <w:rFonts w:ascii="Arial" w:hAnsi="Arial" w:cs="Arial"/>
          <w:i/>
          <w:noProof w:val="0"/>
          <w:color w:val="000000"/>
          <w:sz w:val="22"/>
          <w:szCs w:val="22"/>
          <w:lang w:val="en-US"/>
        </w:rPr>
        <w:t>Europass</w:t>
      </w:r>
      <w:r w:rsidRPr="001F0BAB">
        <w:rPr>
          <w:rFonts w:ascii="Arial" w:hAnsi="Arial" w:cs="Arial"/>
          <w:noProof w:val="0"/>
          <w:color w:val="000000"/>
          <w:sz w:val="22"/>
          <w:szCs w:val="22"/>
          <w:lang w:val="en-US"/>
        </w:rPr>
        <w:t xml:space="preserve"> алати за представљање вештина и знања</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,Каријерно вођење и саветовање одраслих у услугама социјалне заштите</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Семинари на тему спровођења активности КВиС у школском систему; за укупно 330 учесника. У циљу повезивања и пружања прилика за умрежавање каријерних практичара из различитих установа и организација на националном и интернационалном нивоу, одржаће се Једанаеста национална конференција</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,Каријерно вођење и саветовање у Републици Србији и Европи</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Планирана је и ЕПАЛЕ национална конференција која има за циљ да окупи практичаре и професионалце у области образовања одраслих из Републике Србије и региона и да покрене дискусију на теме од значаја за образовање одраслих. Планирано је укључивање између 100 и 150 учесника.</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b/>
          <w:noProof w:val="0"/>
          <w:color w:val="000000"/>
          <w:sz w:val="22"/>
          <w:szCs w:val="22"/>
          <w:lang w:val="en-US"/>
        </w:rPr>
        <w:t>8. Осигурање квалитета у образовању одраслих</w:t>
      </w:r>
      <w:r>
        <w:rPr>
          <w:rFonts w:ascii="Arial" w:hAnsi="Arial" w:cs="Arial"/>
          <w:b/>
          <w:noProof w:val="0"/>
          <w:color w:val="000000"/>
          <w:sz w:val="22"/>
          <w:szCs w:val="22"/>
          <w:lang w:val="en-US"/>
        </w:rPr>
        <w:t>,</w:t>
      </w:r>
      <w:r w:rsidRPr="001F0BAB">
        <w:rPr>
          <w:rFonts w:ascii="Arial" w:hAnsi="Arial" w:cs="Arial"/>
          <w:b/>
          <w:noProof w:val="0"/>
          <w:color w:val="000000"/>
          <w:sz w:val="22"/>
          <w:szCs w:val="22"/>
          <w:lang w:val="en-US"/>
        </w:rPr>
        <w:t xml:space="preserve"> развој и имплементација стандарда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претходној години, припремљено је Упутство за развој програма обуке као и Водич за стицање статуса ЈПОА. Ради унапређивања система осигурања квалитета у систему образовања одраслих подзаконским актом су утврђени стандарди за самовредновање и спољашње вредновање квалитета рада ЈПОА. Ради њиховог једнообразног разумевања и пуне имплементације организоване су обуке за потребе запослених у Агенцији за квалификације, Министарству просвете, за чланове Комисија који ће учествовати у спољашњем вредновању квалитета рада ЈПОА као и за потребе ЈПОА. Такође, припремљени су и одговарајући Водичи за имплементацију поступака спољашњег вредновања и самовредовања. До краја 2022. године, планирано је и пилотирање наведених поступака. У наредном периоду планирана је реализација активности на даљем унапређивању квалитета, релевантности и доступности понуде образовања и обучавања одраслих. Посебна пажња биће посвећена развијању нормативног и методолошког оквира за увођење квалификација (парцијалних) за запошљавање и целоживотно учење у систему НОКС.</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Када је реч о поступку ППУ у току 2022. године, уз подршку ГИЗ пројекта DECIDE, шест средњих стручних школа започело је поступак акредитације за поступак ППУ. У том процесу организоване су обуке за потребе чланова тимова за ППУ као и за потребе запослених у ЗУОВ, у чијој је надлежности оцена инструмената који се користе у поступку ППУ. У току 2022. године, ради унапређивања система осигурања квалитета, а у складу са одредбама подзаконског акта, започет је рад на изради Упутства за израду портфолија и образаца за самопроцену као и Смерница за израду плана за процену кандидата. У наредном периоду планирана је реализација активности на даљем развоју концепта ППУ, на унапређивању мреже ЈПОА у складу са потребама тржишта рада и одраслих, на пружању подршке установама у поступку акредитације и стицању статуса ЈПОА, на оснаживању ЗУОВ-а за пружање подршке за примену методологије оцењивања компетенција у поступку ППУ и изради инструмената, на обучавању кадра укљученог у поступак ППУ, промоцији концепта ППУ као и на праћењу и унапређивању система осигурања квалитета поступка ППУ.</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Посебан допринос систему осигурања квалитета има и измена и допуна подзаконског акта који се односи на јавне исправе у области образовања одраслих будући да измене подразумевају да јавна исправа (сертификат) садржи и податке о квалификацији која се стиче завршетком програма укључујући и ниво НОКС и ниво ЕОК. На тај начин унапређена је транспарентност и упоредивост квалификација које се стичу у систему образовања одраслих са квалификацијама из других европских земаља.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НАЈУ је сходно Акционом плану Стратегије реформе јавне управе задужена за спровођење система квалитета стручног усавршавања у јавној управи. Подзаконски акти који су донети дају добру основу за успостављање и даљи развој система квалитета стручног усавршавања. Почетком 2023. године, биће поднет Извештај о спроведеној екстерној евалуацији НАЈУ, активност која се спроводи уз подршку Развојног програма Уједињених нација (УНДП). Наведена анализа садржаће и процену усклађености пословања НАЈУ са ИСО 9000, као и ИСО 10015 (који је део ИСО 9000 фамилије стандарда) и наглашава значај управљања људским ресурсима и потребу да запослени у организацијама имају одговарајући квалитет активности обуке.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оквиру ПКС, осигурање квалитета реализованих обука уређује се и прати зависно од врсте и сврхе обуке. Тако на пример, све отворене специјалистичке обуке предмет су вредновања у оквиру система менаџмента квалитетом (обавезно попуњавање анкетног листа на крају сваке обуке). Поред тога, на основу Статута ПКС, образован је Програмски савет чији је основни задатак да усваја програме едукације. Задатак Програмског савета је, између осталог и да прати реализацију семинара и вредновање истих од стране полазника. Овај извештај се доставља на кварталном и годишњем нивоу. Што се тиче обука које за циљ имају излазак на испит ради стицања лиценце или сертификата, квалитет је осигуран утврђеним правилницима и процедурама по којима се реализују обуке.</w:t>
      </w:r>
    </w:p>
    <w:p w:rsidR="001F0BAB" w:rsidRPr="001F0BAB" w:rsidRDefault="001F0BAB" w:rsidP="001F0BAB">
      <w:pPr>
        <w:spacing w:after="120" w:line="276" w:lineRule="auto"/>
        <w:contextualSpacing w:val="0"/>
        <w:jc w:val="center"/>
        <w:rPr>
          <w:rFonts w:ascii="Arial" w:hAnsi="Arial" w:cs="Arial"/>
          <w:noProof w:val="0"/>
          <w:sz w:val="22"/>
          <w:szCs w:val="22"/>
          <w:lang w:val="en-US"/>
        </w:rPr>
      </w:pPr>
      <w:r w:rsidRPr="001F0BAB">
        <w:rPr>
          <w:rFonts w:ascii="Arial" w:hAnsi="Arial" w:cs="Arial"/>
          <w:i/>
          <w:noProof w:val="0"/>
          <w:color w:val="000000"/>
          <w:sz w:val="22"/>
          <w:szCs w:val="22"/>
          <w:lang w:val="en-US"/>
        </w:rPr>
        <w:t>V) ОКВИРНИ ОБИМ ФИНАНСИЈСКИХ СРЕДСТАВА ЗА РЕАЛИЗАЦИЈУ ГОДИШЊЕГ ПЛАНА ОБРАЗОВАЊА ОДРАСЛИХ ЗА 2023. ГОДИНУ</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Полазећи од одредби Закона о образовању одраслих које прописују начин планирања и финансирања образовања одраслих, ГПОО за 2023. годину, садржи активности које се финансирају из буџета Републике Србије, у складу са чланом 59. став 1. тачка 2) овог закона.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 xml:space="preserve">Оквирни обим потребних финансијских средстава за реализацију ГПОО за 2023. годину, приказан је детаљно за активности образовања одраслих које je Министарство просвете прeдвидело у буџету Републике Србије за 2023. годину, у укупном износу од </w:t>
      </w:r>
      <w:r w:rsidRPr="001F0BAB">
        <w:rPr>
          <w:rFonts w:ascii="Arial" w:hAnsi="Arial" w:cs="Arial"/>
          <w:b/>
          <w:noProof w:val="0"/>
          <w:color w:val="000000"/>
          <w:sz w:val="22"/>
          <w:szCs w:val="22"/>
          <w:lang w:val="en-US"/>
        </w:rPr>
        <w:t>612.885.000,00</w:t>
      </w:r>
      <w:r w:rsidRPr="001F0BAB">
        <w:rPr>
          <w:rFonts w:ascii="Arial" w:hAnsi="Arial" w:cs="Arial"/>
          <w:noProof w:val="0"/>
          <w:color w:val="000000"/>
          <w:sz w:val="22"/>
          <w:szCs w:val="22"/>
          <w:lang w:val="en-US"/>
        </w:rPr>
        <w:t xml:space="preserve"> динара. Преглед оквирног обима средстава за активности образовања одраслих у 2023. години, која се обезбеђују од стране Министарства просвете, приказан је у </w:t>
      </w:r>
      <w:r w:rsidRPr="001F0BAB">
        <w:rPr>
          <w:rFonts w:ascii="Arial" w:hAnsi="Arial" w:cs="Arial"/>
          <w:i/>
          <w:noProof w:val="0"/>
          <w:color w:val="000000"/>
          <w:sz w:val="22"/>
          <w:szCs w:val="22"/>
          <w:lang w:val="en-US"/>
        </w:rPr>
        <w:t>Табели број 3.</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Табела број 3.</w:t>
      </w:r>
      <w:r w:rsidRPr="001F0BAB">
        <w:rPr>
          <w:rFonts w:ascii="Arial" w:hAnsi="Arial" w:cs="Arial"/>
          <w:noProof w:val="0"/>
          <w:color w:val="000000"/>
          <w:sz w:val="22"/>
          <w:szCs w:val="22"/>
          <w:lang w:val="en-US"/>
        </w:rPr>
        <w:t xml:space="preserve"> </w:t>
      </w:r>
      <w:r w:rsidRPr="001F0BAB">
        <w:rPr>
          <w:rFonts w:ascii="Arial" w:hAnsi="Arial" w:cs="Arial"/>
          <w:b/>
          <w:noProof w:val="0"/>
          <w:color w:val="000000"/>
          <w:sz w:val="22"/>
          <w:szCs w:val="22"/>
          <w:lang w:val="en-US"/>
        </w:rPr>
        <w:t>Преглед оквирног обима средстава за активности образовања одраслих у 2023. години, која се обезбеђују од стране Министарства просвете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014"/>
        <w:gridCol w:w="2419"/>
        <w:gridCol w:w="1354"/>
        <w:gridCol w:w="5314"/>
      </w:tblGrid>
      <w:tr w:rsidR="001F0BAB" w:rsidRPr="001F0BAB" w:rsidTr="00F2609E">
        <w:trPr>
          <w:trHeight w:val="45"/>
          <w:tblCellSpacing w:w="0" w:type="auto"/>
        </w:trPr>
        <w:tc>
          <w:tcPr>
            <w:tcW w:w="2142" w:type="dxa"/>
            <w:vMerge w:val="restart"/>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1. Основно образовање одраслих</w:t>
            </w:r>
          </w:p>
        </w:tc>
        <w:tc>
          <w:tcPr>
            <w:tcW w:w="3044"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Активности</w:t>
            </w:r>
          </w:p>
        </w:tc>
        <w:tc>
          <w:tcPr>
            <w:tcW w:w="1361"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Извор средстава</w:t>
            </w:r>
          </w:p>
        </w:tc>
        <w:tc>
          <w:tcPr>
            <w:tcW w:w="7853"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Потребна средства у 2023.</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(у динарима)</w:t>
            </w:r>
          </w:p>
        </w:tc>
      </w:tr>
      <w:tr w:rsidR="001F0BAB" w:rsidRPr="001F0BAB" w:rsidTr="00F2609E">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1F0BAB" w:rsidRPr="001F0BAB" w:rsidRDefault="001F0BAB" w:rsidP="001F0BAB">
            <w:pPr>
              <w:spacing w:after="200" w:line="276" w:lineRule="auto"/>
              <w:contextualSpacing w:val="0"/>
              <w:rPr>
                <w:rFonts w:ascii="Arial" w:hAnsi="Arial" w:cs="Arial"/>
                <w:noProof w:val="0"/>
                <w:sz w:val="22"/>
                <w:szCs w:val="22"/>
                <w:lang w:val="en-US"/>
              </w:rPr>
            </w:pPr>
          </w:p>
        </w:tc>
        <w:tc>
          <w:tcPr>
            <w:tcW w:w="3044"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Ангажовање наставника и андрагошких асистената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w:t>
            </w:r>
            <w:r w:rsidRPr="001F0BAB">
              <w:rPr>
                <w:rFonts w:ascii="Arial" w:hAnsi="Arial" w:cs="Arial"/>
                <w:noProof w:val="0"/>
                <w:color w:val="000000"/>
                <w:sz w:val="22"/>
                <w:szCs w:val="22"/>
                <w:lang w:val="en-US"/>
              </w:rPr>
              <w:t>школе + КПЗ</w:t>
            </w:r>
            <w:r w:rsidRPr="001F0BAB">
              <w:rPr>
                <w:rFonts w:ascii="Arial" w:hAnsi="Arial" w:cs="Arial"/>
                <w:b/>
                <w:noProof w:val="0"/>
                <w:color w:val="000000"/>
                <w:sz w:val="22"/>
                <w:szCs w:val="22"/>
                <w:lang w:val="en-US"/>
              </w:rPr>
              <w:t>)</w:t>
            </w:r>
          </w:p>
        </w:tc>
        <w:tc>
          <w:tcPr>
            <w:tcW w:w="1361"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МП</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(буџет РС)</w:t>
            </w:r>
          </w:p>
        </w:tc>
        <w:tc>
          <w:tcPr>
            <w:tcW w:w="7853"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605.635.000,00</w:t>
            </w:r>
          </w:p>
        </w:tc>
      </w:tr>
      <w:tr w:rsidR="001F0BAB" w:rsidRPr="001F0BAB" w:rsidTr="00F2609E">
        <w:trPr>
          <w:trHeight w:val="45"/>
          <w:tblCellSpacing w:w="0" w:type="auto"/>
        </w:trPr>
        <w:tc>
          <w:tcPr>
            <w:tcW w:w="0" w:type="auto"/>
            <w:gridSpan w:val="3"/>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200" w:line="276" w:lineRule="auto"/>
              <w:contextualSpacing w:val="0"/>
              <w:rPr>
                <w:rFonts w:ascii="Arial" w:hAnsi="Arial" w:cs="Arial"/>
                <w:noProof w:val="0"/>
                <w:sz w:val="22"/>
                <w:szCs w:val="22"/>
                <w:lang w:val="en-US"/>
              </w:rPr>
            </w:pPr>
          </w:p>
        </w:tc>
        <w:tc>
          <w:tcPr>
            <w:tcW w:w="7853"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200" w:line="276" w:lineRule="auto"/>
              <w:contextualSpacing w:val="0"/>
              <w:rPr>
                <w:rFonts w:ascii="Arial" w:hAnsi="Arial" w:cs="Arial"/>
                <w:noProof w:val="0"/>
                <w:sz w:val="22"/>
                <w:szCs w:val="22"/>
                <w:lang w:val="en-US"/>
              </w:rPr>
            </w:pPr>
          </w:p>
        </w:tc>
      </w:tr>
      <w:tr w:rsidR="001F0BAB" w:rsidRPr="001F0BAB" w:rsidTr="00F2609E">
        <w:trPr>
          <w:trHeight w:val="45"/>
          <w:tblCellSpacing w:w="0" w:type="auto"/>
        </w:trPr>
        <w:tc>
          <w:tcPr>
            <w:tcW w:w="2142" w:type="dxa"/>
            <w:vMerge w:val="restart"/>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2. Средње образовање одраслих</w:t>
            </w:r>
          </w:p>
        </w:tc>
        <w:tc>
          <w:tcPr>
            <w:tcW w:w="3044"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Активности</w:t>
            </w:r>
          </w:p>
        </w:tc>
        <w:tc>
          <w:tcPr>
            <w:tcW w:w="1361"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Извор средстава</w:t>
            </w:r>
          </w:p>
        </w:tc>
        <w:tc>
          <w:tcPr>
            <w:tcW w:w="7853"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Потребна средства у 2023.</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(у динарима)</w:t>
            </w:r>
          </w:p>
        </w:tc>
      </w:tr>
      <w:tr w:rsidR="001F0BAB" w:rsidRPr="001F0BAB" w:rsidTr="00F2609E">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1F0BAB" w:rsidRPr="001F0BAB" w:rsidRDefault="001F0BAB" w:rsidP="001F0BAB">
            <w:pPr>
              <w:spacing w:after="200" w:line="276" w:lineRule="auto"/>
              <w:contextualSpacing w:val="0"/>
              <w:rPr>
                <w:rFonts w:ascii="Arial" w:hAnsi="Arial" w:cs="Arial"/>
                <w:noProof w:val="0"/>
                <w:sz w:val="22"/>
                <w:szCs w:val="22"/>
                <w:lang w:val="en-US"/>
              </w:rPr>
            </w:pPr>
          </w:p>
        </w:tc>
        <w:tc>
          <w:tcPr>
            <w:tcW w:w="3044"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Ванредни ученици старији од 17 година</w:t>
            </w:r>
          </w:p>
        </w:tc>
        <w:tc>
          <w:tcPr>
            <w:tcW w:w="1361"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МП</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(буџет РС)</w:t>
            </w:r>
          </w:p>
        </w:tc>
        <w:tc>
          <w:tcPr>
            <w:tcW w:w="7853"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6. 750.000,00</w:t>
            </w:r>
          </w:p>
        </w:tc>
      </w:tr>
      <w:tr w:rsidR="001F0BAB" w:rsidRPr="001F0BAB" w:rsidTr="00F2609E">
        <w:trPr>
          <w:trHeight w:val="45"/>
          <w:tblCellSpacing w:w="0" w:type="auto"/>
        </w:trPr>
        <w:tc>
          <w:tcPr>
            <w:tcW w:w="0" w:type="auto"/>
            <w:gridSpan w:val="3"/>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200" w:line="276" w:lineRule="auto"/>
              <w:contextualSpacing w:val="0"/>
              <w:rPr>
                <w:rFonts w:ascii="Arial" w:hAnsi="Arial" w:cs="Arial"/>
                <w:noProof w:val="0"/>
                <w:sz w:val="22"/>
                <w:szCs w:val="22"/>
                <w:lang w:val="en-US"/>
              </w:rPr>
            </w:pPr>
          </w:p>
        </w:tc>
        <w:tc>
          <w:tcPr>
            <w:tcW w:w="7853"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200" w:line="276" w:lineRule="auto"/>
              <w:contextualSpacing w:val="0"/>
              <w:rPr>
                <w:rFonts w:ascii="Arial" w:hAnsi="Arial" w:cs="Arial"/>
                <w:noProof w:val="0"/>
                <w:sz w:val="22"/>
                <w:szCs w:val="22"/>
                <w:lang w:val="en-US"/>
              </w:rPr>
            </w:pPr>
          </w:p>
        </w:tc>
      </w:tr>
      <w:tr w:rsidR="001F0BAB" w:rsidRPr="001F0BAB" w:rsidTr="00F2609E">
        <w:trPr>
          <w:trHeight w:val="45"/>
          <w:tblCellSpacing w:w="0" w:type="auto"/>
        </w:trPr>
        <w:tc>
          <w:tcPr>
            <w:tcW w:w="2142" w:type="dxa"/>
            <w:vMerge w:val="restart"/>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3. Завод</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за унапређивање</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образовања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и васпитања</w:t>
            </w:r>
          </w:p>
        </w:tc>
        <w:tc>
          <w:tcPr>
            <w:tcW w:w="3044"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Активности</w:t>
            </w:r>
          </w:p>
        </w:tc>
        <w:tc>
          <w:tcPr>
            <w:tcW w:w="1361"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Извор средстава</w:t>
            </w:r>
          </w:p>
        </w:tc>
        <w:tc>
          <w:tcPr>
            <w:tcW w:w="7853"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Потребна средства у 2023.</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(у динарима)</w:t>
            </w:r>
          </w:p>
        </w:tc>
      </w:tr>
      <w:tr w:rsidR="001F0BAB" w:rsidRPr="001F0BAB" w:rsidTr="00F2609E">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1F0BAB" w:rsidRPr="001F0BAB" w:rsidRDefault="001F0BAB" w:rsidP="001F0BAB">
            <w:pPr>
              <w:spacing w:after="200" w:line="276" w:lineRule="auto"/>
              <w:contextualSpacing w:val="0"/>
              <w:rPr>
                <w:rFonts w:ascii="Arial" w:hAnsi="Arial" w:cs="Arial"/>
                <w:noProof w:val="0"/>
                <w:sz w:val="22"/>
                <w:szCs w:val="22"/>
                <w:lang w:val="en-US"/>
              </w:rPr>
            </w:pPr>
          </w:p>
        </w:tc>
        <w:tc>
          <w:tcPr>
            <w:tcW w:w="3044"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Стручно образовање и образовање одраслих</w:t>
            </w:r>
          </w:p>
        </w:tc>
        <w:tc>
          <w:tcPr>
            <w:tcW w:w="1361"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МП</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(буџет РС)</w:t>
            </w:r>
          </w:p>
        </w:tc>
        <w:tc>
          <w:tcPr>
            <w:tcW w:w="7853"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500. 000,00</w:t>
            </w:r>
          </w:p>
        </w:tc>
      </w:tr>
      <w:tr w:rsidR="001F0BAB" w:rsidRPr="001F0BAB" w:rsidTr="00F2609E">
        <w:trPr>
          <w:trHeight w:val="45"/>
          <w:tblCellSpacing w:w="0" w:type="auto"/>
        </w:trPr>
        <w:tc>
          <w:tcPr>
            <w:tcW w:w="0" w:type="auto"/>
            <w:gridSpan w:val="3"/>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Укупно 1 + 2 + 3</w:t>
            </w:r>
          </w:p>
        </w:tc>
        <w:tc>
          <w:tcPr>
            <w:tcW w:w="7853" w:type="dxa"/>
            <w:tcBorders>
              <w:top w:val="single" w:sz="8" w:space="0" w:color="000000"/>
              <w:left w:val="single" w:sz="8" w:space="0" w:color="000000"/>
              <w:bottom w:val="single" w:sz="8" w:space="0" w:color="000000"/>
              <w:right w:val="single" w:sz="8" w:space="0" w:color="000000"/>
            </w:tcBorders>
            <w:vAlign w:val="center"/>
          </w:tcPr>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b/>
                <w:noProof w:val="0"/>
                <w:color w:val="000000"/>
                <w:sz w:val="22"/>
                <w:szCs w:val="22"/>
                <w:lang w:val="en-US"/>
              </w:rPr>
              <w:t>612.885.000,00</w:t>
            </w:r>
          </w:p>
        </w:tc>
      </w:tr>
    </w:tbl>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Ова средства су планирана Законом о буџету Републике Србије за 2023. годину,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Службени гласник РС</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број 138/22) на разделу 26. Министарства просвете, у оквиру:</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Главе 26.1 Основно образовање, Програм 2003 Основно образовање, Функција 910, Програмска активност 0001 Реализација делатности основног образовања, економска класификација 411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Плате, додаци и накнаде запослених (зараде), у износу од 380.276.000,00 динара, економска класификација 412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Социјални доприноси на терет послодавца, у износу од 63.316.000,00 динара и 463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Трансфери осталим нивоима власти, у износу од 162,043.000,00 динара, укупно 605.635.000,00 динара;</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Главе 26.2 Средње образовање, Програм 2004 Средње образовање, Функција 920, Програмска активност 0001 Реализација делатности средњег образовања и образовања одраслих, економска класификација 411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Плате, додаци и накнаде запослених (зараде), у износу од 4.011.000,00 динара, економска класификација 412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Социјални доприноси на терет послодавца, у износу од 668.000,00 динара и 463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Трансфери осталим нивоима власти, у износу од 2.071.000,00 динара, укупно 6.750.000,00 динара;</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Главе 26.6 Завод за унапређивање образовања и васпитања, Програм 2001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Уређење, надзор и развој свих нивоа образовног система, Функција 980, Програмска активност 0006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Стручно образовање и образовање одраслих, економска класификација 423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 износу од 500.000,00 динара.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Остала планирана средства за реализацију ГПОО за 2023. годину, према достављеним подацима других корисника буџетских средстава, а планираних Законом о буџету Републике Србије за 2023. годину, налазе се на следећим позицијама:</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На разделу 23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Министарство правде, Глава 23.1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Управа за извршење кривичних санкција, Програм 1607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Управљање извршењем кривичних санкција, Функција 340, Програмска активност 0002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Подршка лицима лишених слободе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 износу од 15.614.000,00 динара;</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На разделу 63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Национална академија за јавну управу, Програм 0615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Стручно усавршавање у јавној управи, Функција 110, Програмска активност 0001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Програмирање и спровођење стручног усавршавања у јавној управи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 износу од 20.000.000,00 динара;</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На разделу 30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Министарство за рад, запошљавање, борачка и социјална питања, Програм 0803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Активна политика запошљавања, Функција 412, Програмска активност 0005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Подстицање запошљавања особа са инвалидитетом путем Националне службе за запошљавање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 износу од 550.000.000,00 динара.</w:t>
      </w:r>
    </w:p>
    <w:p w:rsidR="001F0BAB" w:rsidRPr="001F0BAB" w:rsidRDefault="001F0BAB" w:rsidP="001F0BAB">
      <w:pPr>
        <w:spacing w:after="150" w:line="276" w:lineRule="auto"/>
        <w:contextualSpacing w:val="0"/>
        <w:rPr>
          <w:rFonts w:ascii="Arial" w:hAnsi="Arial" w:cs="Arial"/>
          <w:noProof w:val="0"/>
          <w:sz w:val="22"/>
          <w:szCs w:val="22"/>
          <w:lang w:val="en-US"/>
        </w:rPr>
      </w:pPr>
      <w:r w:rsidRPr="001F0BAB">
        <w:rPr>
          <w:rFonts w:ascii="Arial" w:hAnsi="Arial" w:cs="Arial"/>
          <w:noProof w:val="0"/>
          <w:color w:val="000000"/>
          <w:sz w:val="22"/>
          <w:szCs w:val="22"/>
          <w:lang w:val="en-US"/>
        </w:rPr>
        <w:t>У оквиру финансијског плана НСЗ за 2023 годину, обезбеђена су средства за реализацију мера активне политике запошљавања у износу од 6.300.000.000,00 динара.</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На разделу 21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Министарство привреде, Програм 1509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Подстицаји развоју конкурентности привреде, Функција 410, Програмска активност 4003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Подршка кроз стандардизовани сет услуга за МСПП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 износу од 42.000.000,00 динара;</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На разделу 24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Министарство пољопривреде, шумарства и водопривреде, Глава 24.6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Управа за аграрна плаћања, Програм 0103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Подстицаји у пољопривреди и руралном развоју, Функција 420, Програмска активност 0002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Мере руралног развоја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 износу од 11.500.000,00 динара;</w:t>
      </w:r>
    </w:p>
    <w:p w:rsidR="001F0BAB" w:rsidRP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На разделу 20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Министарство државне управе и локалне самоуправе, Програм 0607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Систем јавне управе, Функција 411, Програмска активност 0009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Администрација и управљање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 износу од 2.000.000,00 динара; Функција 111, Програмска активност 0011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Стручно усавршавање и стручни испити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 износу од 3.884.000,00 динара;</w:t>
      </w:r>
    </w:p>
    <w:p w:rsidR="001F0BAB" w:rsidRDefault="001F0BAB" w:rsidP="001F0BAB">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На разделу 15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Министарство унутрашњих послова, Програм 1408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Управљање људским и материјалним ресурсима, Функција 310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Полицијске услуге, Програмска активност 0001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Администрација и управљање </w:t>
      </w:r>
      <w:r>
        <w:rPr>
          <w:rFonts w:ascii="Arial" w:hAnsi="Arial" w:cs="Arial"/>
          <w:noProof w:val="0"/>
          <w:color w:val="000000"/>
          <w:sz w:val="22"/>
          <w:szCs w:val="22"/>
          <w:lang w:val="en-US"/>
        </w:rPr>
        <w:t>-</w:t>
      </w:r>
      <w:r w:rsidRPr="001F0BAB">
        <w:rPr>
          <w:rFonts w:ascii="Arial" w:hAnsi="Arial" w:cs="Arial"/>
          <w:noProof w:val="0"/>
          <w:color w:val="000000"/>
          <w:sz w:val="22"/>
          <w:szCs w:val="22"/>
          <w:lang w:val="en-US"/>
        </w:rPr>
        <w:t xml:space="preserve"> у износу од 29.000,00 динара.</w:t>
      </w:r>
    </w:p>
    <w:p w:rsidR="001F0BAB" w:rsidRPr="001F0BAB" w:rsidRDefault="001F0BAB" w:rsidP="001F0BAB">
      <w:pPr>
        <w:pStyle w:val="BodyText"/>
        <w:ind w:left="814"/>
        <w:rPr>
          <w:rFonts w:ascii="Arial" w:hAnsi="Arial" w:cs="Arial"/>
          <w:sz w:val="20"/>
        </w:rPr>
      </w:pPr>
      <w:r w:rsidRPr="001F0BAB">
        <w:rPr>
          <w:rFonts w:ascii="Arial" w:hAnsi="Arial" w:cs="Arial"/>
          <w:noProof/>
          <w:sz w:val="20"/>
          <w:lang w:eastAsia="sr-Latn-RS"/>
        </w:rPr>
        <w:pict>
          <v:shape id="Image 36" o:spid="_x0000_i1138" type="#_x0000_t75" style="width:474pt;height:716.25pt;visibility:visible;mso-wrap-style:square">
            <v:imagedata r:id="rId17" o:title=""/>
            <o:lock v:ext="edit" aspectratio="f"/>
          </v:shape>
        </w:pict>
      </w:r>
    </w:p>
    <w:p w:rsidR="001F0BAB" w:rsidRPr="001F0BAB" w:rsidRDefault="001F0BAB" w:rsidP="001F0BAB">
      <w:pPr>
        <w:rPr>
          <w:rFonts w:ascii="Arial" w:hAnsi="Arial" w:cs="Arial"/>
          <w:sz w:val="20"/>
        </w:rPr>
        <w:sectPr w:rsidR="001F0BAB" w:rsidRPr="001F0BAB" w:rsidSect="001F0BAB">
          <w:footerReference w:type="default" r:id="rId18"/>
          <w:pgSz w:w="12480" w:h="15740"/>
          <w:pgMar w:top="140" w:right="740" w:bottom="280" w:left="740" w:header="0" w:footer="0" w:gutter="0"/>
          <w:cols w:space="720"/>
        </w:sectPr>
      </w:pPr>
    </w:p>
    <w:p w:rsidR="001F0BAB" w:rsidRPr="001F0BAB" w:rsidRDefault="001F0BAB" w:rsidP="001F0BAB">
      <w:pPr>
        <w:pStyle w:val="BodyText"/>
        <w:rPr>
          <w:rFonts w:ascii="Arial" w:hAnsi="Arial" w:cs="Arial"/>
          <w:sz w:val="17"/>
        </w:rPr>
      </w:pPr>
    </w:p>
    <w:p w:rsidR="001F0BAB" w:rsidRPr="001F0BAB" w:rsidRDefault="001F0BAB" w:rsidP="001F0BAB">
      <w:pPr>
        <w:pStyle w:val="BodyText"/>
        <w:ind w:left="530"/>
        <w:rPr>
          <w:rFonts w:ascii="Arial" w:hAnsi="Arial" w:cs="Arial"/>
          <w:sz w:val="20"/>
        </w:rPr>
      </w:pPr>
      <w:r w:rsidRPr="001F0BAB">
        <w:rPr>
          <w:rFonts w:ascii="Arial" w:hAnsi="Arial" w:cs="Arial"/>
          <w:noProof/>
          <w:sz w:val="20"/>
          <w:lang w:eastAsia="sr-Latn-RS"/>
        </w:rPr>
        <w:pict>
          <v:shape id="Image 37" o:spid="_x0000_i1954" type="#_x0000_t75" style="width:474pt;height:509.25pt;visibility:visible;mso-wrap-style:square">
            <v:imagedata r:id="rId19"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140" w:right="740" w:bottom="280" w:left="740" w:header="0" w:footer="0" w:gutter="0"/>
          <w:cols w:space="720"/>
        </w:sectPr>
      </w:pPr>
    </w:p>
    <w:p w:rsidR="001F0BAB" w:rsidRPr="001F0BAB" w:rsidRDefault="001F0BAB" w:rsidP="001F0BAB">
      <w:pPr>
        <w:pStyle w:val="BodyText"/>
        <w:spacing w:before="8"/>
        <w:rPr>
          <w:rFonts w:ascii="Arial" w:hAnsi="Arial" w:cs="Arial"/>
          <w:sz w:val="10"/>
        </w:rPr>
      </w:pPr>
      <w:r w:rsidRPr="001F0BAB">
        <w:rPr>
          <w:rFonts w:ascii="Arial" w:hAnsi="Arial" w:cs="Arial"/>
          <w:noProof/>
        </w:rPr>
        <w:pict>
          <v:shape id="Image 38" o:spid="_x0000_s1097" type="#_x0000_t75" style="position:absolute;margin-left:785.3pt;margin-top:310.65pt;width:1.4pt;height:28.05pt;z-index:1;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328"/>
        <w:rPr>
          <w:rFonts w:ascii="Arial" w:hAnsi="Arial" w:cs="Arial"/>
          <w:sz w:val="20"/>
        </w:rPr>
      </w:pPr>
      <w:r w:rsidRPr="001F0BAB">
        <w:rPr>
          <w:rFonts w:ascii="Arial" w:hAnsi="Arial" w:cs="Arial"/>
          <w:noProof/>
          <w:sz w:val="20"/>
          <w:lang w:eastAsia="sr-Latn-RS"/>
        </w:rPr>
        <w:pict>
          <v:shape id="Image 39" o:spid="_x0000_i1953" type="#_x0000_t75" style="width:696pt;height:474pt;visibility:visible;mso-wrap-style:square">
            <v:imagedata r:id="rId21"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22"/>
          <w:pgSz w:w="15740" w:h="12480" w:orient="landscape"/>
          <w:pgMar w:top="1400" w:right="260" w:bottom="280" w:left="700" w:header="0" w:footer="0" w:gutter="0"/>
          <w:cols w:space="720"/>
        </w:sectPr>
      </w:pPr>
    </w:p>
    <w:p w:rsidR="001F0BAB" w:rsidRPr="001F0BAB" w:rsidRDefault="001F0BAB" w:rsidP="001F0BAB">
      <w:pPr>
        <w:pStyle w:val="BodyText"/>
        <w:ind w:left="113"/>
        <w:rPr>
          <w:rFonts w:ascii="Arial" w:hAnsi="Arial" w:cs="Arial"/>
          <w:sz w:val="20"/>
        </w:rPr>
      </w:pPr>
      <w:r w:rsidRPr="001F0BAB">
        <w:rPr>
          <w:rFonts w:ascii="Arial" w:hAnsi="Arial" w:cs="Arial"/>
          <w:noProof/>
        </w:rPr>
        <w:pict>
          <v:shape id="Image 40" o:spid="_x0000_s1096" type="#_x0000_t75" style="position:absolute;left:0;text-align:left;margin-left:785.35pt;margin-top:296.1pt;width:1.35pt;height:28.05pt;z-index:2;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41" o:spid="_x0000_i1952" type="#_x0000_t75" style="width:717pt;height:459pt;visibility:visible;mso-wrap-style:square">
            <v:imagedata r:id="rId24"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25"/>
          <w:pgSz w:w="15740" w:h="12480" w:orient="landscape"/>
          <w:pgMar w:top="1220" w:right="260" w:bottom="280" w:left="700" w:header="0" w:footer="0" w:gutter="0"/>
          <w:cols w:space="720"/>
        </w:sectPr>
      </w:pPr>
    </w:p>
    <w:p w:rsidR="001F0BAB" w:rsidRPr="001F0BAB" w:rsidRDefault="001F0BAB" w:rsidP="001F0BAB">
      <w:pPr>
        <w:pStyle w:val="BodyText"/>
        <w:spacing w:before="8"/>
        <w:rPr>
          <w:rFonts w:ascii="Arial" w:hAnsi="Arial" w:cs="Arial"/>
          <w:sz w:val="9"/>
        </w:rPr>
      </w:pPr>
      <w:r w:rsidRPr="001F0BAB">
        <w:rPr>
          <w:rFonts w:ascii="Arial" w:hAnsi="Arial" w:cs="Arial"/>
          <w:noProof/>
        </w:rPr>
        <w:pict>
          <v:shape id="Image 42" o:spid="_x0000_s1095" type="#_x0000_t75" style="position:absolute;margin-left:785.3pt;margin-top:310.65pt;width:1.4pt;height:28.05pt;z-index:3;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13"/>
        <w:rPr>
          <w:rFonts w:ascii="Arial" w:hAnsi="Arial" w:cs="Arial"/>
          <w:sz w:val="20"/>
        </w:rPr>
      </w:pPr>
      <w:r w:rsidRPr="001F0BAB">
        <w:rPr>
          <w:rFonts w:ascii="Arial" w:hAnsi="Arial" w:cs="Arial"/>
          <w:noProof/>
          <w:sz w:val="20"/>
          <w:lang w:eastAsia="sr-Latn-RS"/>
        </w:rPr>
        <w:pict>
          <v:shape id="Image 43" o:spid="_x0000_i1951" type="#_x0000_t75" style="width:717pt;height:458.25pt;visibility:visible;mso-wrap-style:square">
            <v:imagedata r:id="rId26"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27"/>
          <w:pgSz w:w="15740" w:h="12480" w:orient="landscape"/>
          <w:pgMar w:top="1400" w:right="260" w:bottom="280" w:left="700" w:header="0" w:footer="0" w:gutter="0"/>
          <w:cols w:space="720"/>
        </w:sectPr>
      </w:pPr>
    </w:p>
    <w:p w:rsidR="001F0BAB" w:rsidRPr="001F0BAB" w:rsidRDefault="001F0BAB" w:rsidP="001F0BAB">
      <w:pPr>
        <w:pStyle w:val="BodyText"/>
        <w:ind w:left="113"/>
        <w:rPr>
          <w:rFonts w:ascii="Arial" w:hAnsi="Arial" w:cs="Arial"/>
          <w:sz w:val="20"/>
        </w:rPr>
      </w:pPr>
      <w:r w:rsidRPr="001F0BAB">
        <w:rPr>
          <w:rFonts w:ascii="Arial" w:hAnsi="Arial" w:cs="Arial"/>
          <w:noProof/>
        </w:rPr>
        <w:pict>
          <v:shape id="Image 44" o:spid="_x0000_s1094" type="#_x0000_t75" style="position:absolute;left:0;text-align:left;margin-left:785.35pt;margin-top:296.1pt;width:1.35pt;height:28.05pt;z-index:4;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45" o:spid="_x0000_i1950" type="#_x0000_t75" style="width:717pt;height:475.5pt;visibility:visible;mso-wrap-style:square">
            <v:imagedata r:id="rId28"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29"/>
          <w:pgSz w:w="15740" w:h="12480" w:orient="landscape"/>
          <w:pgMar w:top="1220" w:right="260" w:bottom="280" w:left="700" w:header="0" w:footer="0" w:gutter="0"/>
          <w:cols w:space="720"/>
        </w:sectPr>
      </w:pPr>
    </w:p>
    <w:p w:rsidR="001F0BAB" w:rsidRPr="001F0BAB" w:rsidRDefault="001F0BAB" w:rsidP="001F0BAB">
      <w:pPr>
        <w:pStyle w:val="BodyText"/>
        <w:spacing w:before="8"/>
        <w:rPr>
          <w:rFonts w:ascii="Arial" w:hAnsi="Arial" w:cs="Arial"/>
          <w:sz w:val="9"/>
        </w:rPr>
      </w:pPr>
      <w:r w:rsidRPr="001F0BAB">
        <w:rPr>
          <w:rFonts w:ascii="Arial" w:hAnsi="Arial" w:cs="Arial"/>
          <w:noProof/>
        </w:rPr>
        <w:pict>
          <v:shape id="Image 46" o:spid="_x0000_s1093" type="#_x0000_t75" style="position:absolute;margin-left:785.3pt;margin-top:310.65pt;width:1.4pt;height:28.05pt;z-index:5;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13"/>
        <w:rPr>
          <w:rFonts w:ascii="Arial" w:hAnsi="Arial" w:cs="Arial"/>
          <w:sz w:val="20"/>
        </w:rPr>
      </w:pPr>
      <w:r w:rsidRPr="001F0BAB">
        <w:rPr>
          <w:rFonts w:ascii="Arial" w:hAnsi="Arial" w:cs="Arial"/>
          <w:noProof/>
          <w:sz w:val="20"/>
          <w:lang w:eastAsia="sr-Latn-RS"/>
        </w:rPr>
        <w:pict>
          <v:shape id="Image 47" o:spid="_x0000_i1949" type="#_x0000_t75" style="width:717pt;height:460.5pt;visibility:visible;mso-wrap-style:square">
            <v:imagedata r:id="rId30"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31"/>
          <w:pgSz w:w="15740" w:h="12480" w:orient="landscape"/>
          <w:pgMar w:top="1400" w:right="260" w:bottom="280" w:left="700" w:header="0" w:footer="0" w:gutter="0"/>
          <w:cols w:space="720"/>
        </w:sectPr>
      </w:pPr>
    </w:p>
    <w:p w:rsidR="001F0BAB" w:rsidRPr="001F0BAB" w:rsidRDefault="001F0BAB" w:rsidP="001F0BAB">
      <w:pPr>
        <w:pStyle w:val="BodyText"/>
        <w:ind w:left="113"/>
        <w:rPr>
          <w:rFonts w:ascii="Arial" w:hAnsi="Arial" w:cs="Arial"/>
          <w:sz w:val="20"/>
        </w:rPr>
      </w:pPr>
      <w:r w:rsidRPr="001F0BAB">
        <w:rPr>
          <w:rFonts w:ascii="Arial" w:hAnsi="Arial" w:cs="Arial"/>
          <w:noProof/>
        </w:rPr>
        <w:pict>
          <v:shape id="Image 48" o:spid="_x0000_s1092" type="#_x0000_t75" style="position:absolute;left:0;text-align:left;margin-left:785.35pt;margin-top:296.1pt;width:1.35pt;height:28.05pt;z-index:6;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49" o:spid="_x0000_i1948" type="#_x0000_t75" style="width:717pt;height:468pt;visibility:visible;mso-wrap-style:square">
            <v:imagedata r:id="rId32"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33"/>
          <w:pgSz w:w="15740" w:h="12480" w:orient="landscape"/>
          <w:pgMar w:top="1220" w:right="260" w:bottom="280" w:left="700" w:header="0" w:footer="0" w:gutter="0"/>
          <w:cols w:space="720"/>
        </w:sectPr>
      </w:pPr>
    </w:p>
    <w:p w:rsidR="001F0BAB" w:rsidRPr="001F0BAB" w:rsidRDefault="001F0BAB" w:rsidP="001F0BAB">
      <w:pPr>
        <w:pStyle w:val="BodyText"/>
        <w:spacing w:before="8"/>
        <w:rPr>
          <w:rFonts w:ascii="Arial" w:hAnsi="Arial" w:cs="Arial"/>
          <w:sz w:val="9"/>
        </w:rPr>
      </w:pPr>
      <w:r w:rsidRPr="001F0BAB">
        <w:rPr>
          <w:rFonts w:ascii="Arial" w:hAnsi="Arial" w:cs="Arial"/>
          <w:noProof/>
        </w:rPr>
        <w:pict>
          <v:shape id="Image 50" o:spid="_x0000_s1091" type="#_x0000_t75" style="position:absolute;margin-left:785.3pt;margin-top:310.65pt;width:1.4pt;height:28.05pt;z-index:7;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13"/>
        <w:rPr>
          <w:rFonts w:ascii="Arial" w:hAnsi="Arial" w:cs="Arial"/>
          <w:sz w:val="20"/>
        </w:rPr>
      </w:pPr>
      <w:r w:rsidRPr="001F0BAB">
        <w:rPr>
          <w:rFonts w:ascii="Arial" w:hAnsi="Arial" w:cs="Arial"/>
          <w:noProof/>
          <w:sz w:val="20"/>
          <w:lang w:eastAsia="sr-Latn-RS"/>
        </w:rPr>
        <w:pict>
          <v:shape id="Image 51" o:spid="_x0000_i1947" type="#_x0000_t75" style="width:717pt;height:474.75pt;visibility:visible;mso-wrap-style:square">
            <v:imagedata r:id="rId34"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35"/>
          <w:pgSz w:w="15740" w:h="12480" w:orient="landscape"/>
          <w:pgMar w:top="1400" w:right="260" w:bottom="280" w:left="700" w:header="0" w:footer="0" w:gutter="0"/>
          <w:cols w:space="720"/>
        </w:sectPr>
      </w:pPr>
    </w:p>
    <w:p w:rsidR="001F0BAB" w:rsidRPr="001F0BAB" w:rsidRDefault="001F0BAB" w:rsidP="001F0BAB">
      <w:pPr>
        <w:pStyle w:val="BodyText"/>
        <w:ind w:left="113"/>
        <w:rPr>
          <w:rFonts w:ascii="Arial" w:hAnsi="Arial" w:cs="Arial"/>
          <w:sz w:val="20"/>
        </w:rPr>
      </w:pPr>
      <w:r w:rsidRPr="001F0BAB">
        <w:rPr>
          <w:rFonts w:ascii="Arial" w:hAnsi="Arial" w:cs="Arial"/>
          <w:noProof/>
        </w:rPr>
        <w:pict>
          <v:shape id="Image 52" o:spid="_x0000_s1090" type="#_x0000_t75" style="position:absolute;left:0;text-align:left;margin-left:785.35pt;margin-top:296.1pt;width:1.35pt;height:28.05pt;z-index:8;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53" o:spid="_x0000_i1946" type="#_x0000_t75" style="width:717pt;height:212.25pt;visibility:visible;mso-wrap-style:square">
            <v:imagedata r:id="rId36"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37"/>
          <w:pgSz w:w="15740" w:h="12480" w:orient="landscape"/>
          <w:pgMar w:top="122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54" o:spid="_x0000_s1089" type="#_x0000_t75" style="position:absolute;margin-left:785.3pt;margin-top:310.65pt;width:1.4pt;height:28.05pt;z-index:9;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55" o:spid="_x0000_i1945" type="#_x0000_t75" style="width:715.5pt;height:479.25pt;visibility:visible;mso-wrap-style:square">
            <v:imagedata r:id="rId38"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39"/>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56" o:spid="_x0000_s1088" type="#_x0000_t75" style="position:absolute;left:0;text-align:left;margin-left:785.35pt;margin-top:296.1pt;width:1.35pt;height:28.05pt;z-index:10;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57" o:spid="_x0000_i1944" type="#_x0000_t75" style="width:715.5pt;height:476.25pt;visibility:visible;mso-wrap-style:square">
            <v:imagedata r:id="rId40"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41"/>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58" o:spid="_x0000_s1087" type="#_x0000_t75" style="position:absolute;margin-left:785.3pt;margin-top:310.65pt;width:1.4pt;height:28.05pt;z-index:11;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59" o:spid="_x0000_i1943" type="#_x0000_t75" style="width:715.5pt;height:477.75pt;visibility:visible;mso-wrap-style:square">
            <v:imagedata r:id="rId42"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43"/>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60" o:spid="_x0000_s1086" type="#_x0000_t75" style="position:absolute;left:0;text-align:left;margin-left:785.35pt;margin-top:296.1pt;width:1.35pt;height:28.05pt;z-index:12;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61" o:spid="_x0000_i1942" type="#_x0000_t75" style="width:715.5pt;height:475.5pt;visibility:visible;mso-wrap-style:square">
            <v:imagedata r:id="rId44"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45"/>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62" o:spid="_x0000_s1085" type="#_x0000_t75" style="position:absolute;margin-left:785.3pt;margin-top:310.65pt;width:1.4pt;height:28.05pt;z-index:13;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63" o:spid="_x0000_i1941" type="#_x0000_t75" style="width:715.5pt;height:479.25pt;visibility:visible;mso-wrap-style:square">
            <v:imagedata r:id="rId46"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47"/>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64" o:spid="_x0000_s1084" type="#_x0000_t75" style="position:absolute;left:0;text-align:left;margin-left:785.35pt;margin-top:296.1pt;width:1.35pt;height:28.05pt;z-index:14;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65" o:spid="_x0000_i1940" type="#_x0000_t75" style="width:715.5pt;height:478.5pt;visibility:visible;mso-wrap-style:square">
            <v:imagedata r:id="rId48"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49"/>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66" o:spid="_x0000_s1083" type="#_x0000_t75" style="position:absolute;margin-left:785.3pt;margin-top:310.65pt;width:1.4pt;height:28.05pt;z-index:15;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67" o:spid="_x0000_i1939" type="#_x0000_t75" style="width:715.5pt;height:479.25pt;visibility:visible;mso-wrap-style:square">
            <v:imagedata r:id="rId50"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51"/>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68" o:spid="_x0000_s1082" type="#_x0000_t75" style="position:absolute;left:0;text-align:left;margin-left:785.35pt;margin-top:296.1pt;width:1.35pt;height:28.05pt;z-index:16;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69" o:spid="_x0000_i1938" type="#_x0000_t75" style="width:715.5pt;height:475.5pt;visibility:visible;mso-wrap-style:square">
            <v:imagedata r:id="rId52"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53"/>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70" o:spid="_x0000_s1081" type="#_x0000_t75" style="position:absolute;margin-left:785.3pt;margin-top:310.65pt;width:1.4pt;height:28.05pt;z-index:17;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71" o:spid="_x0000_i1937" type="#_x0000_t75" style="width:715.5pt;height:473.25pt;visibility:visible;mso-wrap-style:square">
            <v:imagedata r:id="rId54"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55"/>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72" o:spid="_x0000_s1080" type="#_x0000_t75" style="position:absolute;left:0;text-align:left;margin-left:785.35pt;margin-top:296.1pt;width:1.35pt;height:28.05pt;z-index:18;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73" o:spid="_x0000_i1936" type="#_x0000_t75" style="width:715.5pt;height:473.25pt;visibility:visible;mso-wrap-style:square">
            <v:imagedata r:id="rId56"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57"/>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74" o:spid="_x0000_s1079" type="#_x0000_t75" style="position:absolute;margin-left:785.3pt;margin-top:310.65pt;width:1.4pt;height:28.05pt;z-index:19;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75" o:spid="_x0000_i1935" type="#_x0000_t75" style="width:715.5pt;height:479.25pt;visibility:visible;mso-wrap-style:square">
            <v:imagedata r:id="rId58"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59"/>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76" o:spid="_x0000_s1078" type="#_x0000_t75" style="position:absolute;left:0;text-align:left;margin-left:785.35pt;margin-top:296.1pt;width:1.35pt;height:28.05pt;z-index:20;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77" o:spid="_x0000_i1934" type="#_x0000_t75" style="width:715.5pt;height:480pt;visibility:visible;mso-wrap-style:square">
            <v:imagedata r:id="rId60"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61"/>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78" o:spid="_x0000_s1077" type="#_x0000_t75" style="position:absolute;margin-left:785.3pt;margin-top:310.65pt;width:1.4pt;height:28.05pt;z-index:21;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79" o:spid="_x0000_i1933" type="#_x0000_t75" style="width:715.5pt;height:480pt;visibility:visible;mso-wrap-style:square">
            <v:imagedata r:id="rId62"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63"/>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80" o:spid="_x0000_s1076" type="#_x0000_t75" style="position:absolute;left:0;text-align:left;margin-left:785.35pt;margin-top:296.1pt;width:1.35pt;height:28.05pt;z-index:22;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81" o:spid="_x0000_i1932" type="#_x0000_t75" style="width:715.5pt;height:476.25pt;visibility:visible;mso-wrap-style:square">
            <v:imagedata r:id="rId64"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65"/>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82" o:spid="_x0000_s1075" type="#_x0000_t75" style="position:absolute;margin-left:785.3pt;margin-top:310.65pt;width:1.4pt;height:28.05pt;z-index:23;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83" o:spid="_x0000_i1931" type="#_x0000_t75" style="width:715.5pt;height:479.25pt;visibility:visible;mso-wrap-style:square">
            <v:imagedata r:id="rId66"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67"/>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84" o:spid="_x0000_s1074" type="#_x0000_t75" style="position:absolute;left:0;text-align:left;margin-left:785.35pt;margin-top:296.1pt;width:1.35pt;height:28.05pt;z-index:24;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85" o:spid="_x0000_i1930" type="#_x0000_t75" style="width:715.5pt;height:479.25pt;visibility:visible;mso-wrap-style:square">
            <v:imagedata r:id="rId68"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69"/>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86" o:spid="_x0000_s1073" type="#_x0000_t75" style="position:absolute;margin-left:785.3pt;margin-top:310.65pt;width:1.4pt;height:28.05pt;z-index:25;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87" o:spid="_x0000_i1929" type="#_x0000_t75" style="width:715.5pt;height:475.5pt;visibility:visible;mso-wrap-style:square">
            <v:imagedata r:id="rId70"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71"/>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88" o:spid="_x0000_s1072" type="#_x0000_t75" style="position:absolute;left:0;text-align:left;margin-left:785.35pt;margin-top:296.1pt;width:1.35pt;height:28.05pt;z-index:26;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89" o:spid="_x0000_i1928" type="#_x0000_t75" style="width:715.5pt;height:473.25pt;visibility:visible;mso-wrap-style:square">
            <v:imagedata r:id="rId72"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73"/>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90" o:spid="_x0000_s1071" type="#_x0000_t75" style="position:absolute;margin-left:785.3pt;margin-top:310.65pt;width:1.4pt;height:28.05pt;z-index:27;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91" o:spid="_x0000_i1927" type="#_x0000_t75" style="width:715.5pt;height:473.25pt;visibility:visible;mso-wrap-style:square">
            <v:imagedata r:id="rId74"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75"/>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92" o:spid="_x0000_s1070" type="#_x0000_t75" style="position:absolute;left:0;text-align:left;margin-left:785.35pt;margin-top:296.1pt;width:1.35pt;height:28.05pt;z-index:28;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93" o:spid="_x0000_i1926" type="#_x0000_t75" style="width:715.5pt;height:474pt;visibility:visible;mso-wrap-style:square">
            <v:imagedata r:id="rId76"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77"/>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94" o:spid="_x0000_s1069" type="#_x0000_t75" style="position:absolute;margin-left:785.3pt;margin-top:310.65pt;width:1.4pt;height:28.05pt;z-index:29;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95" o:spid="_x0000_i1925" type="#_x0000_t75" style="width:715.5pt;height:475.5pt;visibility:visible;mso-wrap-style:square">
            <v:imagedata r:id="rId78"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79"/>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96" o:spid="_x0000_s1068" type="#_x0000_t75" style="position:absolute;left:0;text-align:left;margin-left:785.35pt;margin-top:296.1pt;width:1.35pt;height:28.05pt;z-index:30;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97" o:spid="_x0000_i1924" type="#_x0000_t75" style="width:715.5pt;height:479.25pt;visibility:visible;mso-wrap-style:square">
            <v:imagedata r:id="rId80"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81"/>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98" o:spid="_x0000_s1067" type="#_x0000_t75" style="position:absolute;margin-left:785.3pt;margin-top:310.65pt;width:1.4pt;height:28.05pt;z-index:31;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99" o:spid="_x0000_i1923" type="#_x0000_t75" style="width:715.5pt;height:479.25pt;visibility:visible;mso-wrap-style:square">
            <v:imagedata r:id="rId82"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83"/>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100" o:spid="_x0000_s1066" type="#_x0000_t75" style="position:absolute;left:0;text-align:left;margin-left:785.35pt;margin-top:296.1pt;width:1.35pt;height:28.05pt;z-index:32;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101" o:spid="_x0000_i1922" type="#_x0000_t75" style="width:715.5pt;height:474pt;visibility:visible;mso-wrap-style:square">
            <v:imagedata r:id="rId84"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85"/>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102" o:spid="_x0000_s1065" type="#_x0000_t75" style="position:absolute;margin-left:785.3pt;margin-top:310.65pt;width:1.4pt;height:28.05pt;z-index:33;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103" o:spid="_x0000_i1921" type="#_x0000_t75" style="width:715.5pt;height:479.25pt;visibility:visible;mso-wrap-style:square">
            <v:imagedata r:id="rId86"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87"/>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104" o:spid="_x0000_s1064" type="#_x0000_t75" style="position:absolute;left:0;text-align:left;margin-left:785.35pt;margin-top:296.1pt;width:1.35pt;height:28.05pt;z-index:34;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105" o:spid="_x0000_i1920" type="#_x0000_t75" style="width:715.5pt;height:474.75pt;visibility:visible;mso-wrap-style:square">
            <v:imagedata r:id="rId88"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89"/>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106" o:spid="_x0000_s1063" type="#_x0000_t75" style="position:absolute;margin-left:785.3pt;margin-top:310.65pt;width:1.4pt;height:28.05pt;z-index:35;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107" o:spid="_x0000_i1919" type="#_x0000_t75" style="width:715.5pt;height:479.25pt;visibility:visible;mso-wrap-style:square">
            <v:imagedata r:id="rId90"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91"/>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108" o:spid="_x0000_s1062" type="#_x0000_t75" style="position:absolute;left:0;text-align:left;margin-left:785.35pt;margin-top:296.1pt;width:1.35pt;height:28.05pt;z-index:36;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109" o:spid="_x0000_i1918" type="#_x0000_t75" style="width:715.5pt;height:473.25pt;visibility:visible;mso-wrap-style:square">
            <v:imagedata r:id="rId92"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93"/>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110" o:spid="_x0000_s1061" type="#_x0000_t75" style="position:absolute;margin-left:785.3pt;margin-top:310.65pt;width:1.4pt;height:28.05pt;z-index:37;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111" o:spid="_x0000_i1917" type="#_x0000_t75" style="width:715.5pt;height:474pt;visibility:visible;mso-wrap-style:square">
            <v:imagedata r:id="rId94"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95"/>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112" o:spid="_x0000_s1060" type="#_x0000_t75" style="position:absolute;left:0;text-align:left;margin-left:785.35pt;margin-top:296.1pt;width:1.35pt;height:28.05pt;z-index:38;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113" o:spid="_x0000_i1916" type="#_x0000_t75" style="width:715.5pt;height:479.25pt;visibility:visible;mso-wrap-style:square">
            <v:imagedata r:id="rId96"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97"/>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114" o:spid="_x0000_s1059" type="#_x0000_t75" style="position:absolute;margin-left:785.3pt;margin-top:310.65pt;width:1.4pt;height:28.05pt;z-index:39;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115" o:spid="_x0000_i1915" type="#_x0000_t75" style="width:715.5pt;height:479.25pt;visibility:visible;mso-wrap-style:square">
            <v:imagedata r:id="rId98"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99"/>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116" o:spid="_x0000_s1058" type="#_x0000_t75" style="position:absolute;left:0;text-align:left;margin-left:785.35pt;margin-top:296.1pt;width:1.35pt;height:28.05pt;z-index:40;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117" o:spid="_x0000_i1914" type="#_x0000_t75" style="width:715.5pt;height:471.75pt;visibility:visible;mso-wrap-style:square">
            <v:imagedata r:id="rId100"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01"/>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118" o:spid="_x0000_s1057" type="#_x0000_t75" style="position:absolute;margin-left:785.3pt;margin-top:310.65pt;width:1.4pt;height:28.05pt;z-index:41;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119" o:spid="_x0000_i1913" type="#_x0000_t75" style="width:715.5pt;height:479.25pt;visibility:visible;mso-wrap-style:square">
            <v:imagedata r:id="rId102"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03"/>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120" o:spid="_x0000_s1056" type="#_x0000_t75" style="position:absolute;left:0;text-align:left;margin-left:785.35pt;margin-top:296.1pt;width:1.35pt;height:28.05pt;z-index:42;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121" o:spid="_x0000_i1912" type="#_x0000_t75" style="width:715.5pt;height:476.25pt;visibility:visible;mso-wrap-style:square">
            <v:imagedata r:id="rId104"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05"/>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122" o:spid="_x0000_s1055" type="#_x0000_t75" style="position:absolute;margin-left:785.3pt;margin-top:310.65pt;width:1.4pt;height:28.05pt;z-index:43;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123" o:spid="_x0000_i1911" type="#_x0000_t75" style="width:715.5pt;height:473.25pt;visibility:visible;mso-wrap-style:square">
            <v:imagedata r:id="rId106"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07"/>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124" o:spid="_x0000_s1054" type="#_x0000_t75" style="position:absolute;left:0;text-align:left;margin-left:785.35pt;margin-top:296.1pt;width:1.35pt;height:28.05pt;z-index:44;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125" o:spid="_x0000_i1910" type="#_x0000_t75" style="width:715.5pt;height:474pt;visibility:visible;mso-wrap-style:square">
            <v:imagedata r:id="rId108"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09"/>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126" o:spid="_x0000_s1053" type="#_x0000_t75" style="position:absolute;margin-left:785.3pt;margin-top:310.65pt;width:1.4pt;height:28.05pt;z-index:45;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127" o:spid="_x0000_i1909" type="#_x0000_t75" style="width:715.5pt;height:474.75pt;visibility:visible;mso-wrap-style:square">
            <v:imagedata r:id="rId110"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11"/>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128" o:spid="_x0000_s1052" type="#_x0000_t75" style="position:absolute;left:0;text-align:left;margin-left:785.35pt;margin-top:296.1pt;width:1.35pt;height:28.05pt;z-index:46;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129" o:spid="_x0000_i1908" type="#_x0000_t75" style="width:715.5pt;height:479.25pt;visibility:visible;mso-wrap-style:square">
            <v:imagedata r:id="rId112"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13"/>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130" o:spid="_x0000_s1051" type="#_x0000_t75" style="position:absolute;margin-left:785.3pt;margin-top:310.65pt;width:1.4pt;height:28.05pt;z-index:47;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131" o:spid="_x0000_i1907" type="#_x0000_t75" style="width:715.5pt;height:479.25pt;visibility:visible;mso-wrap-style:square">
            <v:imagedata r:id="rId114"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15"/>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132" o:spid="_x0000_s1050" type="#_x0000_t75" style="position:absolute;left:0;text-align:left;margin-left:785.35pt;margin-top:296.1pt;width:1.35pt;height:28.05pt;z-index:48;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133" o:spid="_x0000_i1906" type="#_x0000_t75" style="width:715.5pt;height:479.25pt;visibility:visible;mso-wrap-style:square">
            <v:imagedata r:id="rId116"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17"/>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134" o:spid="_x0000_s1049" type="#_x0000_t75" style="position:absolute;margin-left:785.3pt;margin-top:310.65pt;width:1.4pt;height:28.05pt;z-index:49;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135" o:spid="_x0000_i1905" type="#_x0000_t75" style="width:715.5pt;height:471.75pt;visibility:visible;mso-wrap-style:square">
            <v:imagedata r:id="rId118"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19"/>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136" o:spid="_x0000_s1048" type="#_x0000_t75" style="position:absolute;left:0;text-align:left;margin-left:785.35pt;margin-top:296.1pt;width:1.35pt;height:28.05pt;z-index:50;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137" o:spid="_x0000_i1904" type="#_x0000_t75" style="width:715.5pt;height:479.25pt;visibility:visible;mso-wrap-style:square">
            <v:imagedata r:id="rId120"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21"/>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138" o:spid="_x0000_s1047" type="#_x0000_t75" style="position:absolute;margin-left:785.3pt;margin-top:310.65pt;width:1.4pt;height:28.05pt;z-index:51;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139" o:spid="_x0000_i1903" type="#_x0000_t75" style="width:715.5pt;height:480pt;visibility:visible;mso-wrap-style:square">
            <v:imagedata r:id="rId122"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23"/>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140" o:spid="_x0000_s1046" type="#_x0000_t75" style="position:absolute;left:0;text-align:left;margin-left:785.35pt;margin-top:296.1pt;width:1.35pt;height:28.05pt;z-index:52;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141" o:spid="_x0000_i1902" type="#_x0000_t75" style="width:715.5pt;height:478.5pt;visibility:visible;mso-wrap-style:square">
            <v:imagedata r:id="rId124"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25"/>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142" o:spid="_x0000_s1045" type="#_x0000_t75" style="position:absolute;margin-left:785.3pt;margin-top:310.65pt;width:1.4pt;height:28.05pt;z-index:53;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143" o:spid="_x0000_i1901" type="#_x0000_t75" style="width:715.5pt;height:479.25pt;visibility:visible;mso-wrap-style:square">
            <v:imagedata r:id="rId126"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27"/>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144" o:spid="_x0000_s1044" type="#_x0000_t75" style="position:absolute;left:0;text-align:left;margin-left:785.35pt;margin-top:296.1pt;width:1.35pt;height:28.05pt;z-index:54;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145" o:spid="_x0000_i1900" type="#_x0000_t75" style="width:715.5pt;height:476.25pt;visibility:visible;mso-wrap-style:square">
            <v:imagedata r:id="rId128"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29"/>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146" o:spid="_x0000_s1043" type="#_x0000_t75" style="position:absolute;margin-left:785.3pt;margin-top:310.65pt;width:1.4pt;height:28.05pt;z-index:55;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147" o:spid="_x0000_i1899" type="#_x0000_t75" style="width:715.5pt;height:479.25pt;visibility:visible;mso-wrap-style:square">
            <v:imagedata r:id="rId130"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31"/>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148" o:spid="_x0000_s1042" type="#_x0000_t75" style="position:absolute;left:0;text-align:left;margin-left:785.35pt;margin-top:296.1pt;width:1.35pt;height:28.05pt;z-index:56;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149" o:spid="_x0000_i1898" type="#_x0000_t75" style="width:715.5pt;height:478.5pt;visibility:visible;mso-wrap-style:square">
            <v:imagedata r:id="rId132"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33"/>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150" o:spid="_x0000_s1041" type="#_x0000_t75" style="position:absolute;margin-left:785.3pt;margin-top:310.65pt;width:1.4pt;height:28.05pt;z-index:57;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151" o:spid="_x0000_i1897" type="#_x0000_t75" style="width:715.5pt;height:479.25pt;visibility:visible;mso-wrap-style:square">
            <v:imagedata r:id="rId134"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35"/>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152" o:spid="_x0000_s1040" type="#_x0000_t75" style="position:absolute;left:0;text-align:left;margin-left:785.35pt;margin-top:296.1pt;width:1.35pt;height:28.05pt;z-index:58;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153" o:spid="_x0000_i1896" type="#_x0000_t75" style="width:715.5pt;height:479.25pt;visibility:visible;mso-wrap-style:square">
            <v:imagedata r:id="rId136"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37"/>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154" o:spid="_x0000_s1039" type="#_x0000_t75" style="position:absolute;margin-left:785.3pt;margin-top:310.65pt;width:1.4pt;height:28.05pt;z-index:59;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155" o:spid="_x0000_i1895" type="#_x0000_t75" style="width:715.5pt;height:479.25pt;visibility:visible;mso-wrap-style:square">
            <v:imagedata r:id="rId138"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39"/>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156" o:spid="_x0000_s1038" type="#_x0000_t75" style="position:absolute;left:0;text-align:left;margin-left:785.35pt;margin-top:296.1pt;width:1.35pt;height:28.05pt;z-index:60;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157" o:spid="_x0000_i1894" type="#_x0000_t75" style="width:715.5pt;height:479.25pt;visibility:visible;mso-wrap-style:square">
            <v:imagedata r:id="rId140"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41"/>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158" o:spid="_x0000_s1037" type="#_x0000_t75" style="position:absolute;margin-left:785.3pt;margin-top:310.65pt;width:1.4pt;height:28.05pt;z-index:61;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159" o:spid="_x0000_i1893" type="#_x0000_t75" style="width:715.5pt;height:478.5pt;visibility:visible;mso-wrap-style:square">
            <v:imagedata r:id="rId142"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43"/>
          <w:pgSz w:w="15740" w:h="12480" w:orient="landscape"/>
          <w:pgMar w:top="1400" w:right="260" w:bottom="280" w:left="700" w:header="0" w:footer="0" w:gutter="0"/>
          <w:cols w:space="720"/>
        </w:sectPr>
      </w:pPr>
    </w:p>
    <w:p w:rsidR="001F0BAB" w:rsidRPr="001F0BAB" w:rsidRDefault="001F0BAB" w:rsidP="001F0BAB">
      <w:pPr>
        <w:pStyle w:val="BodyText"/>
        <w:ind w:left="132"/>
        <w:rPr>
          <w:rFonts w:ascii="Arial" w:hAnsi="Arial" w:cs="Arial"/>
          <w:sz w:val="20"/>
        </w:rPr>
      </w:pPr>
      <w:r w:rsidRPr="001F0BAB">
        <w:rPr>
          <w:rFonts w:ascii="Arial" w:hAnsi="Arial" w:cs="Arial"/>
          <w:noProof/>
        </w:rPr>
        <w:pict>
          <v:shape id="Image 160" o:spid="_x0000_s1036" type="#_x0000_t75" style="position:absolute;left:0;text-align:left;margin-left:785.35pt;margin-top:296.1pt;width:1.35pt;height:28.05pt;z-index:62;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161" o:spid="_x0000_i1892" type="#_x0000_t75" style="width:715.5pt;height:479.25pt;visibility:visible;mso-wrap-style:square">
            <v:imagedata r:id="rId144"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45"/>
          <w:pgSz w:w="15740" w:h="12480" w:orient="landscape"/>
          <w:pgMar w:top="1180" w:right="260" w:bottom="280" w:left="700" w:header="0" w:footer="0" w:gutter="0"/>
          <w:cols w:space="720"/>
        </w:sectPr>
      </w:pPr>
    </w:p>
    <w:p w:rsidR="001F0BAB" w:rsidRPr="001F0BAB" w:rsidRDefault="001F0BAB" w:rsidP="001F0BAB">
      <w:pPr>
        <w:pStyle w:val="BodyText"/>
        <w:spacing w:before="7"/>
        <w:rPr>
          <w:rFonts w:ascii="Arial" w:hAnsi="Arial" w:cs="Arial"/>
          <w:sz w:val="5"/>
        </w:rPr>
      </w:pPr>
      <w:r w:rsidRPr="001F0BAB">
        <w:rPr>
          <w:rFonts w:ascii="Arial" w:hAnsi="Arial" w:cs="Arial"/>
          <w:noProof/>
        </w:rPr>
        <w:pict>
          <v:shape id="Image 162" o:spid="_x0000_s1035" type="#_x0000_t75" style="position:absolute;margin-left:785.3pt;margin-top:310.65pt;width:1.4pt;height:28.05pt;z-index:63;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32"/>
        <w:rPr>
          <w:rFonts w:ascii="Arial" w:hAnsi="Arial" w:cs="Arial"/>
          <w:sz w:val="20"/>
        </w:rPr>
      </w:pPr>
      <w:r w:rsidRPr="001F0BAB">
        <w:rPr>
          <w:rFonts w:ascii="Arial" w:hAnsi="Arial" w:cs="Arial"/>
          <w:noProof/>
          <w:sz w:val="20"/>
          <w:lang w:eastAsia="sr-Latn-RS"/>
        </w:rPr>
        <w:pict>
          <v:shape id="Image 163" o:spid="_x0000_i1891" type="#_x0000_t75" style="width:715.5pt;height:291.75pt;visibility:visible;mso-wrap-style:square">
            <v:imagedata r:id="rId146"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47"/>
          <w:pgSz w:w="15740" w:h="12480" w:orient="landscape"/>
          <w:pgMar w:top="1400" w:right="260" w:bottom="280" w:left="700" w:header="0" w:footer="0" w:gutter="0"/>
          <w:cols w:space="720"/>
        </w:sectPr>
      </w:pPr>
    </w:p>
    <w:p w:rsidR="001F0BAB" w:rsidRPr="001F0BAB" w:rsidRDefault="001F0BAB" w:rsidP="001F0BAB">
      <w:pPr>
        <w:pStyle w:val="BodyText"/>
        <w:ind w:left="454"/>
        <w:rPr>
          <w:rFonts w:ascii="Arial" w:hAnsi="Arial" w:cs="Arial"/>
          <w:sz w:val="20"/>
        </w:rPr>
      </w:pPr>
      <w:r w:rsidRPr="001F0BAB">
        <w:rPr>
          <w:rFonts w:ascii="Arial" w:hAnsi="Arial" w:cs="Arial"/>
          <w:noProof/>
          <w:sz w:val="20"/>
          <w:lang w:eastAsia="sr-Latn-RS"/>
        </w:rPr>
        <w:pict>
          <v:shape id="Image 166" o:spid="_x0000_i1890" type="#_x0000_t75" style="width:477.75pt;height:715.5pt;visibility:visible;mso-wrap-style:square">
            <v:imagedata r:id="rId148"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49"/>
          <w:pgSz w:w="12480" w:h="15740"/>
          <w:pgMar w:top="320" w:right="800" w:bottom="280" w:left="760" w:header="0" w:footer="0" w:gutter="0"/>
          <w:cols w:space="720"/>
        </w:sectPr>
      </w:pPr>
    </w:p>
    <w:p w:rsidR="001F0BAB" w:rsidRPr="001F0BAB" w:rsidRDefault="001F0BAB" w:rsidP="001F0BAB">
      <w:pPr>
        <w:pStyle w:val="BodyText"/>
        <w:ind w:left="737"/>
        <w:rPr>
          <w:rFonts w:ascii="Arial" w:hAnsi="Arial" w:cs="Arial"/>
          <w:sz w:val="20"/>
        </w:rPr>
      </w:pPr>
      <w:r w:rsidRPr="001F0BAB">
        <w:rPr>
          <w:rFonts w:ascii="Arial" w:hAnsi="Arial" w:cs="Arial"/>
          <w:noProof/>
          <w:sz w:val="20"/>
          <w:lang w:eastAsia="sr-Latn-RS"/>
        </w:rPr>
        <w:pict>
          <v:shape id="Image 167" o:spid="_x0000_i1889" type="#_x0000_t75" style="width:477.75pt;height:718.5pt;visibility:visible;mso-wrap-style:square">
            <v:imagedata r:id="rId150"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320" w:right="800" w:bottom="280" w:left="760" w:header="0" w:footer="0" w:gutter="0"/>
          <w:cols w:space="720"/>
        </w:sectPr>
      </w:pPr>
    </w:p>
    <w:p w:rsidR="001F0BAB" w:rsidRPr="001F0BAB" w:rsidRDefault="001F0BAB" w:rsidP="001F0BAB">
      <w:pPr>
        <w:pStyle w:val="BodyText"/>
        <w:ind w:left="454"/>
        <w:rPr>
          <w:rFonts w:ascii="Arial" w:hAnsi="Arial" w:cs="Arial"/>
          <w:sz w:val="20"/>
        </w:rPr>
      </w:pPr>
      <w:r w:rsidRPr="001F0BAB">
        <w:rPr>
          <w:rFonts w:ascii="Arial" w:hAnsi="Arial" w:cs="Arial"/>
          <w:noProof/>
          <w:sz w:val="20"/>
          <w:lang w:eastAsia="sr-Latn-RS"/>
        </w:rPr>
        <w:pict>
          <v:shape id="Image 168" o:spid="_x0000_i1888" type="#_x0000_t75" style="width:477.75pt;height:708pt;visibility:visible;mso-wrap-style:square">
            <v:imagedata r:id="rId151"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320" w:right="800" w:bottom="280" w:left="760" w:header="0" w:footer="0" w:gutter="0"/>
          <w:cols w:space="720"/>
        </w:sectPr>
      </w:pPr>
    </w:p>
    <w:p w:rsidR="001F0BAB" w:rsidRPr="001F0BAB" w:rsidRDefault="001F0BAB" w:rsidP="001F0BAB">
      <w:pPr>
        <w:pStyle w:val="BodyText"/>
        <w:ind w:left="737"/>
        <w:rPr>
          <w:rFonts w:ascii="Arial" w:hAnsi="Arial" w:cs="Arial"/>
          <w:sz w:val="20"/>
        </w:rPr>
      </w:pPr>
      <w:r w:rsidRPr="001F0BAB">
        <w:rPr>
          <w:rFonts w:ascii="Arial" w:hAnsi="Arial" w:cs="Arial"/>
          <w:noProof/>
          <w:sz w:val="20"/>
          <w:lang w:eastAsia="sr-Latn-RS"/>
        </w:rPr>
        <w:pict>
          <v:shape id="Image 169" o:spid="_x0000_i1887" type="#_x0000_t75" style="width:477.75pt;height:716.25pt;visibility:visible;mso-wrap-style:square">
            <v:imagedata r:id="rId152"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320" w:right="800" w:bottom="280" w:left="760" w:header="0" w:footer="0" w:gutter="0"/>
          <w:cols w:space="720"/>
        </w:sectPr>
      </w:pPr>
    </w:p>
    <w:p w:rsidR="001F0BAB" w:rsidRPr="001F0BAB" w:rsidRDefault="001F0BAB" w:rsidP="001F0BAB">
      <w:pPr>
        <w:pStyle w:val="BodyText"/>
        <w:ind w:left="454"/>
        <w:rPr>
          <w:rFonts w:ascii="Arial" w:hAnsi="Arial" w:cs="Arial"/>
          <w:sz w:val="20"/>
        </w:rPr>
      </w:pPr>
      <w:r w:rsidRPr="001F0BAB">
        <w:rPr>
          <w:rFonts w:ascii="Arial" w:hAnsi="Arial" w:cs="Arial"/>
          <w:noProof/>
          <w:sz w:val="20"/>
          <w:lang w:eastAsia="sr-Latn-RS"/>
        </w:rPr>
        <w:pict>
          <v:shape id="Image 170" o:spid="_x0000_i1886" type="#_x0000_t75" style="width:477.75pt;height:704.25pt;visibility:visible;mso-wrap-style:square">
            <v:imagedata r:id="rId153"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320" w:right="800" w:bottom="280" w:left="760" w:header="0" w:footer="0" w:gutter="0"/>
          <w:cols w:space="720"/>
        </w:sectPr>
      </w:pPr>
    </w:p>
    <w:p w:rsidR="001F0BAB" w:rsidRPr="001F0BAB" w:rsidRDefault="001F0BAB" w:rsidP="001F0BAB">
      <w:pPr>
        <w:pStyle w:val="BodyText"/>
        <w:ind w:left="737"/>
        <w:rPr>
          <w:rFonts w:ascii="Arial" w:hAnsi="Arial" w:cs="Arial"/>
          <w:sz w:val="20"/>
        </w:rPr>
      </w:pPr>
      <w:r w:rsidRPr="001F0BAB">
        <w:rPr>
          <w:rFonts w:ascii="Arial" w:hAnsi="Arial" w:cs="Arial"/>
          <w:noProof/>
          <w:sz w:val="20"/>
          <w:lang w:eastAsia="sr-Latn-RS"/>
        </w:rPr>
        <w:pict>
          <v:shape id="Image 171" o:spid="_x0000_i1885" type="#_x0000_t75" style="width:477.75pt;height:693.75pt;visibility:visible;mso-wrap-style:square">
            <v:imagedata r:id="rId154"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320" w:right="800" w:bottom="280" w:left="760" w:header="0" w:footer="0" w:gutter="0"/>
          <w:cols w:space="720"/>
        </w:sectPr>
      </w:pPr>
    </w:p>
    <w:p w:rsidR="001F0BAB" w:rsidRPr="001F0BAB" w:rsidRDefault="001F0BAB" w:rsidP="001F0BAB">
      <w:pPr>
        <w:pStyle w:val="BodyText"/>
        <w:ind w:left="454"/>
        <w:rPr>
          <w:rFonts w:ascii="Arial" w:hAnsi="Arial" w:cs="Arial"/>
          <w:sz w:val="20"/>
        </w:rPr>
      </w:pPr>
      <w:r w:rsidRPr="001F0BAB">
        <w:rPr>
          <w:rFonts w:ascii="Arial" w:hAnsi="Arial" w:cs="Arial"/>
          <w:noProof/>
          <w:sz w:val="20"/>
          <w:lang w:eastAsia="sr-Latn-RS"/>
        </w:rPr>
        <w:pict>
          <v:shape id="Image 172" o:spid="_x0000_i1884" type="#_x0000_t75" style="width:477.75pt;height:706.5pt;visibility:visible;mso-wrap-style:square">
            <v:imagedata r:id="rId155"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320" w:right="800" w:bottom="280" w:left="760" w:header="0" w:footer="0" w:gutter="0"/>
          <w:cols w:space="720"/>
        </w:sectPr>
      </w:pPr>
    </w:p>
    <w:p w:rsidR="001F0BAB" w:rsidRPr="001F0BAB" w:rsidRDefault="001F0BAB" w:rsidP="001F0BAB">
      <w:pPr>
        <w:pStyle w:val="BodyText"/>
        <w:ind w:left="737"/>
        <w:rPr>
          <w:rFonts w:ascii="Arial" w:hAnsi="Arial" w:cs="Arial"/>
          <w:sz w:val="20"/>
        </w:rPr>
      </w:pPr>
      <w:r w:rsidRPr="001F0BAB">
        <w:rPr>
          <w:rFonts w:ascii="Arial" w:hAnsi="Arial" w:cs="Arial"/>
          <w:noProof/>
          <w:sz w:val="20"/>
          <w:lang w:eastAsia="sr-Latn-RS"/>
        </w:rPr>
        <w:pict>
          <v:shape id="Image 173" o:spid="_x0000_i1883" type="#_x0000_t75" style="width:477.75pt;height:713.25pt;visibility:visible;mso-wrap-style:square">
            <v:imagedata r:id="rId156"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320" w:right="800" w:bottom="280" w:left="760" w:header="0" w:footer="0" w:gutter="0"/>
          <w:cols w:space="720"/>
        </w:sectPr>
      </w:pPr>
    </w:p>
    <w:p w:rsidR="001F0BAB" w:rsidRPr="001F0BAB" w:rsidRDefault="001F0BAB" w:rsidP="001F0BAB">
      <w:pPr>
        <w:pStyle w:val="BodyText"/>
        <w:ind w:left="454"/>
        <w:rPr>
          <w:rFonts w:ascii="Arial" w:hAnsi="Arial" w:cs="Arial"/>
          <w:sz w:val="20"/>
        </w:rPr>
      </w:pPr>
      <w:r w:rsidRPr="001F0BAB">
        <w:rPr>
          <w:rFonts w:ascii="Arial" w:hAnsi="Arial" w:cs="Arial"/>
          <w:noProof/>
          <w:sz w:val="20"/>
          <w:lang w:eastAsia="sr-Latn-RS"/>
        </w:rPr>
        <w:pict>
          <v:shape id="Image 174" o:spid="_x0000_i1882" type="#_x0000_t75" style="width:477.75pt;height:717.75pt;visibility:visible;mso-wrap-style:square">
            <v:imagedata r:id="rId157"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320" w:right="800" w:bottom="280" w:left="760" w:header="0" w:footer="0" w:gutter="0"/>
          <w:cols w:space="720"/>
        </w:sectPr>
      </w:pPr>
    </w:p>
    <w:p w:rsidR="001F0BAB" w:rsidRPr="001F0BAB" w:rsidRDefault="001F0BAB" w:rsidP="001F0BAB">
      <w:pPr>
        <w:pStyle w:val="BodyText"/>
        <w:ind w:left="737"/>
        <w:rPr>
          <w:rFonts w:ascii="Arial" w:hAnsi="Arial" w:cs="Arial"/>
          <w:sz w:val="20"/>
        </w:rPr>
      </w:pPr>
      <w:r w:rsidRPr="001F0BAB">
        <w:rPr>
          <w:rFonts w:ascii="Arial" w:hAnsi="Arial" w:cs="Arial"/>
          <w:noProof/>
          <w:sz w:val="20"/>
          <w:lang w:eastAsia="sr-Latn-RS"/>
        </w:rPr>
        <w:pict>
          <v:shape id="Image 175" o:spid="_x0000_i1881" type="#_x0000_t75" style="width:477.75pt;height:712.5pt;visibility:visible;mso-wrap-style:square">
            <v:imagedata r:id="rId158"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320" w:right="800" w:bottom="280" w:left="760" w:header="0" w:footer="0" w:gutter="0"/>
          <w:cols w:space="720"/>
        </w:sectPr>
      </w:pPr>
    </w:p>
    <w:p w:rsidR="001F0BAB" w:rsidRPr="001F0BAB" w:rsidRDefault="001F0BAB" w:rsidP="001F0BAB">
      <w:pPr>
        <w:pStyle w:val="BodyText"/>
        <w:ind w:left="454"/>
        <w:rPr>
          <w:rFonts w:ascii="Arial" w:hAnsi="Arial" w:cs="Arial"/>
          <w:sz w:val="20"/>
        </w:rPr>
      </w:pPr>
      <w:r w:rsidRPr="001F0BAB">
        <w:rPr>
          <w:rFonts w:ascii="Arial" w:hAnsi="Arial" w:cs="Arial"/>
          <w:noProof/>
          <w:sz w:val="20"/>
          <w:lang w:eastAsia="sr-Latn-RS"/>
        </w:rPr>
        <w:pict>
          <v:shape id="Image 176" o:spid="_x0000_i1880" type="#_x0000_t75" style="width:477.75pt;height:702pt;visibility:visible;mso-wrap-style:square">
            <v:imagedata r:id="rId159"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320" w:right="800" w:bottom="280" w:left="760" w:header="0" w:footer="0" w:gutter="0"/>
          <w:cols w:space="720"/>
        </w:sectPr>
      </w:pPr>
    </w:p>
    <w:p w:rsidR="001F0BAB" w:rsidRPr="001F0BAB" w:rsidRDefault="001F0BAB" w:rsidP="001F0BAB">
      <w:pPr>
        <w:pStyle w:val="BodyText"/>
        <w:ind w:left="737"/>
        <w:rPr>
          <w:rFonts w:ascii="Arial" w:hAnsi="Arial" w:cs="Arial"/>
          <w:sz w:val="20"/>
        </w:rPr>
      </w:pPr>
      <w:r w:rsidRPr="001F0BAB">
        <w:rPr>
          <w:rFonts w:ascii="Arial" w:hAnsi="Arial" w:cs="Arial"/>
          <w:noProof/>
          <w:sz w:val="20"/>
          <w:lang w:eastAsia="sr-Latn-RS"/>
        </w:rPr>
        <w:pict>
          <v:shape id="Image 177" o:spid="_x0000_i1879" type="#_x0000_t75" style="width:477.75pt;height:696.75pt;visibility:visible;mso-wrap-style:square">
            <v:imagedata r:id="rId160"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320" w:right="800" w:bottom="280" w:left="760" w:header="0" w:footer="0" w:gutter="0"/>
          <w:cols w:space="720"/>
        </w:sectPr>
      </w:pPr>
    </w:p>
    <w:p w:rsidR="001F0BAB" w:rsidRPr="001F0BAB" w:rsidRDefault="001F0BAB" w:rsidP="001F0BAB">
      <w:pPr>
        <w:pStyle w:val="BodyText"/>
        <w:ind w:left="454"/>
        <w:rPr>
          <w:rFonts w:ascii="Arial" w:hAnsi="Arial" w:cs="Arial"/>
          <w:sz w:val="20"/>
        </w:rPr>
      </w:pPr>
      <w:r w:rsidRPr="001F0BAB">
        <w:rPr>
          <w:rFonts w:ascii="Arial" w:hAnsi="Arial" w:cs="Arial"/>
          <w:noProof/>
          <w:sz w:val="20"/>
          <w:lang w:eastAsia="sr-Latn-RS"/>
        </w:rPr>
        <w:pict>
          <v:shape id="Image 178" o:spid="_x0000_i1878" type="#_x0000_t75" style="width:477.75pt;height:694.5pt;visibility:visible;mso-wrap-style:square">
            <v:imagedata r:id="rId161"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320" w:right="800" w:bottom="280" w:left="760" w:header="0" w:footer="0" w:gutter="0"/>
          <w:cols w:space="720"/>
        </w:sectPr>
      </w:pPr>
    </w:p>
    <w:p w:rsidR="001F0BAB" w:rsidRPr="001F0BAB" w:rsidRDefault="001F0BAB" w:rsidP="001F0BAB">
      <w:pPr>
        <w:pStyle w:val="BodyText"/>
        <w:ind w:left="737"/>
        <w:rPr>
          <w:rFonts w:ascii="Arial" w:hAnsi="Arial" w:cs="Arial"/>
          <w:sz w:val="20"/>
        </w:rPr>
      </w:pPr>
      <w:r w:rsidRPr="001F0BAB">
        <w:rPr>
          <w:rFonts w:ascii="Arial" w:hAnsi="Arial" w:cs="Arial"/>
          <w:noProof/>
          <w:sz w:val="20"/>
          <w:lang w:eastAsia="sr-Latn-RS"/>
        </w:rPr>
        <w:pict>
          <v:shape id="Image 179" o:spid="_x0000_i1877" type="#_x0000_t75" style="width:477.75pt;height:292.5pt;visibility:visible;mso-wrap-style:square">
            <v:imagedata r:id="rId162"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320" w:right="800" w:bottom="280" w:left="760" w:header="0" w:footer="0" w:gutter="0"/>
          <w:cols w:space="720"/>
        </w:sectPr>
      </w:pPr>
    </w:p>
    <w:p w:rsidR="001F0BAB" w:rsidRPr="001F0BAB" w:rsidRDefault="001F0BAB" w:rsidP="001F0BAB">
      <w:pPr>
        <w:pStyle w:val="BodyText"/>
        <w:ind w:left="119"/>
        <w:rPr>
          <w:rFonts w:ascii="Arial" w:hAnsi="Arial" w:cs="Arial"/>
          <w:sz w:val="20"/>
        </w:rPr>
      </w:pPr>
      <w:r w:rsidRPr="001F0BAB">
        <w:rPr>
          <w:rFonts w:ascii="Arial" w:hAnsi="Arial" w:cs="Arial"/>
          <w:noProof/>
          <w:sz w:val="20"/>
          <w:lang w:eastAsia="sr-Latn-RS"/>
        </w:rPr>
        <w:pict>
          <v:shape id="Image 180" o:spid="_x0000_i1876" type="#_x0000_t75" style="width:511.5pt;height:666pt;visibility:visible;mso-wrap-style:square">
            <v:imagedata r:id="rId163"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320" w:right="800" w:bottom="280" w:left="760" w:header="0" w:footer="0" w:gutter="0"/>
          <w:cols w:space="720"/>
        </w:sectPr>
      </w:pPr>
    </w:p>
    <w:p w:rsidR="001F0BAB" w:rsidRPr="001F0BAB" w:rsidRDefault="001F0BAB" w:rsidP="001F0BAB">
      <w:pPr>
        <w:pStyle w:val="BodyText"/>
        <w:ind w:left="402"/>
        <w:rPr>
          <w:rFonts w:ascii="Arial" w:hAnsi="Arial" w:cs="Arial"/>
          <w:sz w:val="20"/>
        </w:rPr>
      </w:pPr>
      <w:r w:rsidRPr="001F0BAB">
        <w:rPr>
          <w:rFonts w:ascii="Arial" w:hAnsi="Arial" w:cs="Arial"/>
          <w:noProof/>
          <w:sz w:val="20"/>
          <w:lang w:eastAsia="sr-Latn-RS"/>
        </w:rPr>
        <w:pict>
          <v:shape id="Image 181" o:spid="_x0000_i1875" type="#_x0000_t75" style="width:511.5pt;height:637.5pt;visibility:visible;mso-wrap-style:square">
            <v:imagedata r:id="rId164"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320" w:right="800" w:bottom="280" w:left="760" w:header="0" w:footer="0" w:gutter="0"/>
          <w:cols w:space="720"/>
        </w:sectPr>
      </w:pPr>
    </w:p>
    <w:p w:rsidR="001F0BAB" w:rsidRPr="001F0BAB" w:rsidRDefault="001F0BAB" w:rsidP="001F0BAB">
      <w:pPr>
        <w:pStyle w:val="BodyText"/>
        <w:ind w:left="119"/>
        <w:rPr>
          <w:rFonts w:ascii="Arial" w:hAnsi="Arial" w:cs="Arial"/>
          <w:sz w:val="20"/>
        </w:rPr>
      </w:pPr>
      <w:r w:rsidRPr="001F0BAB">
        <w:rPr>
          <w:rFonts w:ascii="Arial" w:hAnsi="Arial" w:cs="Arial"/>
          <w:noProof/>
          <w:sz w:val="20"/>
          <w:lang w:eastAsia="sr-Latn-RS"/>
        </w:rPr>
        <w:pict>
          <v:shape id="Image 182" o:spid="_x0000_i1874" type="#_x0000_t75" style="width:511.5pt;height:709.5pt;visibility:visible;mso-wrap-style:square">
            <v:imagedata r:id="rId165"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320" w:right="800" w:bottom="280" w:left="760" w:header="0" w:footer="0" w:gutter="0"/>
          <w:cols w:space="720"/>
        </w:sectPr>
      </w:pPr>
    </w:p>
    <w:p w:rsidR="001F0BAB" w:rsidRPr="001F0BAB" w:rsidRDefault="001F0BAB" w:rsidP="001F0BAB">
      <w:pPr>
        <w:pStyle w:val="BodyText"/>
        <w:ind w:left="402"/>
        <w:rPr>
          <w:rFonts w:ascii="Arial" w:hAnsi="Arial" w:cs="Arial"/>
          <w:sz w:val="20"/>
        </w:rPr>
      </w:pPr>
      <w:r w:rsidRPr="001F0BAB">
        <w:rPr>
          <w:rFonts w:ascii="Arial" w:hAnsi="Arial" w:cs="Arial"/>
          <w:noProof/>
          <w:sz w:val="20"/>
          <w:lang w:eastAsia="sr-Latn-RS"/>
        </w:rPr>
        <w:pict>
          <v:shape id="Image 183" o:spid="_x0000_i1873" type="#_x0000_t75" style="width:511.5pt;height:715.5pt;visibility:visible;mso-wrap-style:square">
            <v:imagedata r:id="rId166"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320" w:right="800" w:bottom="280" w:left="760" w:header="0" w:footer="0" w:gutter="0"/>
          <w:cols w:space="720"/>
        </w:sectPr>
      </w:pPr>
    </w:p>
    <w:p w:rsidR="001F0BAB" w:rsidRPr="001F0BAB" w:rsidRDefault="001F0BAB" w:rsidP="001F0BAB">
      <w:pPr>
        <w:pStyle w:val="BodyText"/>
        <w:ind w:left="119"/>
        <w:rPr>
          <w:rFonts w:ascii="Arial" w:hAnsi="Arial" w:cs="Arial"/>
          <w:sz w:val="20"/>
        </w:rPr>
      </w:pPr>
      <w:r w:rsidRPr="001F0BAB">
        <w:rPr>
          <w:rFonts w:ascii="Arial" w:hAnsi="Arial" w:cs="Arial"/>
          <w:noProof/>
          <w:sz w:val="20"/>
          <w:lang w:eastAsia="sr-Latn-RS"/>
        </w:rPr>
        <w:pict>
          <v:shape id="Image 184" o:spid="_x0000_i1872" type="#_x0000_t75" style="width:511.5pt;height:617.25pt;visibility:visible;mso-wrap-style:square">
            <v:imagedata r:id="rId167"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320" w:right="800" w:bottom="280" w:left="760" w:header="0" w:footer="0" w:gutter="0"/>
          <w:cols w:space="720"/>
        </w:sectPr>
      </w:pPr>
    </w:p>
    <w:p w:rsidR="001F0BAB" w:rsidRPr="001F0BAB" w:rsidRDefault="001F0BAB" w:rsidP="001F0BAB">
      <w:pPr>
        <w:pStyle w:val="BodyText"/>
        <w:spacing w:before="6"/>
        <w:rPr>
          <w:rFonts w:ascii="Arial" w:hAnsi="Arial" w:cs="Arial"/>
          <w:sz w:val="12"/>
        </w:rPr>
      </w:pPr>
      <w:r w:rsidRPr="001F0BAB">
        <w:rPr>
          <w:rFonts w:ascii="Arial" w:hAnsi="Arial" w:cs="Arial"/>
          <w:noProof/>
        </w:rPr>
        <w:pict>
          <v:shape id="Image 185" o:spid="_x0000_s1034" type="#_x0000_t75" style="position:absolute;margin-left:785.3pt;margin-top:310.65pt;width:1.4pt;height:28.05pt;z-index:64;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04"/>
        <w:rPr>
          <w:rFonts w:ascii="Arial" w:hAnsi="Arial" w:cs="Arial"/>
          <w:sz w:val="20"/>
        </w:rPr>
      </w:pPr>
      <w:r w:rsidRPr="001F0BAB">
        <w:rPr>
          <w:rFonts w:ascii="Arial" w:hAnsi="Arial" w:cs="Arial"/>
          <w:noProof/>
          <w:sz w:val="20"/>
          <w:lang w:eastAsia="sr-Latn-RS"/>
        </w:rPr>
        <w:pict>
          <v:shape id="Image 186" o:spid="_x0000_i1871" type="#_x0000_t75" style="width:719.25pt;height:459pt;visibility:visible;mso-wrap-style:square">
            <v:imagedata r:id="rId168"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69"/>
          <w:pgSz w:w="15740" w:h="12480" w:orient="landscape"/>
          <w:pgMar w:top="1400" w:right="240" w:bottom="280" w:left="680" w:header="0" w:footer="0" w:gutter="0"/>
          <w:cols w:space="720"/>
        </w:sectPr>
      </w:pPr>
    </w:p>
    <w:p w:rsidR="001F0BAB" w:rsidRPr="001F0BAB" w:rsidRDefault="001F0BAB" w:rsidP="001F0BAB">
      <w:pPr>
        <w:pStyle w:val="BodyText"/>
        <w:ind w:left="104"/>
        <w:rPr>
          <w:rFonts w:ascii="Arial" w:hAnsi="Arial" w:cs="Arial"/>
          <w:sz w:val="20"/>
        </w:rPr>
      </w:pPr>
      <w:r w:rsidRPr="001F0BAB">
        <w:rPr>
          <w:rFonts w:ascii="Arial" w:hAnsi="Arial" w:cs="Arial"/>
          <w:noProof/>
        </w:rPr>
        <w:pict>
          <v:shape id="Image 187" o:spid="_x0000_s1033" type="#_x0000_t75" style="position:absolute;left:0;text-align:left;margin-left:785.35pt;margin-top:296.1pt;width:1.35pt;height:28.05pt;z-index:65;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188" o:spid="_x0000_i1870" type="#_x0000_t75" style="width:719.25pt;height:463.5pt;visibility:visible;mso-wrap-style:square">
            <v:imagedata r:id="rId170"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71"/>
          <w:pgSz w:w="15740" w:h="12480" w:orient="landscape"/>
          <w:pgMar w:top="1260" w:right="240" w:bottom="280" w:left="680" w:header="0" w:footer="0" w:gutter="0"/>
          <w:cols w:space="720"/>
        </w:sectPr>
      </w:pPr>
    </w:p>
    <w:p w:rsidR="001F0BAB" w:rsidRPr="001F0BAB" w:rsidRDefault="001F0BAB" w:rsidP="001F0BAB">
      <w:pPr>
        <w:pStyle w:val="BodyText"/>
        <w:spacing w:before="6"/>
        <w:rPr>
          <w:rFonts w:ascii="Arial" w:hAnsi="Arial" w:cs="Arial"/>
          <w:sz w:val="12"/>
        </w:rPr>
      </w:pPr>
      <w:r w:rsidRPr="001F0BAB">
        <w:rPr>
          <w:rFonts w:ascii="Arial" w:hAnsi="Arial" w:cs="Arial"/>
          <w:noProof/>
        </w:rPr>
        <w:pict>
          <v:shape id="Image 189" o:spid="_x0000_s1032" type="#_x0000_t75" style="position:absolute;margin-left:785.3pt;margin-top:310.65pt;width:1.4pt;height:28.05pt;z-index:66;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04"/>
        <w:rPr>
          <w:rFonts w:ascii="Arial" w:hAnsi="Arial" w:cs="Arial"/>
          <w:sz w:val="20"/>
        </w:rPr>
      </w:pPr>
      <w:r w:rsidRPr="001F0BAB">
        <w:rPr>
          <w:rFonts w:ascii="Arial" w:hAnsi="Arial" w:cs="Arial"/>
          <w:noProof/>
          <w:sz w:val="20"/>
          <w:lang w:eastAsia="sr-Latn-RS"/>
        </w:rPr>
        <w:pict>
          <v:shape id="Image 190" o:spid="_x0000_i1869" type="#_x0000_t75" style="width:719.25pt;height:474pt;visibility:visible;mso-wrap-style:square">
            <v:imagedata r:id="rId172"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73"/>
          <w:pgSz w:w="15740" w:h="12480" w:orient="landscape"/>
          <w:pgMar w:top="1400" w:right="240" w:bottom="280" w:left="680" w:header="0" w:footer="0" w:gutter="0"/>
          <w:cols w:space="720"/>
        </w:sectPr>
      </w:pPr>
    </w:p>
    <w:p w:rsidR="001F0BAB" w:rsidRPr="001F0BAB" w:rsidRDefault="001F0BAB" w:rsidP="001F0BAB">
      <w:pPr>
        <w:pStyle w:val="BodyText"/>
        <w:ind w:left="104"/>
        <w:rPr>
          <w:rFonts w:ascii="Arial" w:hAnsi="Arial" w:cs="Arial"/>
          <w:sz w:val="20"/>
        </w:rPr>
      </w:pPr>
      <w:r w:rsidRPr="001F0BAB">
        <w:rPr>
          <w:rFonts w:ascii="Arial" w:hAnsi="Arial" w:cs="Arial"/>
          <w:noProof/>
        </w:rPr>
        <w:pict>
          <v:shape id="Image 191" o:spid="_x0000_s1031" type="#_x0000_t75" style="position:absolute;left:0;text-align:left;margin-left:785.35pt;margin-top:296.1pt;width:1.35pt;height:28.05pt;z-index:67;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192" o:spid="_x0000_i1868" type="#_x0000_t75" style="width:719.25pt;height:474pt;visibility:visible;mso-wrap-style:square">
            <v:imagedata r:id="rId174"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75"/>
          <w:pgSz w:w="15740" w:h="12480" w:orient="landscape"/>
          <w:pgMar w:top="1260" w:right="240" w:bottom="280" w:left="680" w:header="0" w:footer="0" w:gutter="0"/>
          <w:cols w:space="720"/>
        </w:sectPr>
      </w:pPr>
    </w:p>
    <w:p w:rsidR="001F0BAB" w:rsidRPr="001F0BAB" w:rsidRDefault="001F0BAB" w:rsidP="001F0BAB">
      <w:pPr>
        <w:pStyle w:val="BodyText"/>
        <w:spacing w:before="6"/>
        <w:rPr>
          <w:rFonts w:ascii="Arial" w:hAnsi="Arial" w:cs="Arial"/>
          <w:sz w:val="12"/>
        </w:rPr>
      </w:pPr>
      <w:r w:rsidRPr="001F0BAB">
        <w:rPr>
          <w:rFonts w:ascii="Arial" w:hAnsi="Arial" w:cs="Arial"/>
          <w:noProof/>
        </w:rPr>
        <w:pict>
          <v:shape id="Image 193" o:spid="_x0000_s1030" type="#_x0000_t75" style="position:absolute;margin-left:785.3pt;margin-top:310.65pt;width:1.4pt;height:28.05pt;z-index:68;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04"/>
        <w:rPr>
          <w:rFonts w:ascii="Arial" w:hAnsi="Arial" w:cs="Arial"/>
          <w:sz w:val="20"/>
        </w:rPr>
      </w:pPr>
      <w:r w:rsidRPr="001F0BAB">
        <w:rPr>
          <w:rFonts w:ascii="Arial" w:hAnsi="Arial" w:cs="Arial"/>
          <w:noProof/>
          <w:sz w:val="20"/>
          <w:lang w:eastAsia="sr-Latn-RS"/>
        </w:rPr>
        <w:pict>
          <v:shape id="Image 194" o:spid="_x0000_i1867" type="#_x0000_t75" style="width:719.25pt;height:473.25pt;visibility:visible;mso-wrap-style:square">
            <v:imagedata r:id="rId176"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77"/>
          <w:pgSz w:w="15740" w:h="12480" w:orient="landscape"/>
          <w:pgMar w:top="1400" w:right="240" w:bottom="280" w:left="680" w:header="0" w:footer="0" w:gutter="0"/>
          <w:cols w:space="720"/>
        </w:sectPr>
      </w:pPr>
    </w:p>
    <w:p w:rsidR="001F0BAB" w:rsidRPr="001F0BAB" w:rsidRDefault="001F0BAB" w:rsidP="001F0BAB">
      <w:pPr>
        <w:pStyle w:val="BodyText"/>
        <w:ind w:left="104"/>
        <w:rPr>
          <w:rFonts w:ascii="Arial" w:hAnsi="Arial" w:cs="Arial"/>
          <w:sz w:val="20"/>
        </w:rPr>
      </w:pPr>
      <w:r w:rsidRPr="001F0BAB">
        <w:rPr>
          <w:rFonts w:ascii="Arial" w:hAnsi="Arial" w:cs="Arial"/>
          <w:noProof/>
        </w:rPr>
        <w:pict>
          <v:shape id="Image 195" o:spid="_x0000_s1029" type="#_x0000_t75" style="position:absolute;left:0;text-align:left;margin-left:785.35pt;margin-top:296.1pt;width:1.35pt;height:28.05pt;z-index:69;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196" o:spid="_x0000_i1866" type="#_x0000_t75" style="width:719.25pt;height:451.5pt;visibility:visible;mso-wrap-style:square">
            <v:imagedata r:id="rId178"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79"/>
          <w:pgSz w:w="15740" w:h="12480" w:orient="landscape"/>
          <w:pgMar w:top="1260" w:right="240" w:bottom="280" w:left="680" w:header="0" w:footer="0" w:gutter="0"/>
          <w:cols w:space="720"/>
        </w:sectPr>
      </w:pPr>
    </w:p>
    <w:p w:rsidR="001F0BAB" w:rsidRPr="001F0BAB" w:rsidRDefault="001F0BAB" w:rsidP="001F0BAB">
      <w:pPr>
        <w:pStyle w:val="BodyText"/>
        <w:spacing w:before="6"/>
        <w:rPr>
          <w:rFonts w:ascii="Arial" w:hAnsi="Arial" w:cs="Arial"/>
          <w:sz w:val="12"/>
        </w:rPr>
      </w:pPr>
      <w:r w:rsidRPr="001F0BAB">
        <w:rPr>
          <w:rFonts w:ascii="Arial" w:hAnsi="Arial" w:cs="Arial"/>
          <w:noProof/>
        </w:rPr>
        <w:pict>
          <v:shape id="Image 197" o:spid="_x0000_s1028" type="#_x0000_t75" style="position:absolute;margin-left:785.3pt;margin-top:310.65pt;width:1.4pt;height:28.05pt;z-index:70;visibility:visible;mso-wrap-style:square;mso-wrap-distance-left:0;mso-wrap-distance-top:0;mso-wrap-distance-right:0;mso-wrap-distance-bottom:0;mso-position-horizontal:absolute;mso-position-horizontal-relative:page;mso-position-vertical:absolute;mso-position-vertical-relative:page">
            <v:imagedata r:id="rId20" o:title=""/>
            <o:lock v:ext="edit" aspectratio="f"/>
            <w10:wrap anchorx="page" anchory="page"/>
          </v:shape>
        </w:pict>
      </w:r>
    </w:p>
    <w:p w:rsidR="001F0BAB" w:rsidRPr="001F0BAB" w:rsidRDefault="001F0BAB" w:rsidP="001F0BAB">
      <w:pPr>
        <w:pStyle w:val="BodyText"/>
        <w:ind w:left="104"/>
        <w:rPr>
          <w:rFonts w:ascii="Arial" w:hAnsi="Arial" w:cs="Arial"/>
          <w:sz w:val="20"/>
        </w:rPr>
      </w:pPr>
      <w:r w:rsidRPr="001F0BAB">
        <w:rPr>
          <w:rFonts w:ascii="Arial" w:hAnsi="Arial" w:cs="Arial"/>
          <w:noProof/>
          <w:sz w:val="20"/>
          <w:lang w:eastAsia="sr-Latn-RS"/>
        </w:rPr>
        <w:pict>
          <v:shape id="Image 198" o:spid="_x0000_i1865" type="#_x0000_t75" style="width:719.25pt;height:470.25pt;visibility:visible;mso-wrap-style:square">
            <v:imagedata r:id="rId180"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81"/>
          <w:pgSz w:w="15740" w:h="12480" w:orient="landscape"/>
          <w:pgMar w:top="1400" w:right="240" w:bottom="280" w:left="680" w:header="0" w:footer="0" w:gutter="0"/>
          <w:cols w:space="720"/>
        </w:sectPr>
      </w:pPr>
    </w:p>
    <w:p w:rsidR="001F0BAB" w:rsidRPr="001F0BAB" w:rsidRDefault="001F0BAB" w:rsidP="001F0BAB">
      <w:pPr>
        <w:pStyle w:val="BodyText"/>
        <w:ind w:left="104"/>
        <w:rPr>
          <w:rFonts w:ascii="Arial" w:hAnsi="Arial" w:cs="Arial"/>
          <w:sz w:val="20"/>
        </w:rPr>
      </w:pPr>
      <w:r w:rsidRPr="001F0BAB">
        <w:rPr>
          <w:rFonts w:ascii="Arial" w:hAnsi="Arial" w:cs="Arial"/>
          <w:noProof/>
        </w:rPr>
        <w:pict>
          <v:shape id="Image 199" o:spid="_x0000_s1027" type="#_x0000_t75" style="position:absolute;left:0;text-align:left;margin-left:785.35pt;margin-top:296.1pt;width:1.35pt;height:28.05pt;z-index:71;visibility:visible;mso-wrap-style:square;mso-wrap-distance-left:0;mso-wrap-distance-top:0;mso-wrap-distance-right:0;mso-wrap-distance-bottom:0;mso-position-horizontal:absolute;mso-position-horizontal-relative:page;mso-position-vertical:absolute;mso-position-vertical-relative:page">
            <v:imagedata r:id="rId23" o:title=""/>
            <o:lock v:ext="edit" aspectratio="f"/>
            <w10:wrap anchorx="page" anchory="page"/>
          </v:shape>
        </w:pict>
      </w:r>
      <w:r w:rsidRPr="001F0BAB">
        <w:rPr>
          <w:rFonts w:ascii="Arial" w:hAnsi="Arial" w:cs="Arial"/>
          <w:noProof/>
          <w:sz w:val="20"/>
          <w:lang w:eastAsia="sr-Latn-RS"/>
        </w:rPr>
        <w:pict>
          <v:shape id="Image 200" o:spid="_x0000_i1864" type="#_x0000_t75" style="width:719.25pt;height:446.25pt;visibility:visible;mso-wrap-style:square">
            <v:imagedata r:id="rId182"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83"/>
          <w:pgSz w:w="15740" w:h="12480" w:orient="landscape"/>
          <w:pgMar w:top="1260" w:right="240" w:bottom="280" w:left="680" w:header="0" w:footer="0" w:gutter="0"/>
          <w:cols w:space="720"/>
        </w:sectPr>
      </w:pPr>
    </w:p>
    <w:p w:rsidR="001F0BAB" w:rsidRPr="001F0BAB" w:rsidRDefault="001F0BAB" w:rsidP="001F0BAB">
      <w:pPr>
        <w:pStyle w:val="BodyText"/>
        <w:spacing w:before="4"/>
        <w:rPr>
          <w:rFonts w:ascii="Arial" w:hAnsi="Arial" w:cs="Arial"/>
          <w:sz w:val="3"/>
        </w:rPr>
      </w:pPr>
    </w:p>
    <w:p w:rsidR="001F0BAB" w:rsidRPr="001F0BAB" w:rsidRDefault="001F0BAB" w:rsidP="001F0BAB">
      <w:pPr>
        <w:pStyle w:val="BodyText"/>
        <w:ind w:left="393"/>
        <w:rPr>
          <w:rFonts w:ascii="Arial" w:hAnsi="Arial" w:cs="Arial"/>
          <w:sz w:val="20"/>
        </w:rPr>
      </w:pPr>
      <w:r w:rsidRPr="001F0BAB">
        <w:rPr>
          <w:rFonts w:ascii="Arial" w:hAnsi="Arial" w:cs="Arial"/>
          <w:noProof/>
          <w:sz w:val="20"/>
          <w:lang w:eastAsia="sr-Latn-RS"/>
        </w:rPr>
        <w:pict>
          <v:shape id="Image 203" o:spid="_x0000_i1863" type="#_x0000_t75" style="width:472.5pt;height:704.25pt;visibility:visible;mso-wrap-style:square">
            <v:imagedata r:id="rId184" o:title=""/>
            <o:lock v:ext="edit" aspectratio="f"/>
          </v:shape>
        </w:pict>
      </w:r>
    </w:p>
    <w:p w:rsidR="001F0BAB" w:rsidRPr="001F0BAB" w:rsidRDefault="001F0BAB" w:rsidP="001F0BAB">
      <w:pPr>
        <w:rPr>
          <w:rFonts w:ascii="Arial" w:hAnsi="Arial" w:cs="Arial"/>
          <w:sz w:val="20"/>
        </w:rPr>
        <w:sectPr w:rsidR="001F0BAB" w:rsidRPr="001F0BAB" w:rsidSect="001F0BAB">
          <w:headerReference w:type="default" r:id="rId185"/>
          <w:pgSz w:w="12480" w:h="15740"/>
          <w:pgMar w:top="280" w:right="1180" w:bottom="280" w:left="1160" w:header="0" w:footer="0" w:gutter="0"/>
          <w:cols w:space="720"/>
        </w:sectPr>
      </w:pPr>
    </w:p>
    <w:p w:rsidR="001F0BAB" w:rsidRPr="001F0BAB" w:rsidRDefault="001F0BAB" w:rsidP="001F0BAB">
      <w:pPr>
        <w:pStyle w:val="BodyText"/>
        <w:spacing w:before="4"/>
        <w:rPr>
          <w:rFonts w:ascii="Arial" w:hAnsi="Arial" w:cs="Arial"/>
          <w:sz w:val="3"/>
        </w:rPr>
      </w:pPr>
    </w:p>
    <w:p w:rsidR="001F0BAB" w:rsidRPr="001F0BAB" w:rsidRDefault="001F0BAB" w:rsidP="001F0BAB">
      <w:pPr>
        <w:pStyle w:val="BodyText"/>
        <w:ind w:left="109"/>
        <w:rPr>
          <w:rFonts w:ascii="Arial" w:hAnsi="Arial" w:cs="Arial"/>
          <w:sz w:val="20"/>
        </w:rPr>
      </w:pPr>
      <w:r w:rsidRPr="001F0BAB">
        <w:rPr>
          <w:rFonts w:ascii="Arial" w:hAnsi="Arial" w:cs="Arial"/>
          <w:noProof/>
          <w:sz w:val="20"/>
          <w:lang w:eastAsia="sr-Latn-RS"/>
        </w:rPr>
        <w:pict>
          <v:shape id="Image 204" o:spid="_x0000_i1862" type="#_x0000_t75" style="width:472.5pt;height:706.5pt;visibility:visible;mso-wrap-style:square">
            <v:imagedata r:id="rId186"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280" w:right="1180" w:bottom="280" w:left="1160" w:header="0" w:footer="0" w:gutter="0"/>
          <w:cols w:space="720"/>
        </w:sectPr>
      </w:pPr>
    </w:p>
    <w:p w:rsidR="001F0BAB" w:rsidRPr="001F0BAB" w:rsidRDefault="001F0BAB" w:rsidP="001F0BAB">
      <w:pPr>
        <w:pStyle w:val="BodyText"/>
        <w:spacing w:before="4"/>
        <w:rPr>
          <w:rFonts w:ascii="Arial" w:hAnsi="Arial" w:cs="Arial"/>
          <w:sz w:val="3"/>
        </w:rPr>
      </w:pPr>
    </w:p>
    <w:p w:rsidR="001F0BAB" w:rsidRPr="001F0BAB" w:rsidRDefault="001F0BAB" w:rsidP="001F0BAB">
      <w:pPr>
        <w:pStyle w:val="BodyText"/>
        <w:ind w:left="393"/>
        <w:rPr>
          <w:rFonts w:ascii="Arial" w:hAnsi="Arial" w:cs="Arial"/>
          <w:sz w:val="20"/>
        </w:rPr>
      </w:pPr>
      <w:r w:rsidRPr="001F0BAB">
        <w:rPr>
          <w:rFonts w:ascii="Arial" w:hAnsi="Arial" w:cs="Arial"/>
          <w:noProof/>
          <w:sz w:val="20"/>
          <w:lang w:eastAsia="sr-Latn-RS"/>
        </w:rPr>
        <w:pict>
          <v:shape id="Image 205" o:spid="_x0000_i1861" type="#_x0000_t75" style="width:472.5pt;height:710.25pt;visibility:visible;mso-wrap-style:square">
            <v:imagedata r:id="rId187"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280" w:right="1180" w:bottom="280" w:left="1160" w:header="0" w:footer="0" w:gutter="0"/>
          <w:cols w:space="720"/>
        </w:sectPr>
      </w:pPr>
    </w:p>
    <w:p w:rsidR="001F0BAB" w:rsidRPr="001F0BAB" w:rsidRDefault="001F0BAB" w:rsidP="001F0BAB">
      <w:pPr>
        <w:pStyle w:val="BodyText"/>
        <w:spacing w:before="4"/>
        <w:rPr>
          <w:rFonts w:ascii="Arial" w:hAnsi="Arial" w:cs="Arial"/>
          <w:sz w:val="3"/>
        </w:rPr>
      </w:pPr>
    </w:p>
    <w:p w:rsidR="001F0BAB" w:rsidRPr="001F0BAB" w:rsidRDefault="001F0BAB" w:rsidP="001F0BAB">
      <w:pPr>
        <w:pStyle w:val="BodyText"/>
        <w:ind w:left="109"/>
        <w:rPr>
          <w:rFonts w:ascii="Arial" w:hAnsi="Arial" w:cs="Arial"/>
          <w:sz w:val="20"/>
        </w:rPr>
      </w:pPr>
      <w:r w:rsidRPr="001F0BAB">
        <w:rPr>
          <w:rFonts w:ascii="Arial" w:hAnsi="Arial" w:cs="Arial"/>
          <w:noProof/>
          <w:sz w:val="20"/>
          <w:lang w:eastAsia="sr-Latn-RS"/>
        </w:rPr>
        <w:pict>
          <v:shape id="Image 206" o:spid="_x0000_i1860" type="#_x0000_t75" style="width:472.5pt;height:717.75pt;visibility:visible;mso-wrap-style:square">
            <v:imagedata r:id="rId188"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280" w:right="1180" w:bottom="280" w:left="1160" w:header="0" w:footer="0" w:gutter="0"/>
          <w:cols w:space="720"/>
        </w:sectPr>
      </w:pPr>
    </w:p>
    <w:p w:rsidR="001F0BAB" w:rsidRPr="001F0BAB" w:rsidRDefault="001F0BAB" w:rsidP="001F0BAB">
      <w:pPr>
        <w:pStyle w:val="BodyText"/>
        <w:spacing w:before="4"/>
        <w:rPr>
          <w:rFonts w:ascii="Arial" w:hAnsi="Arial" w:cs="Arial"/>
          <w:sz w:val="3"/>
        </w:rPr>
      </w:pPr>
    </w:p>
    <w:p w:rsidR="001F0BAB" w:rsidRPr="001F0BAB" w:rsidRDefault="001F0BAB" w:rsidP="001F0BAB">
      <w:pPr>
        <w:pStyle w:val="BodyText"/>
        <w:ind w:left="393"/>
        <w:rPr>
          <w:rFonts w:ascii="Arial" w:hAnsi="Arial" w:cs="Arial"/>
          <w:sz w:val="20"/>
        </w:rPr>
      </w:pPr>
      <w:r w:rsidRPr="001F0BAB">
        <w:rPr>
          <w:rFonts w:ascii="Arial" w:hAnsi="Arial" w:cs="Arial"/>
          <w:noProof/>
          <w:sz w:val="20"/>
          <w:lang w:eastAsia="sr-Latn-RS"/>
        </w:rPr>
        <w:pict>
          <v:shape id="Image 207" o:spid="_x0000_i1859" type="#_x0000_t75" style="width:472.5pt;height:714.75pt;visibility:visible;mso-wrap-style:square">
            <v:imagedata r:id="rId189"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280" w:right="1180" w:bottom="280" w:left="1160" w:header="0" w:footer="0" w:gutter="0"/>
          <w:cols w:space="720"/>
        </w:sectPr>
      </w:pPr>
    </w:p>
    <w:p w:rsidR="001F0BAB" w:rsidRPr="001F0BAB" w:rsidRDefault="001F0BAB" w:rsidP="001F0BAB">
      <w:pPr>
        <w:pStyle w:val="BodyText"/>
        <w:spacing w:before="4"/>
        <w:rPr>
          <w:rFonts w:ascii="Arial" w:hAnsi="Arial" w:cs="Arial"/>
          <w:sz w:val="3"/>
        </w:rPr>
      </w:pPr>
    </w:p>
    <w:p w:rsidR="001F0BAB" w:rsidRPr="001F0BAB" w:rsidRDefault="001F0BAB" w:rsidP="001F0BAB">
      <w:pPr>
        <w:pStyle w:val="BodyText"/>
        <w:ind w:left="109"/>
        <w:rPr>
          <w:rFonts w:ascii="Arial" w:hAnsi="Arial" w:cs="Arial"/>
          <w:sz w:val="20"/>
        </w:rPr>
      </w:pPr>
      <w:r w:rsidRPr="001F0BAB">
        <w:rPr>
          <w:rFonts w:ascii="Arial" w:hAnsi="Arial" w:cs="Arial"/>
          <w:noProof/>
          <w:sz w:val="20"/>
          <w:lang w:eastAsia="sr-Latn-RS"/>
        </w:rPr>
        <w:pict>
          <v:shape id="Image 208" o:spid="_x0000_i1858" type="#_x0000_t75" style="width:472.5pt;height:711.75pt;visibility:visible;mso-wrap-style:square">
            <v:imagedata r:id="rId190"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280" w:right="1180" w:bottom="280" w:left="1160" w:header="0" w:footer="0" w:gutter="0"/>
          <w:cols w:space="720"/>
        </w:sectPr>
      </w:pPr>
    </w:p>
    <w:p w:rsidR="001F0BAB" w:rsidRPr="001F0BAB" w:rsidRDefault="001F0BAB" w:rsidP="001F0BAB">
      <w:pPr>
        <w:pStyle w:val="BodyText"/>
        <w:spacing w:before="4"/>
        <w:rPr>
          <w:rFonts w:ascii="Arial" w:hAnsi="Arial" w:cs="Arial"/>
          <w:sz w:val="3"/>
        </w:rPr>
      </w:pPr>
    </w:p>
    <w:p w:rsidR="001F0BAB" w:rsidRPr="001F0BAB" w:rsidRDefault="001F0BAB" w:rsidP="001F0BAB">
      <w:pPr>
        <w:pStyle w:val="BodyText"/>
        <w:ind w:left="393"/>
        <w:rPr>
          <w:rFonts w:ascii="Arial" w:hAnsi="Arial" w:cs="Arial"/>
          <w:sz w:val="20"/>
        </w:rPr>
      </w:pPr>
      <w:r w:rsidRPr="001F0BAB">
        <w:rPr>
          <w:rFonts w:ascii="Arial" w:hAnsi="Arial" w:cs="Arial"/>
          <w:noProof/>
          <w:sz w:val="20"/>
          <w:lang w:eastAsia="sr-Latn-RS"/>
        </w:rPr>
        <w:pict>
          <v:shape id="Image 209" o:spid="_x0000_i1857" type="#_x0000_t75" style="width:472.5pt;height:708pt;visibility:visible;mso-wrap-style:square">
            <v:imagedata r:id="rId191"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280" w:right="1180" w:bottom="280" w:left="1160" w:header="0" w:footer="0" w:gutter="0"/>
          <w:cols w:space="720"/>
        </w:sectPr>
      </w:pPr>
    </w:p>
    <w:p w:rsidR="001F0BAB" w:rsidRPr="001F0BAB" w:rsidRDefault="001F0BAB" w:rsidP="001F0BAB">
      <w:pPr>
        <w:pStyle w:val="BodyText"/>
        <w:spacing w:before="4"/>
        <w:rPr>
          <w:rFonts w:ascii="Arial" w:hAnsi="Arial" w:cs="Arial"/>
          <w:sz w:val="3"/>
        </w:rPr>
      </w:pPr>
    </w:p>
    <w:p w:rsidR="001F0BAB" w:rsidRPr="001F0BAB" w:rsidRDefault="001F0BAB" w:rsidP="001F0BAB">
      <w:pPr>
        <w:pStyle w:val="BodyText"/>
        <w:ind w:left="109"/>
        <w:rPr>
          <w:rFonts w:ascii="Arial" w:hAnsi="Arial" w:cs="Arial"/>
          <w:sz w:val="20"/>
        </w:rPr>
      </w:pPr>
      <w:r w:rsidRPr="001F0BAB">
        <w:rPr>
          <w:rFonts w:ascii="Arial" w:hAnsi="Arial" w:cs="Arial"/>
          <w:noProof/>
          <w:sz w:val="20"/>
          <w:lang w:eastAsia="sr-Latn-RS"/>
        </w:rPr>
        <w:pict>
          <v:shape id="Image 210" o:spid="_x0000_i1856" type="#_x0000_t75" style="width:472.5pt;height:711.75pt;visibility:visible;mso-wrap-style:square">
            <v:imagedata r:id="rId192"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280" w:right="1180" w:bottom="280" w:left="1160" w:header="0" w:footer="0" w:gutter="0"/>
          <w:cols w:space="720"/>
        </w:sectPr>
      </w:pPr>
    </w:p>
    <w:p w:rsidR="001F0BAB" w:rsidRPr="001F0BAB" w:rsidRDefault="001F0BAB" w:rsidP="001F0BAB">
      <w:pPr>
        <w:pStyle w:val="BodyText"/>
        <w:spacing w:before="4"/>
        <w:rPr>
          <w:rFonts w:ascii="Arial" w:hAnsi="Arial" w:cs="Arial"/>
          <w:sz w:val="3"/>
        </w:rPr>
      </w:pPr>
    </w:p>
    <w:p w:rsidR="001F0BAB" w:rsidRPr="001F0BAB" w:rsidRDefault="001F0BAB" w:rsidP="001F0BAB">
      <w:pPr>
        <w:pStyle w:val="BodyText"/>
        <w:ind w:left="393"/>
        <w:rPr>
          <w:rFonts w:ascii="Arial" w:hAnsi="Arial" w:cs="Arial"/>
          <w:sz w:val="20"/>
        </w:rPr>
      </w:pPr>
      <w:r w:rsidRPr="001F0BAB">
        <w:rPr>
          <w:rFonts w:ascii="Arial" w:hAnsi="Arial" w:cs="Arial"/>
          <w:noProof/>
          <w:sz w:val="20"/>
          <w:lang w:eastAsia="sr-Latn-RS"/>
        </w:rPr>
        <w:pict>
          <v:shape id="Image 211" o:spid="_x0000_i1855" type="#_x0000_t75" style="width:472.5pt;height:710.25pt;visibility:visible;mso-wrap-style:square">
            <v:imagedata r:id="rId193"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280" w:right="1180" w:bottom="280" w:left="1160" w:header="0" w:footer="0" w:gutter="0"/>
          <w:cols w:space="720"/>
        </w:sectPr>
      </w:pPr>
    </w:p>
    <w:p w:rsidR="001F0BAB" w:rsidRPr="001F0BAB" w:rsidRDefault="001F0BAB" w:rsidP="001F0BAB">
      <w:pPr>
        <w:pStyle w:val="BodyText"/>
        <w:spacing w:before="4"/>
        <w:rPr>
          <w:rFonts w:ascii="Arial" w:hAnsi="Arial" w:cs="Arial"/>
          <w:sz w:val="3"/>
        </w:rPr>
      </w:pPr>
    </w:p>
    <w:p w:rsidR="001F0BAB" w:rsidRPr="001F0BAB" w:rsidRDefault="001F0BAB" w:rsidP="001F0BAB">
      <w:pPr>
        <w:pStyle w:val="BodyText"/>
        <w:ind w:left="109"/>
        <w:rPr>
          <w:rFonts w:ascii="Arial" w:hAnsi="Arial" w:cs="Arial"/>
          <w:sz w:val="20"/>
        </w:rPr>
      </w:pPr>
      <w:r w:rsidRPr="001F0BAB">
        <w:rPr>
          <w:rFonts w:ascii="Arial" w:hAnsi="Arial" w:cs="Arial"/>
          <w:noProof/>
          <w:sz w:val="20"/>
          <w:lang w:eastAsia="sr-Latn-RS"/>
        </w:rPr>
        <w:pict>
          <v:shape id="Image 212" o:spid="_x0000_i1854" type="#_x0000_t75" style="width:472.5pt;height:707.25pt;visibility:visible;mso-wrap-style:square">
            <v:imagedata r:id="rId194" o:title=""/>
            <o:lock v:ext="edit" aspectratio="f"/>
          </v:shape>
        </w:pict>
      </w:r>
    </w:p>
    <w:p w:rsidR="001F0BAB" w:rsidRPr="001F0BAB" w:rsidRDefault="001F0BAB" w:rsidP="001F0BAB">
      <w:pPr>
        <w:rPr>
          <w:rFonts w:ascii="Arial" w:hAnsi="Arial" w:cs="Arial"/>
          <w:sz w:val="20"/>
        </w:rPr>
        <w:sectPr w:rsidR="001F0BAB" w:rsidRPr="001F0BAB" w:rsidSect="001F0BAB">
          <w:pgSz w:w="12480" w:h="15740"/>
          <w:pgMar w:top="280" w:right="1180" w:bottom="280" w:left="1160" w:header="0" w:footer="0" w:gutter="0"/>
          <w:cols w:space="720"/>
        </w:sectPr>
      </w:pPr>
    </w:p>
    <w:p w:rsidR="001F0BAB" w:rsidRDefault="001F0BAB" w:rsidP="001F0BAB">
      <w:pPr>
        <w:pStyle w:val="BodyText"/>
        <w:ind w:left="362"/>
        <w:rPr>
          <w:rFonts w:ascii="Arial" w:hAnsi="Arial" w:cs="Arial"/>
          <w:sz w:val="20"/>
        </w:rPr>
      </w:pPr>
      <w:r w:rsidRPr="001F0BAB">
        <w:rPr>
          <w:rFonts w:ascii="Arial" w:hAnsi="Arial" w:cs="Arial"/>
          <w:noProof/>
          <w:sz w:val="20"/>
          <w:lang w:eastAsia="sr-Latn-RS"/>
        </w:rPr>
        <w:pict>
          <v:shape id="Image 213" o:spid="_x0000_i1853" type="#_x0000_t75" style="width:475.5pt;height:315.75pt;visibility:visible;mso-wrap-style:square">
            <v:imagedata r:id="rId195" o:title=""/>
            <o:lock v:ext="edit" aspectratio="f"/>
          </v:shape>
        </w:pict>
      </w:r>
    </w:p>
    <w:p w:rsidR="00497C37" w:rsidRPr="001F0BAB" w:rsidRDefault="00497C37" w:rsidP="00497C37">
      <w:pPr>
        <w:rPr>
          <w:rFonts w:ascii="Arial" w:hAnsi="Arial" w:cs="Arial"/>
        </w:rPr>
      </w:pPr>
    </w:p>
    <w:sectPr w:rsidR="00497C37" w:rsidRPr="001F0BAB" w:rsidSect="001F0BAB">
      <w:pgSz w:w="12480" w:h="15690"/>
      <w:pgMar w:top="340" w:right="880" w:bottom="280" w:left="840" w:header="72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62D6A" w:rsidRDefault="00C62D6A" w:rsidP="001F0BAB">
      <w:r>
        <w:separator/>
      </w:r>
    </w:p>
  </w:endnote>
  <w:endnote w:type="continuationSeparator" w:id="0">
    <w:p w:rsidR="00C62D6A" w:rsidRDefault="00C62D6A" w:rsidP="001F0B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2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0BAB" w:rsidRPr="001F0BAB" w:rsidRDefault="001F0BAB">
    <w:pPr>
      <w:pStyle w:val="Footer"/>
      <w:jc w:val="center"/>
      <w:rPr>
        <w:caps/>
        <w:color w:val="5B9BD5"/>
      </w:rPr>
    </w:pPr>
    <w:r w:rsidRPr="001F0BAB">
      <w:rPr>
        <w:caps/>
        <w:noProof w:val="0"/>
        <w:color w:val="5B9BD5"/>
      </w:rPr>
      <w:fldChar w:fldCharType="begin"/>
    </w:r>
    <w:r w:rsidRPr="001F0BAB">
      <w:rPr>
        <w:caps/>
        <w:color w:val="5B9BD5"/>
      </w:rPr>
      <w:instrText xml:space="preserve"> PAGE   \* MERGEFORMAT </w:instrText>
    </w:r>
    <w:r w:rsidRPr="001F0BAB">
      <w:rPr>
        <w:caps/>
        <w:noProof w:val="0"/>
        <w:color w:val="5B9BD5"/>
      </w:rPr>
      <w:fldChar w:fldCharType="separate"/>
    </w:r>
    <w:r w:rsidR="00C62D6A">
      <w:rPr>
        <w:caps/>
        <w:color w:val="5B9BD5"/>
      </w:rPr>
      <w:t>1</w:t>
    </w:r>
    <w:r w:rsidRPr="001F0BAB">
      <w:rPr>
        <w:caps/>
        <w:color w:val="5B9BD5"/>
      </w:rPr>
      <w:fldChar w:fldCharType="end"/>
    </w:r>
  </w:p>
  <w:p w:rsidR="001F0BAB" w:rsidRDefault="001F0B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62D6A" w:rsidRDefault="00C62D6A" w:rsidP="001F0BAB">
      <w:r>
        <w:separator/>
      </w:r>
    </w:p>
  </w:footnote>
  <w:footnote w:type="continuationSeparator" w:id="0">
    <w:p w:rsidR="00C62D6A" w:rsidRDefault="00C62D6A" w:rsidP="001F0B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1F0BAB">
    <w:pPr>
      <w:pStyle w:val="BodyText"/>
      <w:spacing w:line="14" w:lineRule="auto"/>
      <w:rPr>
        <w:sz w:val="3"/>
      </w:rPr>
    </w:pPr>
    <w:r>
      <w:rPr>
        <w:noProof/>
      </w:rPr>
      <w:pict>
        <v:shape id="Graphic 164" o:spid="_x0000_s2052" style="position:absolute;margin-left:335.65pt;margin-top:0;width:.1pt;height:.1pt;z-index:-4;visibility:visible;mso-wrap-style:square;mso-wrap-distance-left:0;mso-wrap-distance-top:0;mso-wrap-distance-right:0;mso-wrap-distance-bottom:0;mso-position-horizontal:absolute;mso-position-horizontal-relative:page;mso-position-vertical:absolute;mso-position-vertical-relative:page;v-text-anchor:top" coordsize="1270,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" path="m1045,l522,106,,e" filled="f" strokeweight=".15pt">
          <v:path arrowok="t"/>
          <w10:wrap anchorx="page" anchory="page"/>
        </v:shape>
      </w:pict>
    </w: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5" o:spid="_x0000_s2051" type="#_x0000_t75" style="position:absolute;margin-left:296.1pt;margin-top:0;width:28.05pt;height:1.35pt;z-index:-3;visibility:visible;mso-wrap-style:square;mso-wrap-distance-left:0;mso-wrap-distance-top:0;mso-wrap-distance-right:0;mso-wrap-distance-bottom:0;mso-position-horizontal:absolute;mso-position-horizontal-relative:page;mso-position-vertical:absolute;mso-position-vertical-relative:page">
          <v:imagedata r:id="rId1" o:title=""/>
          <o:lock v:ext="edit" aspectratio="f"/>
          <w10:wrap anchorx="page" anchory="page"/>
        </v:shape>
      </w:pict>
    </w: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1F0BAB">
    <w:pPr>
      <w:pStyle w:val="BodyText"/>
      <w:spacing w:line="14" w:lineRule="auto"/>
      <w:rPr>
        <w:sz w:val="3"/>
      </w:rPr>
    </w:pPr>
    <w:r>
      <w:rPr>
        <w:noProof/>
      </w:rPr>
      <w:pict>
        <v:shape id="Graphic 201" o:spid="_x0000_s2050" style="position:absolute;margin-left:349.9pt;margin-top:0;width:.7pt;height:.1pt;z-index:-2;visibility:visible;mso-wrap-style:square;mso-wrap-distance-left:0;mso-wrap-distance-top:0;mso-wrap-distance-right:0;mso-wrap-distance-bottom:0;mso-position-horizontal:absolute;mso-position-horizontal-relative:page;mso-position-vertical:absolute;mso-position-vertical-relative:page;v-text-anchor:top" coordsize="88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" path="m8501,l4250,863,,e" filled="f" strokeweight=".05289mm">
          <v:path arrowok="t"/>
          <w10:wrap anchorx="page" anchory="page"/>
        </v:shape>
      </w:pict>
    </w: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02" o:spid="_x0000_s2049" type="#_x0000_t75" style="position:absolute;margin-left:310.65pt;margin-top:0;width:28.05pt;height:1.4pt;z-index:-1;visibility:visible;mso-wrap-style:square;mso-wrap-distance-left:0;mso-wrap-distance-top:0;mso-wrap-distance-right:0;mso-wrap-distance-bottom:0;mso-position-horizontal:absolute;mso-position-horizontal-relative:page;mso-position-vertical:absolute;mso-position-vertical-relative:page">
          <v:imagedata r:id="rId1" o:title=""/>
          <o:lock v:ext="edit" aspectratio="f"/>
          <w10:wrap anchorx="page" anchory="page"/>
        </v:shape>
      </w:pic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0CA" w:rsidRDefault="00C62D6A">
    <w:pPr>
      <w:pStyle w:val="BodyText"/>
      <w:spacing w:line="14" w:lineRule="auto"/>
      <w:rPr>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doNotTrackMoves/>
  <w:defaultTabStop w:val="720"/>
  <w:hyphenationZone w:val="425"/>
  <w:characterSpacingControl w:val="doNotCompress"/>
  <w:savePreviewPicture/>
  <w:hdrShapeDefaults>
    <o:shapedefaults v:ext="edit" spidmax="2053"/>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13326"/>
    <w:rsid w:val="001F0BAB"/>
    <w:rsid w:val="00251BA3"/>
    <w:rsid w:val="00497C37"/>
    <w:rsid w:val="004F5E00"/>
    <w:rsid w:val="005B225E"/>
    <w:rsid w:val="006950C0"/>
    <w:rsid w:val="006D6D76"/>
    <w:rsid w:val="00806E64"/>
    <w:rsid w:val="00944E3C"/>
    <w:rsid w:val="00A31AF5"/>
    <w:rsid w:val="00C62D6A"/>
    <w:rsid w:val="00D133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5AC07B69"/>
  <w15:chartTrackingRefBased/>
  <w15:docId w15:val="{C5853B72-347B-45C2-A0DB-F160BD5277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sr-Latn-RS" w:eastAsia="sr-Latn-R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D13326"/>
    <w:pPr>
      <w:contextualSpacing/>
    </w:pPr>
    <w:rPr>
      <w:rFonts w:ascii="Times New Roman" w:hAnsi="Times New Roman"/>
      <w:noProof/>
      <w:sz w:val="18"/>
      <w:szCs w:val="1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pPr>
      <w:spacing w:after="120"/>
    </w:pPr>
    <w:rPr>
      <w:i/>
    </w:rPr>
  </w:style>
  <w:style w:type="paragraph" w:customStyle="1" w:styleId="NASLOVZLATO">
    <w:name w:val="NASLOV ZLATO"/>
    <w:basedOn w:val="Title"/>
    <w:qFormat/>
    <w:rsid w:val="00D13326"/>
    <w:pPr>
      <w:spacing w:before="120"/>
    </w:pPr>
    <w:rPr>
      <w:rFonts w:ascii="Arial" w:hAnsi="Arial" w:cs="Arial"/>
      <w:color w:val="FFE599"/>
      <w:sz w:val="24"/>
      <w:szCs w:val="24"/>
      <w:lang w:eastAsia="sr-Latn-RS"/>
    </w:rPr>
  </w:style>
  <w:style w:type="paragraph" w:customStyle="1" w:styleId="NASLOVBELO">
    <w:name w:val="NASLOV BELO"/>
    <w:basedOn w:val="Title"/>
    <w:rsid w:val="00D13326"/>
    <w:pPr>
      <w:spacing w:before="120"/>
    </w:pPr>
    <w:rPr>
      <w:rFonts w:ascii="Arial" w:hAnsi="Arial" w:cs="Arial"/>
      <w:color w:val="FFFFFF"/>
      <w:sz w:val="24"/>
      <w:szCs w:val="24"/>
      <w:lang w:eastAsia="sr-Latn-RS"/>
    </w:rPr>
  </w:style>
  <w:style w:type="paragraph" w:customStyle="1" w:styleId="podnaslovpropisa">
    <w:name w:val="podnaslovpropisa"/>
    <w:basedOn w:val="Normal"/>
    <w:rsid w:val="00D13326"/>
    <w:pPr>
      <w:shd w:val="clear" w:color="auto" w:fill="000000"/>
      <w:spacing w:before="100" w:beforeAutospacing="1" w:after="100" w:afterAutospacing="1" w:line="264" w:lineRule="auto"/>
      <w:contextualSpacing w:val="0"/>
      <w:jc w:val="center"/>
    </w:pPr>
    <w:rPr>
      <w:rFonts w:ascii="Arial" w:eastAsia="Times New Roman" w:hAnsi="Arial" w:cs="Arial"/>
      <w:i/>
      <w:iCs/>
      <w:noProof w:val="0"/>
      <w:color w:val="FFE8BF"/>
      <w:sz w:val="20"/>
      <w:szCs w:val="20"/>
      <w:lang w:eastAsia="sr-Latn-RS"/>
    </w:rPr>
  </w:style>
  <w:style w:type="paragraph" w:styleId="Title">
    <w:name w:val="Title"/>
    <w:basedOn w:val="Normal"/>
    <w:next w:val="Normal"/>
    <w:link w:val="TitleChar"/>
    <w:uiPriority w:val="10"/>
    <w:qFormat/>
    <w:rsid w:val="00D13326"/>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link w:val="Title"/>
    <w:uiPriority w:val="10"/>
    <w:rsid w:val="00D13326"/>
    <w:rPr>
      <w:rFonts w:ascii="Calibri Light" w:eastAsia="Times New Roman" w:hAnsi="Calibri Light" w:cs="Times New Roman"/>
      <w:b/>
      <w:bCs/>
      <w:noProof/>
      <w:kern w:val="28"/>
      <w:sz w:val="32"/>
      <w:szCs w:val="32"/>
      <w:lang w:eastAsia="en-US"/>
    </w:rPr>
  </w:style>
  <w:style w:type="paragraph" w:styleId="BodyText">
    <w:name w:val="Body Text"/>
    <w:basedOn w:val="Normal"/>
    <w:link w:val="BodyTextChar"/>
    <w:uiPriority w:val="1"/>
    <w:qFormat/>
    <w:rsid w:val="004F5E00"/>
    <w:pPr>
      <w:widowControl w:val="0"/>
      <w:autoSpaceDE w:val="0"/>
      <w:autoSpaceDN w:val="0"/>
      <w:contextualSpacing w:val="0"/>
    </w:pPr>
    <w:rPr>
      <w:rFonts w:eastAsia="Times New Roman"/>
      <w:noProof w:val="0"/>
    </w:rPr>
  </w:style>
  <w:style w:type="character" w:customStyle="1" w:styleId="BodyTextChar">
    <w:name w:val="Body Text Char"/>
    <w:link w:val="BodyText"/>
    <w:uiPriority w:val="1"/>
    <w:rsid w:val="004F5E00"/>
    <w:rPr>
      <w:rFonts w:ascii="Times New Roman" w:eastAsia="Times New Roman" w:hAnsi="Times New Roman"/>
      <w:sz w:val="18"/>
      <w:szCs w:val="18"/>
      <w:lang w:eastAsia="en-US"/>
    </w:rPr>
  </w:style>
  <w:style w:type="paragraph" w:customStyle="1" w:styleId="TableParagraph">
    <w:name w:val="Table Paragraph"/>
    <w:basedOn w:val="Normal"/>
    <w:uiPriority w:val="1"/>
    <w:qFormat/>
    <w:rsid w:val="004F5E00"/>
    <w:pPr>
      <w:widowControl w:val="0"/>
      <w:autoSpaceDE w:val="0"/>
      <w:autoSpaceDN w:val="0"/>
      <w:spacing w:before="18"/>
      <w:ind w:left="228"/>
      <w:contextualSpacing w:val="0"/>
      <w:jc w:val="center"/>
    </w:pPr>
    <w:rPr>
      <w:rFonts w:eastAsia="Times New Roman"/>
      <w:noProof w:val="0"/>
      <w:sz w:val="22"/>
      <w:szCs w:val="22"/>
    </w:rPr>
  </w:style>
  <w:style w:type="paragraph" w:customStyle="1" w:styleId="odluka-zakon">
    <w:name w:val="odluka-zakon"/>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naslov">
    <w:name w:val="naslov"/>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basic-paragraph">
    <w:name w:val="basic-paragraph"/>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styleId="Header">
    <w:name w:val="header"/>
    <w:basedOn w:val="Normal"/>
    <w:link w:val="HeaderChar"/>
    <w:uiPriority w:val="99"/>
    <w:unhideWhenUsed/>
    <w:rsid w:val="001F0BAB"/>
    <w:pPr>
      <w:tabs>
        <w:tab w:val="center" w:pos="4536"/>
        <w:tab w:val="right" w:pos="9072"/>
      </w:tabs>
    </w:pPr>
  </w:style>
  <w:style w:type="character" w:customStyle="1" w:styleId="HeaderChar">
    <w:name w:val="Header Char"/>
    <w:link w:val="Header"/>
    <w:uiPriority w:val="99"/>
    <w:rsid w:val="001F0BAB"/>
    <w:rPr>
      <w:rFonts w:ascii="Times New Roman" w:hAnsi="Times New Roman"/>
      <w:noProof/>
      <w:sz w:val="18"/>
      <w:szCs w:val="18"/>
      <w:lang w:eastAsia="en-US"/>
    </w:rPr>
  </w:style>
  <w:style w:type="paragraph" w:styleId="Footer">
    <w:name w:val="footer"/>
    <w:basedOn w:val="Normal"/>
    <w:link w:val="FooterChar"/>
    <w:uiPriority w:val="99"/>
    <w:unhideWhenUsed/>
    <w:rsid w:val="001F0BAB"/>
    <w:pPr>
      <w:tabs>
        <w:tab w:val="center" w:pos="4536"/>
        <w:tab w:val="right" w:pos="9072"/>
      </w:tabs>
    </w:pPr>
  </w:style>
  <w:style w:type="character" w:customStyle="1" w:styleId="FooterChar">
    <w:name w:val="Footer Char"/>
    <w:link w:val="Footer"/>
    <w:uiPriority w:val="99"/>
    <w:rsid w:val="001F0BAB"/>
    <w:rPr>
      <w:rFonts w:ascii="Times New Roman" w:hAnsi="Times New Roman"/>
      <w:noProof/>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24958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RelyOnCSS/>
</w:webSettings>
</file>

<file path=word/_rels/document.xml.rels><?xml version="1.0" encoding="UTF-8" standalone="yes"?>
<Relationships xmlns="http://schemas.openxmlformats.org/package/2006/relationships"><Relationship Id="rId117" Type="http://schemas.openxmlformats.org/officeDocument/2006/relationships/header" Target="header48.xml"/><Relationship Id="rId21" Type="http://schemas.openxmlformats.org/officeDocument/2006/relationships/image" Target="media/image15.png"/><Relationship Id="rId42" Type="http://schemas.openxmlformats.org/officeDocument/2006/relationships/image" Target="media/image26.png"/><Relationship Id="rId63" Type="http://schemas.openxmlformats.org/officeDocument/2006/relationships/header" Target="header21.xml"/><Relationship Id="rId84" Type="http://schemas.openxmlformats.org/officeDocument/2006/relationships/image" Target="media/image47.png"/><Relationship Id="rId138" Type="http://schemas.openxmlformats.org/officeDocument/2006/relationships/image" Target="media/image74.png"/><Relationship Id="rId159" Type="http://schemas.openxmlformats.org/officeDocument/2006/relationships/image" Target="media/image90.png"/><Relationship Id="rId170" Type="http://schemas.openxmlformats.org/officeDocument/2006/relationships/image" Target="media/image100.png"/><Relationship Id="rId191" Type="http://schemas.openxmlformats.org/officeDocument/2006/relationships/image" Target="media/image114.png"/><Relationship Id="rId107" Type="http://schemas.openxmlformats.org/officeDocument/2006/relationships/header" Target="header43.xml"/><Relationship Id="rId11" Type="http://schemas.openxmlformats.org/officeDocument/2006/relationships/image" Target="media/image6.png"/><Relationship Id="rId32" Type="http://schemas.openxmlformats.org/officeDocument/2006/relationships/image" Target="media/image21.png"/><Relationship Id="rId53" Type="http://schemas.openxmlformats.org/officeDocument/2006/relationships/header" Target="header16.xml"/><Relationship Id="rId74" Type="http://schemas.openxmlformats.org/officeDocument/2006/relationships/image" Target="media/image42.png"/><Relationship Id="rId128" Type="http://schemas.openxmlformats.org/officeDocument/2006/relationships/image" Target="media/image69.png"/><Relationship Id="rId149" Type="http://schemas.openxmlformats.org/officeDocument/2006/relationships/header" Target="header64.xml"/><Relationship Id="rId5" Type="http://schemas.openxmlformats.org/officeDocument/2006/relationships/endnotes" Target="endnotes.xml"/><Relationship Id="rId95" Type="http://schemas.openxmlformats.org/officeDocument/2006/relationships/header" Target="header37.xml"/><Relationship Id="rId160" Type="http://schemas.openxmlformats.org/officeDocument/2006/relationships/image" Target="media/image91.png"/><Relationship Id="rId181" Type="http://schemas.openxmlformats.org/officeDocument/2006/relationships/header" Target="header71.xml"/><Relationship Id="rId22" Type="http://schemas.openxmlformats.org/officeDocument/2006/relationships/header" Target="header1.xml"/><Relationship Id="rId43" Type="http://schemas.openxmlformats.org/officeDocument/2006/relationships/header" Target="header11.xml"/><Relationship Id="rId64" Type="http://schemas.openxmlformats.org/officeDocument/2006/relationships/image" Target="media/image37.png"/><Relationship Id="rId118" Type="http://schemas.openxmlformats.org/officeDocument/2006/relationships/image" Target="media/image64.png"/><Relationship Id="rId139" Type="http://schemas.openxmlformats.org/officeDocument/2006/relationships/header" Target="header59.xml"/><Relationship Id="rId85" Type="http://schemas.openxmlformats.org/officeDocument/2006/relationships/header" Target="header32.xml"/><Relationship Id="rId150" Type="http://schemas.openxmlformats.org/officeDocument/2006/relationships/image" Target="media/image81.png"/><Relationship Id="rId171" Type="http://schemas.openxmlformats.org/officeDocument/2006/relationships/header" Target="header66.xml"/><Relationship Id="rId192" Type="http://schemas.openxmlformats.org/officeDocument/2006/relationships/image" Target="media/image115.png"/><Relationship Id="rId12" Type="http://schemas.openxmlformats.org/officeDocument/2006/relationships/image" Target="media/image7.png"/><Relationship Id="rId33" Type="http://schemas.openxmlformats.org/officeDocument/2006/relationships/header" Target="header6.xml"/><Relationship Id="rId108" Type="http://schemas.openxmlformats.org/officeDocument/2006/relationships/image" Target="media/image59.png"/><Relationship Id="rId129" Type="http://schemas.openxmlformats.org/officeDocument/2006/relationships/header" Target="header54.xml"/><Relationship Id="rId54" Type="http://schemas.openxmlformats.org/officeDocument/2006/relationships/image" Target="media/image32.png"/><Relationship Id="rId75" Type="http://schemas.openxmlformats.org/officeDocument/2006/relationships/header" Target="header27.xml"/><Relationship Id="rId96" Type="http://schemas.openxmlformats.org/officeDocument/2006/relationships/image" Target="media/image53.png"/><Relationship Id="rId140" Type="http://schemas.openxmlformats.org/officeDocument/2006/relationships/image" Target="media/image75.png"/><Relationship Id="rId161" Type="http://schemas.openxmlformats.org/officeDocument/2006/relationships/image" Target="media/image92.png"/><Relationship Id="rId182" Type="http://schemas.openxmlformats.org/officeDocument/2006/relationships/image" Target="media/image106.png"/><Relationship Id="rId6" Type="http://schemas.openxmlformats.org/officeDocument/2006/relationships/image" Target="media/image1.png"/><Relationship Id="rId23" Type="http://schemas.openxmlformats.org/officeDocument/2006/relationships/image" Target="media/image16.png"/><Relationship Id="rId119" Type="http://schemas.openxmlformats.org/officeDocument/2006/relationships/header" Target="header49.xml"/><Relationship Id="rId44" Type="http://schemas.openxmlformats.org/officeDocument/2006/relationships/image" Target="media/image27.png"/><Relationship Id="rId65" Type="http://schemas.openxmlformats.org/officeDocument/2006/relationships/header" Target="header22.xml"/><Relationship Id="rId86" Type="http://schemas.openxmlformats.org/officeDocument/2006/relationships/image" Target="media/image48.png"/><Relationship Id="rId130" Type="http://schemas.openxmlformats.org/officeDocument/2006/relationships/image" Target="media/image70.png"/><Relationship Id="rId151" Type="http://schemas.openxmlformats.org/officeDocument/2006/relationships/image" Target="media/image82.png"/><Relationship Id="rId172" Type="http://schemas.openxmlformats.org/officeDocument/2006/relationships/image" Target="media/image101.png"/><Relationship Id="rId193" Type="http://schemas.openxmlformats.org/officeDocument/2006/relationships/image" Target="media/image116.png"/><Relationship Id="rId13" Type="http://schemas.openxmlformats.org/officeDocument/2006/relationships/image" Target="media/image8.png"/><Relationship Id="rId109" Type="http://schemas.openxmlformats.org/officeDocument/2006/relationships/header" Target="header44.xml"/><Relationship Id="rId34" Type="http://schemas.openxmlformats.org/officeDocument/2006/relationships/image" Target="media/image22.png"/><Relationship Id="rId55" Type="http://schemas.openxmlformats.org/officeDocument/2006/relationships/header" Target="header17.xml"/><Relationship Id="rId76" Type="http://schemas.openxmlformats.org/officeDocument/2006/relationships/image" Target="media/image43.png"/><Relationship Id="rId97" Type="http://schemas.openxmlformats.org/officeDocument/2006/relationships/header" Target="header38.xml"/><Relationship Id="rId120" Type="http://schemas.openxmlformats.org/officeDocument/2006/relationships/image" Target="media/image65.png"/><Relationship Id="rId141" Type="http://schemas.openxmlformats.org/officeDocument/2006/relationships/header" Target="header60.xml"/><Relationship Id="rId7" Type="http://schemas.openxmlformats.org/officeDocument/2006/relationships/image" Target="media/image2.jpeg"/><Relationship Id="rId71" Type="http://schemas.openxmlformats.org/officeDocument/2006/relationships/header" Target="header25.xml"/><Relationship Id="rId92" Type="http://schemas.openxmlformats.org/officeDocument/2006/relationships/image" Target="media/image51.png"/><Relationship Id="rId162" Type="http://schemas.openxmlformats.org/officeDocument/2006/relationships/image" Target="media/image93.png"/><Relationship Id="rId183" Type="http://schemas.openxmlformats.org/officeDocument/2006/relationships/header" Target="header72.xml"/><Relationship Id="rId2" Type="http://schemas.openxmlformats.org/officeDocument/2006/relationships/settings" Target="settings.xml"/><Relationship Id="rId29" Type="http://schemas.openxmlformats.org/officeDocument/2006/relationships/header" Target="header4.xml"/><Relationship Id="rId24" Type="http://schemas.openxmlformats.org/officeDocument/2006/relationships/image" Target="media/image17.png"/><Relationship Id="rId40" Type="http://schemas.openxmlformats.org/officeDocument/2006/relationships/image" Target="media/image25.png"/><Relationship Id="rId45" Type="http://schemas.openxmlformats.org/officeDocument/2006/relationships/header" Target="header12.xml"/><Relationship Id="rId66" Type="http://schemas.openxmlformats.org/officeDocument/2006/relationships/image" Target="media/image38.png"/><Relationship Id="rId87" Type="http://schemas.openxmlformats.org/officeDocument/2006/relationships/header" Target="header33.xml"/><Relationship Id="rId110" Type="http://schemas.openxmlformats.org/officeDocument/2006/relationships/image" Target="media/image60.png"/><Relationship Id="rId115" Type="http://schemas.openxmlformats.org/officeDocument/2006/relationships/header" Target="header47.xml"/><Relationship Id="rId131" Type="http://schemas.openxmlformats.org/officeDocument/2006/relationships/header" Target="header55.xml"/><Relationship Id="rId136" Type="http://schemas.openxmlformats.org/officeDocument/2006/relationships/image" Target="media/image73.png"/><Relationship Id="rId157" Type="http://schemas.openxmlformats.org/officeDocument/2006/relationships/image" Target="media/image88.png"/><Relationship Id="rId178" Type="http://schemas.openxmlformats.org/officeDocument/2006/relationships/image" Target="media/image104.png"/><Relationship Id="rId61" Type="http://schemas.openxmlformats.org/officeDocument/2006/relationships/header" Target="header20.xml"/><Relationship Id="rId82" Type="http://schemas.openxmlformats.org/officeDocument/2006/relationships/image" Target="media/image46.png"/><Relationship Id="rId152" Type="http://schemas.openxmlformats.org/officeDocument/2006/relationships/image" Target="media/image83.png"/><Relationship Id="rId173" Type="http://schemas.openxmlformats.org/officeDocument/2006/relationships/header" Target="header67.xml"/><Relationship Id="rId194" Type="http://schemas.openxmlformats.org/officeDocument/2006/relationships/image" Target="media/image117.png"/><Relationship Id="rId19" Type="http://schemas.openxmlformats.org/officeDocument/2006/relationships/image" Target="media/image13.png"/><Relationship Id="rId14" Type="http://schemas.openxmlformats.org/officeDocument/2006/relationships/image" Target="media/image9.png"/><Relationship Id="rId30" Type="http://schemas.openxmlformats.org/officeDocument/2006/relationships/image" Target="media/image20.png"/><Relationship Id="rId35" Type="http://schemas.openxmlformats.org/officeDocument/2006/relationships/header" Target="header7.xml"/><Relationship Id="rId56" Type="http://schemas.openxmlformats.org/officeDocument/2006/relationships/image" Target="media/image33.png"/><Relationship Id="rId77" Type="http://schemas.openxmlformats.org/officeDocument/2006/relationships/header" Target="header28.xml"/><Relationship Id="rId100" Type="http://schemas.openxmlformats.org/officeDocument/2006/relationships/image" Target="media/image55.png"/><Relationship Id="rId105" Type="http://schemas.openxmlformats.org/officeDocument/2006/relationships/header" Target="header42.xml"/><Relationship Id="rId126" Type="http://schemas.openxmlformats.org/officeDocument/2006/relationships/image" Target="media/image68.png"/><Relationship Id="rId147" Type="http://schemas.openxmlformats.org/officeDocument/2006/relationships/header" Target="header63.xml"/><Relationship Id="rId168" Type="http://schemas.openxmlformats.org/officeDocument/2006/relationships/image" Target="media/image99.png"/><Relationship Id="rId8" Type="http://schemas.openxmlformats.org/officeDocument/2006/relationships/image" Target="media/image3.png"/><Relationship Id="rId51" Type="http://schemas.openxmlformats.org/officeDocument/2006/relationships/header" Target="header15.xml"/><Relationship Id="rId72" Type="http://schemas.openxmlformats.org/officeDocument/2006/relationships/image" Target="media/image41.png"/><Relationship Id="rId93" Type="http://schemas.openxmlformats.org/officeDocument/2006/relationships/header" Target="header36.xml"/><Relationship Id="rId98" Type="http://schemas.openxmlformats.org/officeDocument/2006/relationships/image" Target="media/image54.png"/><Relationship Id="rId121" Type="http://schemas.openxmlformats.org/officeDocument/2006/relationships/header" Target="header50.xml"/><Relationship Id="rId142" Type="http://schemas.openxmlformats.org/officeDocument/2006/relationships/image" Target="media/image76.png"/><Relationship Id="rId163" Type="http://schemas.openxmlformats.org/officeDocument/2006/relationships/image" Target="media/image94.png"/><Relationship Id="rId184" Type="http://schemas.openxmlformats.org/officeDocument/2006/relationships/image" Target="media/image107.png"/><Relationship Id="rId189" Type="http://schemas.openxmlformats.org/officeDocument/2006/relationships/image" Target="media/image112.png"/><Relationship Id="rId3" Type="http://schemas.openxmlformats.org/officeDocument/2006/relationships/webSettings" Target="webSettings.xml"/><Relationship Id="rId25" Type="http://schemas.openxmlformats.org/officeDocument/2006/relationships/header" Target="header2.xml"/><Relationship Id="rId46" Type="http://schemas.openxmlformats.org/officeDocument/2006/relationships/image" Target="media/image28.png"/><Relationship Id="rId67" Type="http://schemas.openxmlformats.org/officeDocument/2006/relationships/header" Target="header23.xml"/><Relationship Id="rId116" Type="http://schemas.openxmlformats.org/officeDocument/2006/relationships/image" Target="media/image63.png"/><Relationship Id="rId137" Type="http://schemas.openxmlformats.org/officeDocument/2006/relationships/header" Target="header58.xml"/><Relationship Id="rId158" Type="http://schemas.openxmlformats.org/officeDocument/2006/relationships/image" Target="media/image89.png"/><Relationship Id="rId20" Type="http://schemas.openxmlformats.org/officeDocument/2006/relationships/image" Target="media/image14.png"/><Relationship Id="rId41" Type="http://schemas.openxmlformats.org/officeDocument/2006/relationships/header" Target="header10.xml"/><Relationship Id="rId62" Type="http://schemas.openxmlformats.org/officeDocument/2006/relationships/image" Target="media/image36.png"/><Relationship Id="rId83" Type="http://schemas.openxmlformats.org/officeDocument/2006/relationships/header" Target="header31.xml"/><Relationship Id="rId88" Type="http://schemas.openxmlformats.org/officeDocument/2006/relationships/image" Target="media/image49.png"/><Relationship Id="rId111" Type="http://schemas.openxmlformats.org/officeDocument/2006/relationships/header" Target="header45.xml"/><Relationship Id="rId132" Type="http://schemas.openxmlformats.org/officeDocument/2006/relationships/image" Target="media/image71.png"/><Relationship Id="rId153" Type="http://schemas.openxmlformats.org/officeDocument/2006/relationships/image" Target="media/image84.png"/><Relationship Id="rId174" Type="http://schemas.openxmlformats.org/officeDocument/2006/relationships/image" Target="media/image102.png"/><Relationship Id="rId179" Type="http://schemas.openxmlformats.org/officeDocument/2006/relationships/header" Target="header70.xml"/><Relationship Id="rId195" Type="http://schemas.openxmlformats.org/officeDocument/2006/relationships/image" Target="media/image118.png"/><Relationship Id="rId190" Type="http://schemas.openxmlformats.org/officeDocument/2006/relationships/image" Target="media/image113.png"/><Relationship Id="rId15" Type="http://schemas.openxmlformats.org/officeDocument/2006/relationships/image" Target="media/image10.png"/><Relationship Id="rId36" Type="http://schemas.openxmlformats.org/officeDocument/2006/relationships/image" Target="media/image23.png"/><Relationship Id="rId57" Type="http://schemas.openxmlformats.org/officeDocument/2006/relationships/header" Target="header18.xml"/><Relationship Id="rId106" Type="http://schemas.openxmlformats.org/officeDocument/2006/relationships/image" Target="media/image58.png"/><Relationship Id="rId127" Type="http://schemas.openxmlformats.org/officeDocument/2006/relationships/header" Target="header53.xml"/><Relationship Id="rId10" Type="http://schemas.openxmlformats.org/officeDocument/2006/relationships/image" Target="media/image5.png"/><Relationship Id="rId31" Type="http://schemas.openxmlformats.org/officeDocument/2006/relationships/header" Target="header5.xml"/><Relationship Id="rId52" Type="http://schemas.openxmlformats.org/officeDocument/2006/relationships/image" Target="media/image31.png"/><Relationship Id="rId73" Type="http://schemas.openxmlformats.org/officeDocument/2006/relationships/header" Target="header26.xml"/><Relationship Id="rId78" Type="http://schemas.openxmlformats.org/officeDocument/2006/relationships/image" Target="media/image44.png"/><Relationship Id="rId94" Type="http://schemas.openxmlformats.org/officeDocument/2006/relationships/image" Target="media/image52.png"/><Relationship Id="rId99" Type="http://schemas.openxmlformats.org/officeDocument/2006/relationships/header" Target="header39.xml"/><Relationship Id="rId101" Type="http://schemas.openxmlformats.org/officeDocument/2006/relationships/header" Target="header40.xml"/><Relationship Id="rId122" Type="http://schemas.openxmlformats.org/officeDocument/2006/relationships/image" Target="media/image66.png"/><Relationship Id="rId143" Type="http://schemas.openxmlformats.org/officeDocument/2006/relationships/header" Target="header61.xml"/><Relationship Id="rId148" Type="http://schemas.openxmlformats.org/officeDocument/2006/relationships/image" Target="media/image79.png"/><Relationship Id="rId164" Type="http://schemas.openxmlformats.org/officeDocument/2006/relationships/image" Target="media/image95.png"/><Relationship Id="rId169" Type="http://schemas.openxmlformats.org/officeDocument/2006/relationships/header" Target="header65.xml"/><Relationship Id="rId185" Type="http://schemas.openxmlformats.org/officeDocument/2006/relationships/header" Target="header73.xml"/><Relationship Id="rId4" Type="http://schemas.openxmlformats.org/officeDocument/2006/relationships/footnotes" Target="footnotes.xml"/><Relationship Id="rId9" Type="http://schemas.openxmlformats.org/officeDocument/2006/relationships/image" Target="media/image4.jpeg"/><Relationship Id="rId180" Type="http://schemas.openxmlformats.org/officeDocument/2006/relationships/image" Target="media/image105.png"/><Relationship Id="rId26" Type="http://schemas.openxmlformats.org/officeDocument/2006/relationships/image" Target="media/image18.png"/><Relationship Id="rId47" Type="http://schemas.openxmlformats.org/officeDocument/2006/relationships/header" Target="header13.xml"/><Relationship Id="rId68" Type="http://schemas.openxmlformats.org/officeDocument/2006/relationships/image" Target="media/image39.png"/><Relationship Id="rId89" Type="http://schemas.openxmlformats.org/officeDocument/2006/relationships/header" Target="header34.xml"/><Relationship Id="rId112" Type="http://schemas.openxmlformats.org/officeDocument/2006/relationships/image" Target="media/image61.png"/><Relationship Id="rId133" Type="http://schemas.openxmlformats.org/officeDocument/2006/relationships/header" Target="header56.xml"/><Relationship Id="rId154" Type="http://schemas.openxmlformats.org/officeDocument/2006/relationships/image" Target="media/image85.png"/><Relationship Id="rId175" Type="http://schemas.openxmlformats.org/officeDocument/2006/relationships/header" Target="header68.xml"/><Relationship Id="rId196" Type="http://schemas.openxmlformats.org/officeDocument/2006/relationships/fontTable" Target="fontTable.xml"/><Relationship Id="rId16" Type="http://schemas.openxmlformats.org/officeDocument/2006/relationships/image" Target="media/image11.png"/><Relationship Id="rId37" Type="http://schemas.openxmlformats.org/officeDocument/2006/relationships/header" Target="header8.xml"/><Relationship Id="rId58" Type="http://schemas.openxmlformats.org/officeDocument/2006/relationships/image" Target="media/image34.png"/><Relationship Id="rId79" Type="http://schemas.openxmlformats.org/officeDocument/2006/relationships/header" Target="header29.xml"/><Relationship Id="rId102" Type="http://schemas.openxmlformats.org/officeDocument/2006/relationships/image" Target="media/image56.png"/><Relationship Id="rId123" Type="http://schemas.openxmlformats.org/officeDocument/2006/relationships/header" Target="header51.xml"/><Relationship Id="rId144" Type="http://schemas.openxmlformats.org/officeDocument/2006/relationships/image" Target="media/image77.png"/><Relationship Id="rId90" Type="http://schemas.openxmlformats.org/officeDocument/2006/relationships/image" Target="media/image50.png"/><Relationship Id="rId165" Type="http://schemas.openxmlformats.org/officeDocument/2006/relationships/image" Target="media/image96.png"/><Relationship Id="rId186" Type="http://schemas.openxmlformats.org/officeDocument/2006/relationships/image" Target="media/image109.png"/><Relationship Id="rId27" Type="http://schemas.openxmlformats.org/officeDocument/2006/relationships/header" Target="header3.xml"/><Relationship Id="rId48" Type="http://schemas.openxmlformats.org/officeDocument/2006/relationships/image" Target="media/image29.png"/><Relationship Id="rId69" Type="http://schemas.openxmlformats.org/officeDocument/2006/relationships/header" Target="header24.xml"/><Relationship Id="rId113" Type="http://schemas.openxmlformats.org/officeDocument/2006/relationships/header" Target="header46.xml"/><Relationship Id="rId134" Type="http://schemas.openxmlformats.org/officeDocument/2006/relationships/image" Target="media/image72.png"/><Relationship Id="rId80" Type="http://schemas.openxmlformats.org/officeDocument/2006/relationships/image" Target="media/image45.png"/><Relationship Id="rId155" Type="http://schemas.openxmlformats.org/officeDocument/2006/relationships/image" Target="media/image86.png"/><Relationship Id="rId176" Type="http://schemas.openxmlformats.org/officeDocument/2006/relationships/image" Target="media/image103.png"/><Relationship Id="rId197" Type="http://schemas.openxmlformats.org/officeDocument/2006/relationships/theme" Target="theme/theme1.xml"/><Relationship Id="rId17" Type="http://schemas.openxmlformats.org/officeDocument/2006/relationships/image" Target="media/image12.png"/><Relationship Id="rId38" Type="http://schemas.openxmlformats.org/officeDocument/2006/relationships/image" Target="media/image24.png"/><Relationship Id="rId59" Type="http://schemas.openxmlformats.org/officeDocument/2006/relationships/header" Target="header19.xml"/><Relationship Id="rId103" Type="http://schemas.openxmlformats.org/officeDocument/2006/relationships/header" Target="header41.xml"/><Relationship Id="rId124" Type="http://schemas.openxmlformats.org/officeDocument/2006/relationships/image" Target="media/image67.png"/><Relationship Id="rId70" Type="http://schemas.openxmlformats.org/officeDocument/2006/relationships/image" Target="media/image40.png"/><Relationship Id="rId91" Type="http://schemas.openxmlformats.org/officeDocument/2006/relationships/header" Target="header35.xml"/><Relationship Id="rId145" Type="http://schemas.openxmlformats.org/officeDocument/2006/relationships/header" Target="header62.xml"/><Relationship Id="rId166" Type="http://schemas.openxmlformats.org/officeDocument/2006/relationships/image" Target="media/image97.png"/><Relationship Id="rId187" Type="http://schemas.openxmlformats.org/officeDocument/2006/relationships/image" Target="media/image110.png"/><Relationship Id="rId1" Type="http://schemas.openxmlformats.org/officeDocument/2006/relationships/styles" Target="styles.xml"/><Relationship Id="rId28" Type="http://schemas.openxmlformats.org/officeDocument/2006/relationships/image" Target="media/image19.png"/><Relationship Id="rId49" Type="http://schemas.openxmlformats.org/officeDocument/2006/relationships/header" Target="header14.xml"/><Relationship Id="rId114" Type="http://schemas.openxmlformats.org/officeDocument/2006/relationships/image" Target="media/image62.png"/><Relationship Id="rId60" Type="http://schemas.openxmlformats.org/officeDocument/2006/relationships/image" Target="media/image35.png"/><Relationship Id="rId81" Type="http://schemas.openxmlformats.org/officeDocument/2006/relationships/header" Target="header30.xml"/><Relationship Id="rId135" Type="http://schemas.openxmlformats.org/officeDocument/2006/relationships/header" Target="header57.xml"/><Relationship Id="rId156" Type="http://schemas.openxmlformats.org/officeDocument/2006/relationships/image" Target="media/image87.png"/><Relationship Id="rId177" Type="http://schemas.openxmlformats.org/officeDocument/2006/relationships/header" Target="header69.xml"/><Relationship Id="rId18" Type="http://schemas.openxmlformats.org/officeDocument/2006/relationships/footer" Target="footer1.xml"/><Relationship Id="rId39" Type="http://schemas.openxmlformats.org/officeDocument/2006/relationships/header" Target="header9.xml"/><Relationship Id="rId50" Type="http://schemas.openxmlformats.org/officeDocument/2006/relationships/image" Target="media/image30.png"/><Relationship Id="rId104" Type="http://schemas.openxmlformats.org/officeDocument/2006/relationships/image" Target="media/image57.png"/><Relationship Id="rId125" Type="http://schemas.openxmlformats.org/officeDocument/2006/relationships/header" Target="header52.xml"/><Relationship Id="rId146" Type="http://schemas.openxmlformats.org/officeDocument/2006/relationships/image" Target="media/image78.png"/><Relationship Id="rId167" Type="http://schemas.openxmlformats.org/officeDocument/2006/relationships/image" Target="media/image98.png"/><Relationship Id="rId188" Type="http://schemas.openxmlformats.org/officeDocument/2006/relationships/image" Target="media/image111.png"/></Relationships>
</file>

<file path=word/_rels/header64.xml.rels><?xml version="1.0" encoding="UTF-8" standalone="yes"?>
<Relationships xmlns="http://schemas.openxmlformats.org/package/2006/relationships"><Relationship Id="rId1" Type="http://schemas.openxmlformats.org/officeDocument/2006/relationships/image" Target="media/image80.png"/></Relationships>
</file>

<file path=word/_rels/header73.xml.rels><?xml version="1.0" encoding="UTF-8" standalone="yes"?>
<Relationships xmlns="http://schemas.openxmlformats.org/package/2006/relationships"><Relationship Id="rId1" Type="http://schemas.openxmlformats.org/officeDocument/2006/relationships/image" Target="media/image10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136</Pages>
  <Words>17630</Words>
  <Characters>100491</Characters>
  <Application>Microsoft Office Word</Application>
  <DocSecurity>0</DocSecurity>
  <Lines>837</Lines>
  <Paragraphs>235</Paragraphs>
  <ScaleCrop>false</ScaleCrop>
  <Company/>
  <LinksUpToDate>false</LinksUpToDate>
  <CharactersWithSpaces>117886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Zeka</dc:creator>
  <cp:keywords/>
  <dc:description/>
  <cp:lastModifiedBy>Zeka</cp:lastModifiedBy>
  <cp:revision>4</cp:revision>
  <dcterms:created xsi:type="dcterms:W3CDTF">2023-12-15T16:51:00Z</dcterms:created>
  <dcterms:modified xsi:type="dcterms:W3CDTF">2023-12-15T17:01:00Z</dcterms:modified>
</cp:coreProperties>
</file>