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9797"/>
      </w:tblGrid>
      <w:tr w:rsidR="00D13326" w:rsidRPr="00491279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491279" w:rsidRDefault="00276575" w:rsidP="0041610E">
            <w:pPr>
              <w:pStyle w:val="NASLOVZLATO"/>
              <w:rPr>
                <w:sz w:val="20"/>
                <w:szCs w:val="20"/>
              </w:rPr>
            </w:pPr>
            <w:r w:rsidRPr="00491279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491279" w:rsidRDefault="00497C37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91279">
              <w:rPr>
                <w:color w:val="FFE599"/>
              </w:rPr>
              <w:t>ПРАВИЛНИК</w:t>
            </w:r>
          </w:p>
          <w:p w:rsidR="00D13326" w:rsidRPr="00491279" w:rsidRDefault="00491279" w:rsidP="00497C37">
            <w:pPr>
              <w:pStyle w:val="NASLOVBELO"/>
            </w:pPr>
            <w:r w:rsidRPr="00491279">
              <w:t>О УТВРЂИВАЊУ ПРОГРАМА МОНИТОРИНГА БЕЗБЕДНОСТИ ХРАНЕ ЖИВОТИЊСКОГ ПОРЕКЛА И ХРАНЕ ЗА ЖИВОТИЊЕ КОЈА СЕ УВОЗИ ЗА 2022. ГОДИНУ</w:t>
            </w:r>
          </w:p>
          <w:p w:rsidR="00D13326" w:rsidRPr="00491279" w:rsidRDefault="00806E64" w:rsidP="00276575">
            <w:pPr>
              <w:pStyle w:val="podnaslovpropisa"/>
              <w:rPr>
                <w:sz w:val="18"/>
                <w:szCs w:val="18"/>
              </w:rPr>
            </w:pPr>
            <w:r w:rsidRPr="00491279">
              <w:rPr>
                <w:sz w:val="18"/>
                <w:szCs w:val="18"/>
              </w:rPr>
              <w:t xml:space="preserve">("Сл. гласник РС", бр. </w:t>
            </w:r>
            <w:r w:rsidR="00497C37" w:rsidRPr="00491279">
              <w:rPr>
                <w:sz w:val="18"/>
                <w:szCs w:val="18"/>
              </w:rPr>
              <w:t>4</w:t>
            </w:r>
            <w:r w:rsidR="00276575" w:rsidRPr="00491279">
              <w:rPr>
                <w:sz w:val="18"/>
                <w:szCs w:val="18"/>
              </w:rPr>
              <w:t>8</w:t>
            </w:r>
            <w:r w:rsidRPr="00491279">
              <w:rPr>
                <w:sz w:val="18"/>
                <w:szCs w:val="18"/>
              </w:rPr>
              <w:t>/20</w:t>
            </w:r>
            <w:r w:rsidR="00497C37" w:rsidRPr="00491279">
              <w:rPr>
                <w:sz w:val="18"/>
                <w:szCs w:val="18"/>
              </w:rPr>
              <w:t>2</w:t>
            </w:r>
            <w:r w:rsidR="00276575" w:rsidRPr="00491279">
              <w:rPr>
                <w:sz w:val="18"/>
                <w:szCs w:val="18"/>
              </w:rPr>
              <w:t>2</w:t>
            </w:r>
            <w:r w:rsidRPr="00491279">
              <w:rPr>
                <w:sz w:val="18"/>
                <w:szCs w:val="18"/>
              </w:rPr>
              <w:t>)</w:t>
            </w:r>
          </w:p>
        </w:tc>
      </w:tr>
    </w:tbl>
    <w:p w:rsidR="00491279" w:rsidRDefault="00491279" w:rsidP="00497C37">
      <w:pPr>
        <w:rPr>
          <w:rFonts w:ascii="Arial" w:hAnsi="Arial" w:cs="Arial"/>
        </w:rPr>
      </w:pPr>
    </w:p>
    <w:p w:rsidR="00491279" w:rsidRDefault="00491279" w:rsidP="00491279">
      <w:pPr>
        <w:jc w:val="center"/>
        <w:rPr>
          <w:rFonts w:ascii="Arial" w:hAnsi="Arial" w:cs="Arial"/>
          <w:b/>
          <w:color w:val="000000"/>
          <w:sz w:val="22"/>
        </w:rPr>
      </w:pPr>
      <w:r w:rsidRPr="00491279">
        <w:rPr>
          <w:rFonts w:ascii="Arial" w:hAnsi="Arial" w:cs="Arial"/>
          <w:b/>
          <w:color w:val="000000"/>
          <w:sz w:val="22"/>
        </w:rPr>
        <w:t>ПРОГРАМ МОНИТОРИНГА</w:t>
      </w:r>
      <w:r w:rsidRPr="00491279">
        <w:rPr>
          <w:rFonts w:ascii="Arial" w:hAnsi="Arial" w:cs="Arial"/>
        </w:rPr>
        <w:br/>
      </w:r>
      <w:r w:rsidRPr="00491279">
        <w:rPr>
          <w:rFonts w:ascii="Arial" w:hAnsi="Arial" w:cs="Arial"/>
          <w:b/>
          <w:color w:val="000000"/>
          <w:sz w:val="22"/>
        </w:rPr>
        <w:t>БЕЗБЕДНОСТИ ХРАНЕ ЖИВОТИЊСКОГ ПОРЕКЛА И ХРАНЕ ЗА ЖИВОТИЊЕ КОЈА СЕ УВОЗИ ЗА 2022. ГОДИНУ</w: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</w:p>
    <w:p w:rsidR="00491279" w:rsidRDefault="00491279" w:rsidP="00491279">
      <w:pPr>
        <w:jc w:val="center"/>
        <w:rPr>
          <w:rFonts w:ascii="Arial" w:hAnsi="Arial" w:cs="Arial"/>
          <w:b/>
          <w:color w:val="000000"/>
          <w:sz w:val="22"/>
        </w:rPr>
      </w:pPr>
      <w:r w:rsidRPr="00491279">
        <w:rPr>
          <w:rFonts w:ascii="Arial" w:hAnsi="Arial" w:cs="Arial"/>
          <w:b/>
          <w:color w:val="000000"/>
          <w:sz w:val="22"/>
        </w:rPr>
        <w:t>I. Потребна средства за финансирање Програма мониторинга</w: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Потребна средства за финансирање Програма мониторинга обезбеђена су Законом о буџету Републике Србије за 2022. годину (</w:t>
      </w:r>
      <w:r>
        <w:rPr>
          <w:rFonts w:ascii="Arial" w:hAnsi="Arial" w:cs="Arial"/>
          <w:color w:val="000000"/>
          <w:sz w:val="22"/>
        </w:rPr>
        <w:t>"</w:t>
      </w:r>
      <w:r w:rsidRPr="00491279">
        <w:rPr>
          <w:rFonts w:ascii="Arial" w:hAnsi="Arial" w:cs="Arial"/>
          <w:color w:val="000000"/>
          <w:sz w:val="22"/>
        </w:rPr>
        <w:t>Службени гласник РС</w:t>
      </w:r>
      <w:r>
        <w:rPr>
          <w:rFonts w:ascii="Arial" w:hAnsi="Arial" w:cs="Arial"/>
          <w:color w:val="000000"/>
          <w:sz w:val="22"/>
        </w:rPr>
        <w:t>"</w:t>
      </w:r>
      <w:r w:rsidRPr="00491279">
        <w:rPr>
          <w:rFonts w:ascii="Arial" w:hAnsi="Arial" w:cs="Arial"/>
          <w:color w:val="000000"/>
          <w:sz w:val="22"/>
        </w:rPr>
        <w:t xml:space="preserve">, број 110/21), у оквиру Раздела 24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Министарство пољопривреде, шумарства и водопривреде, у Глави 24.1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Управа за ветерину, Програм 0109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Безбедност хране, ветеринарска и фитосанитарна политика, Функција 760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Здравство некласификовано на другом месту, Програмска активност 0002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Безбедност хране животињског порекла и хране за животиње, Економска класификација 451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Субвенције јавним нефинансијским предузећима и организацијама у износу од 180.000.000 динара.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Укупна средства са наведене економске класификације у износу од 180.000.000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2022. годину, 05 број 401-496/2022 од 28. јануара 2022. године (у даљем тексту: Закључак Владе).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 складу са Закључком Владе, од укупног износа од 180.000.000 динара, средства се расподељују у одговарајућим износима, од чега за Програм мониторинга у износу од 34.000.000 динара.</w: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  <w:r w:rsidRPr="00491279">
        <w:rPr>
          <w:rFonts w:ascii="Arial" w:hAnsi="Arial" w:cs="Arial"/>
          <w:b/>
          <w:color w:val="000000"/>
          <w:sz w:val="22"/>
        </w:rPr>
        <w:t>II. Mере које ће се предузети у случају присуства микробиолошких и хемијских контаминената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 случају пошиљака које не испуњавају прописане захтеве у складу са законом којим се уређује безбедност хране, односно законом којим се уређује ветеринарство, односно у случају присуства микробиолошких, хемијских и квалитативних неусаглашености са прописаним вредностима, надлежни орган спроводи активности како би се осигурало да се неусаглашеност отклони, и то: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1) обавештава о природи пошиљке и њеној неусаглашености граничне прелазе на којима се обавља ветеринарско-санитарна контрола, у складу са законом којим се уређује ветеринарство;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2) обавештава о неусаглашености увозника, који може да захтева додатно стручно мишљење (суперанализа), односно додатне анализе другог (контролног) узорка, које се обављају у акредитованој лабораторији са акредитованим методом у складу са законским прописима;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3) забрањује стављање у промет пошиљке, ако је примењиво;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4) предузима мере за које се сматра да су потребне како би се осигурала безбедност хране;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5) обавештава о неусаглашености надлежни орган државе извознице;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6) предузима друге мере и друге одговарајуће радње.</w: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  <w:r w:rsidRPr="00491279">
        <w:rPr>
          <w:rFonts w:ascii="Arial" w:hAnsi="Arial" w:cs="Arial"/>
          <w:b/>
          <w:color w:val="000000"/>
          <w:sz w:val="22"/>
        </w:rPr>
        <w:t>III. Структура органа и организација за спровођење Програма мониторинга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Програм мониторинга спроводи надлежни орган преко граничних ветеринарских инспектора.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Лабораторијска испитивања спроводе лабораторијe: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1) које су изабране путем конкурса у складу са законом којим се уређује безбедност хране;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2) које су овлашћене за службене контроле у складу са законом којим се уређује област ветеринарства.</w: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  <w:r w:rsidRPr="00491279">
        <w:rPr>
          <w:rFonts w:ascii="Arial" w:hAnsi="Arial" w:cs="Arial"/>
          <w:b/>
          <w:color w:val="000000"/>
          <w:sz w:val="22"/>
        </w:rPr>
        <w:t>IV. Други параметри од значаја за спровођење Програма мониторинга</w: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  <w:r w:rsidRPr="00491279">
        <w:rPr>
          <w:rFonts w:ascii="Arial" w:hAnsi="Arial" w:cs="Arial"/>
          <w:i/>
          <w:color w:val="000000"/>
          <w:sz w:val="22"/>
        </w:rPr>
        <w:t>1. План мониторинга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 xml:space="preserve">План мониторинга, којим се одређују параметри испитивања за микробиолошка и хемијска испитивања хране животињског порекла и хране за животиње, дат је у Табели 1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План за узорковање пошиљки хране животињског порекла, овог програма и Табели 2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План за узорковање пошиљки хране за животиње, овог програма.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 xml:space="preserve">Табела 1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План за узорковање пошиљки хране животињског порекла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80"/>
        <w:gridCol w:w="1496"/>
        <w:gridCol w:w="7185"/>
      </w:tblGrid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Пошиљка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 xml:space="preserve">Земља </w:t>
            </w:r>
            <w:r w:rsidRPr="00491279">
              <w:rPr>
                <w:rFonts w:ascii="Arial" w:hAnsi="Arial" w:cs="Arial"/>
                <w:color w:val="000000"/>
                <w:sz w:val="22"/>
              </w:rPr>
              <w:lastRenderedPageBreak/>
              <w:t>порекла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lastRenderedPageBreak/>
              <w:t>Параметар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Говеђе месо, расхлађено или замрзнуто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S.typhimurium, S.enteritidis, Shiga toxin (токсин E. coli), антибиотици, сулфонамиди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Свињско месо, расхлађено или замрзнуто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S.typhimurium, S.enteritidis, антибиотици, сулфонамиди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Свињска јетра и изнутрице јестиве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Антибиотици, Органохлорне, органофосфорне супстанце, PCB, тешки метали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Овчије месо расхлађено или замрзнуто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Shiga toxin (токсин E. coli)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Црева</w:t>
            </w:r>
          </w:p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(овце, свиње и говеда)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Антибиотици, сулфонамиди, Clostridium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Живинско месо, расхлађено или замрзнуто и изнутрице јестиве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S.typhimurium, S.enteritidis, Campylobacter (свеже месо), антибиотици, сулфонамиди, кокцидиостатици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Механички сепарисано месо живине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антибиотици, сулфонамиди,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Полупроизводи од меса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 xml:space="preserve">Salmonella spp, Listeria monocytogenes, Shiga toxin (токсин </w:t>
            </w:r>
            <w:r w:rsidRPr="00491279">
              <w:rPr>
                <w:rFonts w:ascii="Arial" w:hAnsi="Arial" w:cs="Arial"/>
                <w:i/>
                <w:color w:val="000000"/>
                <w:sz w:val="22"/>
              </w:rPr>
              <w:t>E. coli</w:t>
            </w:r>
            <w:r w:rsidRPr="00491279">
              <w:rPr>
                <w:rFonts w:ascii="Arial" w:hAnsi="Arial" w:cs="Arial"/>
                <w:color w:val="000000"/>
                <w:sz w:val="22"/>
              </w:rPr>
              <w:t>), антибиотици, сулфонамиди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Производи од меса (ферментисани, димљени или сушени)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Listeria monocytogenes, benzopyren и PAH (за димљене производе), нитрити, антибиотици, сулфонамиди,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Барене и куване кобасице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Listeria monocytogenes, сулфити, нитрити, сулфонамиди, тешки метали,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Конзерве од меса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Сулфиторедукујуће клостридије, Salmonella spp, Listeria monocytogenes, aнтибиотици,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Риба морска расхлађена или замрзнута (уловљена у мору)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Тешки метали, хистамин, паразити,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Риба уловљена у мору и њихови производи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Риболовна подручја где су уловљени: ФАО 61, 67, 71, 77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Cs-137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Риба, сушена, димљена, сољена или у саламури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Listeria monocytogenes, Полициклични ароматични угљоводоници (PAH), хистамин, тешки метали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Риба, расхлађена или замрзнута (морске рибе, аквакултура)*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Малахит зелено, Aнтибиотици (хлорамфеникол, нитрофурани, нитромидазол)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Рибљи филети и остало рибље месо (немлевено или млевено), свеже, расхлађено или замрзнуто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Тешки метали, хистамин, паразити,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Рибље конзерве и производи од риба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Хистамин, тешки метали,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Риба слатководна расхлађена или замрзнута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Малахит зелено, Aнтибиотици (хлорамфеникол, нитрофурани, нитромидазол)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Љускари свежи, расхлађени, замрзнути, припремљени или конзервисани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nitrofuran metabolite furazolidone (AOZ), тешки метали, Listeria monocytogenes (припремљени ракови) за ракове из аквакултуре антибиотици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Мекушци свежи, расхлађени, замрзнути, припремљени или конзервисани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norovirus (GI, GII), тешки метали, Listeria monocytogenes(припремљени мекушци), (Escherichia coli и Diarrhoeic Shellfish Poisoning (DSP) toxins само за живе шкољке)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Пужеви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тешки метали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Млеко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Антибиотици, Афлатоксин М1 (земље ЦЕФТА), Enterobacteriaceae (пастеризовано млеко),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Млеко у праху и сурутка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Сир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Listeria monocytogenes, E.coli, коагулаза позитивне стафилококе, enterotoksini stafilokoka за сиреве са зрењем, Еthylene oxide, пареметри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Ферментисани производи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Listeria monocytogenes, коагулаза позитивне стафилококе (enterotoksini stafilokoka)**, Еthylene oxide сулфонамиди, антибиотици,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Маслац, павлака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E.coli, Антибиотици, тешки метали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Производи од млека остали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Listeria monocytogenes, E.coli,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Прехрамбени производи од брашна, прекрупе, гриза, тестенине, кус-кус, пекарски производи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Listeria monocytogenes, pesticidi, Ethylen oxide,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Сладолед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Listeria monocytogenes, Salmonella spp, Ethylen oxide,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Сосови и њихови препарати; супе и чорбе и препарати за те производе; остали прехрамбени производи, на другом месту непоменути нити обухваћени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Listeria monocytogenes, Salmonella spp, Ethylen oxide,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Јаја и производи</w:t>
            </w:r>
          </w:p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од јаја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Listeria monocytogenes, антибиотици, кокцидиостатици, fipronil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Мед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Антибиотици, сулфонамиди, acaricides (tau-fluvalinat,amitraz, acrinathrin),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Полуприпремљена и припремљена јела од меса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spp, Listeria monocytogenes, E. coli (О 157:H7), Сулфиторедукујуће клостридије, параметри квалитета</w:t>
            </w:r>
          </w:p>
        </w:tc>
      </w:tr>
    </w:tbl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Напомене: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*) Уколико се таква врста рибе може конзумирати без термичке обраде, да се испита Listeria monocytogenes, SRPS EN ISO 11290-1:2017.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**) Ентеротоксине стафилокока радити само код позитивног налаза на коагулаза позитивне стафилококе.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 xml:space="preserve">Табела 2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План за узорковање пошиљки хране за животиње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214"/>
        <w:gridCol w:w="1050"/>
        <w:gridCol w:w="8597"/>
      </w:tblGrid>
      <w:tr w:rsidR="00491279" w:rsidRPr="00491279" w:rsidTr="00344D81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Пошиљка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Земља порекла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Параметар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Храна за кућне љубимце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spp.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Рибље брашно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Salmonella, тешки метали, контаминација са протеинима животињског порекла, параметри квалитета</w:t>
            </w:r>
          </w:p>
        </w:tc>
      </w:tr>
      <w:tr w:rsidR="00491279" w:rsidRPr="00491279" w:rsidTr="00344D81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Млеко у праху за сточну храну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1279" w:rsidRPr="00491279" w:rsidRDefault="00491279" w:rsidP="00344D81">
            <w:pPr>
              <w:spacing w:after="150"/>
              <w:rPr>
                <w:rFonts w:ascii="Arial" w:hAnsi="Arial" w:cs="Arial"/>
              </w:rPr>
            </w:pPr>
            <w:r w:rsidRPr="00491279">
              <w:rPr>
                <w:rFonts w:ascii="Arial" w:hAnsi="Arial" w:cs="Arial"/>
                <w:color w:val="000000"/>
                <w:sz w:val="22"/>
              </w:rPr>
              <w:t>Salmonella spp. Clostridium perfringens, антибиотици</w:t>
            </w:r>
          </w:p>
        </w:tc>
      </w:tr>
    </w:tbl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Микробиолошка, хемијска и квалитативна испитивања спроводе се у складу са методама које су признате у Републици Србији, а изузетно ако у Републици Србији не постоји призната метода, испитивање се спроводи у складу са међународно признатом методом.</w: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  <w:r w:rsidRPr="00491279">
        <w:rPr>
          <w:rFonts w:ascii="Arial" w:hAnsi="Arial" w:cs="Arial"/>
          <w:i/>
          <w:color w:val="000000"/>
          <w:sz w:val="22"/>
        </w:rPr>
        <w:t>2. Услови и начин узорковања и чувања узорака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Узорковање се врши у складу са прописима којима се уређује безбедност хране животињског порекла и хране за животиње и стандардима усвојеним у области ветеринарства и безбедности хране.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Узорковање се врши у складу са Планом мониторинга.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Поступак узорковања, манипулације и обележавање узетих узорака врши се на прописан начин којим се осигурава њихова подобност за предвиђене анализе.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Узорковање треба извршити ненајављено, без унапред одређеног датума и времена, тако да постоји непредвидивост при избору пошиљке за узорковање. Узорке треба узимати на начин који спречава вишеструко узорковање од истог произвођача или увозника.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При узорковању, на граничном прелазу дозвољава се присуство на месту узорковања странци или његовом овлашћеном заступнику.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Приликом узимања узорака за лабораторијска испитивања на граничном прелазу узимају се два узорка под идентичним условима и истовремено. Први узорак се одмах доставља у лабораторију где се врши анализа, други узорак (контролни) чува се на граничном прелазу на сигурном месту, где није дозвољен приступ неовлашћеним особама у одговарајућим условима за испитивање, у случају потребе за додатним стручним мишљењем (суперанализа).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 случају да из техничких разлога, не постоји могућност да се узорковање изврши на граничном прелазу, узорковање се може обавити и на месту истовара пошиљке.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 xml:space="preserve">Приликом узимања узорка саставља се и записник о узорковању хране животињског порекла или хране за животиње који се увозе, ради лабораторијског испитивања ветеринарско-санитарне исправности (у даљем тексту: Записник о узорковању), чија је садржина дата у Табели 3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Записник о узорковању, овог програма. Примерак записника о узорковању који се доставља странци не садржи број/код узорка, како би се обезбедила дискреција резултата лабораторијских испитивања.</w:t>
      </w:r>
    </w:p>
    <w:p w:rsidR="00491279" w:rsidRPr="00491279" w:rsidRDefault="00491279" w:rsidP="00491279">
      <w:pPr>
        <w:spacing w:after="150"/>
        <w:jc w:val="center"/>
        <w:rPr>
          <w:rFonts w:ascii="Arial" w:hAnsi="Arial" w:cs="Arial"/>
        </w:rPr>
      </w:pPr>
      <w:r w:rsidRPr="00491279">
        <w:rPr>
          <w:rFonts w:ascii="Arial" w:hAnsi="Arial" w:cs="Arial"/>
          <w:lang w:eastAsia="sr-Latn-RS"/>
        </w:rPr>
        <w:pict>
          <v:shape id="_x0000_i1034" type="#_x0000_t75" style="width:451.5pt;height:633.75pt;visibility:visible;mso-wrap-style:square">
            <v:imagedata r:id="rId7" o:title=""/>
          </v:shape>
        </w:pic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Узорак који се доставља лабораторији прати: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 xml:space="preserve">1) захтев за обављање лабораторијске анализе, који се попуњава у два примерка, чија је садржина дата у Табели 4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Захтев за обављање лабораторијске анализе, овог програма;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 xml:space="preserve">2) пропратно писмо за пријем узорака у лабораторију, чија је садржина дата у Табели 5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Пропратно писмо за пријем узорака у лабораторију, овог програма.</w:t>
      </w:r>
    </w:p>
    <w:p w:rsidR="00491279" w:rsidRPr="00491279" w:rsidRDefault="00491279" w:rsidP="00491279">
      <w:pPr>
        <w:rPr>
          <w:rFonts w:ascii="Arial" w:hAnsi="Arial" w:cs="Arial"/>
        </w:rPr>
      </w:pPr>
      <w:bookmarkStart w:id="0" w:name="_idContainer003"/>
      <w:r w:rsidRPr="00491279">
        <w:rPr>
          <w:rFonts w:ascii="Arial" w:hAnsi="Arial" w:cs="Arial"/>
          <w:lang w:eastAsia="sr-Latn-RS"/>
        </w:rPr>
        <w:pict>
          <v:shape id="Picture 2" o:spid="_x0000_i1032" type="#_x0000_t75" style="width:451.5pt;height:594pt;visibility:visible;mso-wrap-style:square">
            <v:imagedata r:id="rId8" o:title=""/>
          </v:shape>
        </w:pict>
      </w:r>
    </w:p>
    <w:bookmarkEnd w:id="0"/>
    <w:p w:rsidR="00491279" w:rsidRPr="00491279" w:rsidRDefault="00491279" w:rsidP="00491279">
      <w:pPr>
        <w:spacing w:after="150"/>
        <w:jc w:val="center"/>
        <w:rPr>
          <w:rFonts w:ascii="Arial" w:hAnsi="Arial" w:cs="Arial"/>
        </w:rPr>
      </w:pPr>
      <w:r w:rsidRPr="00491279">
        <w:rPr>
          <w:rFonts w:ascii="Arial" w:hAnsi="Arial" w:cs="Arial"/>
          <w:lang w:eastAsia="sr-Latn-RS"/>
        </w:rPr>
        <w:pict>
          <v:shape id="Picture 3" o:spid="_x0000_i1030" type="#_x0000_t75" style="width:451.5pt;height:633.75pt;visibility:visible;mso-wrap-style:square">
            <v:imagedata r:id="rId9" o:title=""/>
          </v:shape>
        </w:pict>
      </w:r>
    </w:p>
    <w:p w:rsidR="00491279" w:rsidRPr="00491279" w:rsidRDefault="00491279" w:rsidP="00491279">
      <w:pPr>
        <w:spacing w:after="150"/>
        <w:jc w:val="center"/>
        <w:rPr>
          <w:rFonts w:ascii="Arial" w:hAnsi="Arial" w:cs="Arial"/>
        </w:rPr>
      </w:pPr>
      <w:r w:rsidRPr="00491279">
        <w:rPr>
          <w:rFonts w:ascii="Arial" w:hAnsi="Arial" w:cs="Arial"/>
          <w:lang w:eastAsia="sr-Latn-RS"/>
        </w:rPr>
        <w:pict>
          <v:shape id="Picture 4" o:spid="_x0000_i1028" type="#_x0000_t75" style="width:451.5pt;height:633.75pt;visibility:visible;mso-wrap-style:square">
            <v:imagedata r:id="rId10" o:title=""/>
          </v:shape>
        </w:pic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  <w:r w:rsidRPr="00491279">
        <w:rPr>
          <w:rFonts w:ascii="Arial" w:hAnsi="Arial" w:cs="Arial"/>
          <w:i/>
          <w:color w:val="000000"/>
          <w:sz w:val="22"/>
        </w:rPr>
        <w:t>3. Tранспорт узорака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Узорци се преузимају и транспортују у лабораторију у најкраћем могућем року, у складу са уговором о пружању услуга са овлашћеном лабораторијом.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Транспорт је обавезан у специјализованом возилу, у којем је обезбеђен температурни режим и предузете све мере предострожности како би се избегла било каква промена у саставу узорка и спречило оштећење узорка, кварења или међусобне контаминације.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 случају микробиолошког испитивања, треба да постоји следљивост температуре узорка.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 ту сврху: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1) за време узорковања, на граничном прелазу мери се температура узорка и евидентира вредност у пропратном писму о пријему узорка у лабораторију, у делу предаје узорака;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2) по пријему узорка, одговорно лице овлашћене лабораторије мери температуру узорка и евидентира је у пропратном писму о пријему узорака у лабораторију, у делу пријем узорака, које се враћа граничном ветеринарском инспек</w:t>
      </w:r>
      <w:bookmarkStart w:id="1" w:name="_GoBack"/>
      <w:bookmarkEnd w:id="1"/>
      <w:r w:rsidRPr="00491279">
        <w:rPr>
          <w:rFonts w:ascii="Arial" w:hAnsi="Arial" w:cs="Arial"/>
          <w:color w:val="000000"/>
          <w:sz w:val="22"/>
        </w:rPr>
        <w:t>тору на граничном прелазу.</w: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  <w:r w:rsidRPr="00491279">
        <w:rPr>
          <w:rFonts w:ascii="Arial" w:hAnsi="Arial" w:cs="Arial"/>
          <w:i/>
          <w:color w:val="000000"/>
          <w:sz w:val="22"/>
        </w:rPr>
        <w:t>4. Достављање резултата лабораторијских анализа за дати узорак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Резултати лабораторијске анализе достављају се граничном прелазу где је извршено узорковање, а у случају лабораторијског налаза који не испуњава прописане захтеве у складу са законом којим се уређује безбедност хране, односно законом којим се уређује ветеринарство и надлежном органу.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 случају када се узорковање врши у месту истовара пошиљке, резултати лабораторијских анализа овлашћена лабораторија додатно доставља и у месту истовара пошиљке где је извршено узорковање.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Ако резултат није у складу са прописаним захтевима у складу са законом којим се уређује безбедност хране, односно законом којим се уређује ветеринарство, овлашћена лабораторија обавештење доставља у најкраћем могућем року.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Ако узорци који долазе у лабораторију нису погодни за анализу, они не би требало да буду подвргнути лабораторијској анализи о чему се обавештава надлежни орган и гранични прелаз, односно место истовара пошиљке где је извршено узорковање.</w:t>
      </w:r>
    </w:p>
    <w:p w:rsidR="00491279" w:rsidRPr="00491279" w:rsidRDefault="00491279" w:rsidP="00491279">
      <w:pPr>
        <w:jc w:val="center"/>
        <w:rPr>
          <w:rFonts w:ascii="Arial" w:hAnsi="Arial" w:cs="Arial"/>
        </w:rPr>
      </w:pPr>
      <w:r w:rsidRPr="00491279">
        <w:rPr>
          <w:rFonts w:ascii="Arial" w:hAnsi="Arial" w:cs="Arial"/>
          <w:i/>
          <w:color w:val="000000"/>
          <w:sz w:val="22"/>
        </w:rPr>
        <w:t>5. Извештај о спровођењу Плана мониторинга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>У циљу спровођења ефикасне и ефективне координације и сарадње, сви гранични прелази на којима се обавља ветеринарско-санитарна контрола, у складу са законом којим се уређује ветеринарство, достављају извештај о спровођењу Плана мониторинга.</w:t>
      </w:r>
    </w:p>
    <w:p w:rsidR="00491279" w:rsidRPr="00491279" w:rsidRDefault="00491279" w:rsidP="00491279">
      <w:pPr>
        <w:spacing w:after="150"/>
        <w:rPr>
          <w:rFonts w:ascii="Arial" w:hAnsi="Arial" w:cs="Arial"/>
        </w:rPr>
      </w:pPr>
      <w:r w:rsidRPr="00491279">
        <w:rPr>
          <w:rFonts w:ascii="Arial" w:hAnsi="Arial" w:cs="Arial"/>
          <w:color w:val="000000"/>
          <w:sz w:val="22"/>
        </w:rPr>
        <w:t xml:space="preserve">Извештај о спровођењу Плана мониторинга доставља се надлежном органу квартално, у форми табеле, чија је садржина дата у Табели 6 </w:t>
      </w:r>
      <w:r>
        <w:rPr>
          <w:rFonts w:ascii="Arial" w:hAnsi="Arial" w:cs="Arial"/>
          <w:color w:val="000000"/>
          <w:sz w:val="22"/>
        </w:rPr>
        <w:t>-</w:t>
      </w:r>
      <w:r w:rsidRPr="00491279">
        <w:rPr>
          <w:rFonts w:ascii="Arial" w:hAnsi="Arial" w:cs="Arial"/>
          <w:color w:val="000000"/>
          <w:sz w:val="22"/>
        </w:rPr>
        <w:t xml:space="preserve"> Извештај о спровођењу Плана мониторинга, овог програма.</w:t>
      </w:r>
    </w:p>
    <w:p w:rsidR="00491279" w:rsidRDefault="00491279" w:rsidP="00491279">
      <w:pPr>
        <w:spacing w:after="150"/>
        <w:jc w:val="center"/>
        <w:rPr>
          <w:rFonts w:ascii="Arial" w:hAnsi="Arial" w:cs="Arial"/>
        </w:rPr>
      </w:pPr>
      <w:r w:rsidRPr="00491279">
        <w:rPr>
          <w:rFonts w:ascii="Arial" w:hAnsi="Arial" w:cs="Arial"/>
          <w:lang w:eastAsia="sr-Latn-RS"/>
        </w:rPr>
        <w:pict>
          <v:shape id="Picture 5" o:spid="_x0000_i1026" type="#_x0000_t75" style="width:451.5pt;height:321.75pt;visibility:visible;mso-wrap-style:square">
            <v:imagedata r:id="rId11" o:title=""/>
          </v:shape>
        </w:pict>
      </w:r>
    </w:p>
    <w:p w:rsidR="00276575" w:rsidRPr="00491279" w:rsidRDefault="00276575" w:rsidP="00497C37">
      <w:pPr>
        <w:rPr>
          <w:rFonts w:ascii="Arial" w:hAnsi="Arial" w:cs="Arial"/>
        </w:rPr>
      </w:pPr>
    </w:p>
    <w:sectPr w:rsidR="00276575" w:rsidRPr="00491279" w:rsidSect="00881791">
      <w:footerReference w:type="default" r:id="rId12"/>
      <w:pgSz w:w="12480" w:h="15690"/>
      <w:pgMar w:top="340" w:right="880" w:bottom="280" w:left="840" w:header="720" w:footer="3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3FD" w:rsidRDefault="008663FD" w:rsidP="00881791">
      <w:r>
        <w:separator/>
      </w:r>
    </w:p>
  </w:endnote>
  <w:endnote w:type="continuationSeparator" w:id="0">
    <w:p w:rsidR="008663FD" w:rsidRDefault="008663FD" w:rsidP="00881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8E9" w:rsidRPr="00D258E9" w:rsidRDefault="00D258E9">
    <w:pPr>
      <w:pStyle w:val="Footer"/>
      <w:jc w:val="center"/>
      <w:rPr>
        <w:caps/>
        <w:color w:val="5B9BD5"/>
      </w:rPr>
    </w:pPr>
    <w:r w:rsidRPr="00D258E9">
      <w:rPr>
        <w:caps/>
        <w:noProof w:val="0"/>
        <w:color w:val="5B9BD5"/>
      </w:rPr>
      <w:fldChar w:fldCharType="begin"/>
    </w:r>
    <w:r w:rsidRPr="00D258E9">
      <w:rPr>
        <w:caps/>
        <w:color w:val="5B9BD5"/>
      </w:rPr>
      <w:instrText xml:space="preserve"> PAGE   \* MERGEFORMAT </w:instrText>
    </w:r>
    <w:r w:rsidRPr="00D258E9">
      <w:rPr>
        <w:caps/>
        <w:noProof w:val="0"/>
        <w:color w:val="5B9BD5"/>
      </w:rPr>
      <w:fldChar w:fldCharType="separate"/>
    </w:r>
    <w:r w:rsidR="008663FD">
      <w:rPr>
        <w:caps/>
        <w:color w:val="5B9BD5"/>
      </w:rPr>
      <w:t>1</w:t>
    </w:r>
    <w:r w:rsidRPr="00D258E9">
      <w:rPr>
        <w:caps/>
        <w:color w:val="5B9BD5"/>
      </w:rPr>
      <w:fldChar w:fldCharType="end"/>
    </w:r>
  </w:p>
  <w:p w:rsidR="00881791" w:rsidRDefault="008817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3FD" w:rsidRDefault="008663FD" w:rsidP="00881791">
      <w:r>
        <w:separator/>
      </w:r>
    </w:p>
  </w:footnote>
  <w:footnote w:type="continuationSeparator" w:id="0">
    <w:p w:rsidR="008663FD" w:rsidRDefault="008663FD" w:rsidP="008817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7D6E"/>
    <w:rsid w:val="00251BA3"/>
    <w:rsid w:val="00276575"/>
    <w:rsid w:val="00311D8F"/>
    <w:rsid w:val="00491279"/>
    <w:rsid w:val="00497C37"/>
    <w:rsid w:val="004F398E"/>
    <w:rsid w:val="004F5E00"/>
    <w:rsid w:val="00562735"/>
    <w:rsid w:val="00610AA4"/>
    <w:rsid w:val="00680383"/>
    <w:rsid w:val="00703DEC"/>
    <w:rsid w:val="00751A99"/>
    <w:rsid w:val="00790C79"/>
    <w:rsid w:val="00806E64"/>
    <w:rsid w:val="008410D4"/>
    <w:rsid w:val="008663FD"/>
    <w:rsid w:val="00881791"/>
    <w:rsid w:val="008D698E"/>
    <w:rsid w:val="00944E3C"/>
    <w:rsid w:val="00A31AF5"/>
    <w:rsid w:val="00A329E2"/>
    <w:rsid w:val="00BF092D"/>
    <w:rsid w:val="00D13326"/>
    <w:rsid w:val="00D258E9"/>
    <w:rsid w:val="00E34B75"/>
    <w:rsid w:val="00EC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7496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91279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8E9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8E9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58E9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258E9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8179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8179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179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8179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D258E9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D258E9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D258E9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D258E9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D258E9"/>
  </w:style>
  <w:style w:type="paragraph" w:styleId="NormalIndent">
    <w:name w:val="Normal Indent"/>
    <w:basedOn w:val="Normal"/>
    <w:uiPriority w:val="99"/>
    <w:unhideWhenUsed/>
    <w:rsid w:val="00D258E9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8E9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D258E9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D258E9"/>
    <w:rPr>
      <w:i/>
      <w:iCs/>
    </w:rPr>
  </w:style>
  <w:style w:type="character" w:styleId="Hyperlink">
    <w:name w:val="Hyperlink"/>
    <w:uiPriority w:val="99"/>
    <w:unhideWhenUsed/>
    <w:rsid w:val="00D258E9"/>
    <w:rPr>
      <w:color w:val="0563C1"/>
      <w:u w:val="single"/>
    </w:rPr>
  </w:style>
  <w:style w:type="table" w:styleId="TableGrid">
    <w:name w:val="Table Grid"/>
    <w:basedOn w:val="TableNormal"/>
    <w:uiPriority w:val="59"/>
    <w:rsid w:val="00D258E9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258E9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D258E9"/>
    <w:pPr>
      <w:spacing w:after="200" w:line="276" w:lineRule="auto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1989</Words>
  <Characters>11342</Characters>
  <Application>Microsoft Office Word</Application>
  <DocSecurity>0</DocSecurity>
  <Lines>94</Lines>
  <Paragraphs>26</Paragraphs>
  <ScaleCrop>false</ScaleCrop>
  <Company/>
  <LinksUpToDate>false</LinksUpToDate>
  <CharactersWithSpaces>13305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2023-12-26T08:08:00Z</dcterms:created>
  <dcterms:modified xsi:type="dcterms:W3CDTF">2023-12-26T08:14:00Z</dcterms:modified>
</cp:coreProperties>
</file>