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98"/>
        <w:gridCol w:w="9797"/>
      </w:tblGrid>
      <w:tr w:rsidR="00A4354E" w:rsidRPr="00803C7C" w:rsidTr="00B97738">
        <w:trPr>
          <w:tblCellSpacing w:w="15" w:type="dxa"/>
        </w:trPr>
        <w:tc>
          <w:tcPr>
            <w:tcW w:w="441" w:type="pct"/>
            <w:shd w:val="clear" w:color="auto" w:fill="A41E1C"/>
            <w:vAlign w:val="center"/>
          </w:tcPr>
          <w:p w:rsidR="00A4354E" w:rsidRPr="00803C7C" w:rsidRDefault="00A4354E" w:rsidP="00B97738">
            <w:pPr>
              <w:pStyle w:val="NASLOVZLATO"/>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61" type="#_x0000_t75" alt="futer logo" style="width:41.25pt;height:44.25pt;visibility:visible;mso-wrap-style:square">
                  <v:imagedata r:id="rId6" o:title="futer logo"/>
                </v:shape>
              </w:pict>
            </w:r>
          </w:p>
        </w:tc>
        <w:tc>
          <w:tcPr>
            <w:tcW w:w="4518" w:type="pct"/>
            <w:shd w:val="clear" w:color="auto" w:fill="A41E1C"/>
            <w:vAlign w:val="center"/>
            <w:hideMark/>
          </w:tcPr>
          <w:p w:rsidR="00A4354E" w:rsidRPr="00803C7C" w:rsidRDefault="00A4354E" w:rsidP="00B97738">
            <w:pPr>
              <w:pStyle w:val="NASLOVBELO"/>
              <w:spacing w:line="360" w:lineRule="auto"/>
              <w:rPr>
                <w:color w:val="FFE599"/>
                <w:lang w:val="sr-Cyrl-RS"/>
              </w:rPr>
            </w:pPr>
            <w:r w:rsidRPr="00803C7C">
              <w:rPr>
                <w:color w:val="FFE599"/>
              </w:rPr>
              <w:t>ПРАВИЛНИК</w:t>
            </w:r>
          </w:p>
          <w:p w:rsidR="00A4354E" w:rsidRPr="00803C7C" w:rsidRDefault="00A4354E" w:rsidP="00B97738">
            <w:pPr>
              <w:pStyle w:val="NASLOVBELO"/>
            </w:pPr>
            <w:r w:rsidRPr="00803C7C">
              <w:t>О ИПАРД ПОДСТИЦАЈИМА ЗА ДИВЕРЗИФИКАЦИЈУ ПОЉОПРИВРЕДНИХ ГАЗДИНСТАВА И РАЗВОЈ ПОСЛОВАЊА</w:t>
            </w:r>
          </w:p>
          <w:p w:rsidR="00A4354E" w:rsidRPr="00803C7C" w:rsidRDefault="00A4354E" w:rsidP="00B97738">
            <w:pPr>
              <w:pStyle w:val="podnaslovpropisa"/>
              <w:rPr>
                <w:sz w:val="18"/>
                <w:szCs w:val="18"/>
              </w:rPr>
            </w:pPr>
            <w:r w:rsidRPr="00803C7C">
              <w:rPr>
                <w:sz w:val="18"/>
                <w:szCs w:val="18"/>
              </w:rPr>
              <w:t>("Сл. гласник РС", бр. 76/2020</w:t>
            </w:r>
            <w:r>
              <w:rPr>
                <w:sz w:val="18"/>
                <w:szCs w:val="18"/>
              </w:rPr>
              <w:t xml:space="preserve"> </w:t>
            </w:r>
            <w:r>
              <w:rPr>
                <w:sz w:val="18"/>
                <w:szCs w:val="18"/>
                <w:lang w:val="sr-Cyrl-RS"/>
              </w:rPr>
              <w:t xml:space="preserve">и </w:t>
            </w:r>
            <w:r w:rsidRPr="00A4354E">
              <w:rPr>
                <w:sz w:val="18"/>
                <w:szCs w:val="18"/>
                <w:lang w:val="sr-Cyrl-RS"/>
              </w:rPr>
              <w:t>87/2021</w:t>
            </w:r>
            <w:r w:rsidRPr="00803C7C">
              <w:rPr>
                <w:sz w:val="18"/>
                <w:szCs w:val="18"/>
              </w:rPr>
              <w:t>)</w:t>
            </w:r>
          </w:p>
        </w:tc>
      </w:tr>
    </w:tbl>
    <w:p w:rsidR="00A4354E" w:rsidRPr="00803C7C" w:rsidRDefault="00A4354E" w:rsidP="00A4354E">
      <w:pPr>
        <w:rPr>
          <w:rFonts w:ascii="Arial" w:hAnsi="Arial" w:cs="Arial"/>
        </w:rPr>
      </w:pPr>
    </w:p>
    <w:p w:rsidR="00A4354E" w:rsidRPr="00A4354E" w:rsidRDefault="00A4354E" w:rsidP="00A4354E">
      <w:pPr>
        <w:spacing w:after="150" w:line="276" w:lineRule="auto"/>
        <w:contextualSpacing w:val="0"/>
        <w:jc w:val="right"/>
        <w:rPr>
          <w:rFonts w:ascii="Arial" w:hAnsi="Arial" w:cs="Arial"/>
          <w:noProof w:val="0"/>
          <w:sz w:val="22"/>
          <w:szCs w:val="22"/>
          <w:lang w:val="sr-Cyrl-RS"/>
        </w:rPr>
      </w:pPr>
      <w:r>
        <w:rPr>
          <w:rFonts w:ascii="Arial" w:hAnsi="Arial" w:cs="Arial"/>
          <w:noProof w:val="0"/>
          <w:color w:val="000000"/>
          <w:sz w:val="22"/>
          <w:szCs w:val="22"/>
          <w:lang w:val="en-US"/>
        </w:rPr>
        <w:t xml:space="preserve">ПРИЛОГ </w:t>
      </w:r>
      <w:r>
        <w:rPr>
          <w:rFonts w:ascii="Arial" w:hAnsi="Arial" w:cs="Arial"/>
          <w:noProof w:val="0"/>
          <w:color w:val="000000"/>
          <w:sz w:val="22"/>
          <w:szCs w:val="22"/>
          <w:lang w:val="sr-Cyrl-RS"/>
        </w:rPr>
        <w:t>1.</w:t>
      </w:r>
    </w:p>
    <w:p w:rsidR="00A4354E" w:rsidRPr="00A4354E" w:rsidRDefault="00A4354E" w:rsidP="00A4354E">
      <w:pPr>
        <w:spacing w:before="330" w:after="120"/>
        <w:ind w:firstLine="480"/>
        <w:contextualSpacing w:val="0"/>
        <w:jc w:val="center"/>
        <w:rPr>
          <w:rFonts w:ascii="Arial" w:eastAsia="Times New Roman" w:hAnsi="Arial" w:cs="Arial"/>
          <w:b/>
          <w:bCs/>
          <w:noProof w:val="0"/>
          <w:color w:val="000000"/>
          <w:lang w:eastAsia="sr-Latn-RS"/>
        </w:rPr>
      </w:pPr>
      <w:r w:rsidRPr="00A4354E">
        <w:rPr>
          <w:rFonts w:ascii="Arial" w:eastAsia="Times New Roman" w:hAnsi="Arial" w:cs="Arial"/>
          <w:b/>
          <w:bCs/>
          <w:noProof w:val="0"/>
          <w:color w:val="000000"/>
          <w:lang w:eastAsia="sr-Latn-RS"/>
        </w:rPr>
        <w:t>ЛИСТА ПРИХВАТЉИВИХ ИНВЕСТИЦИЈА И ТРОШКОВА</w:t>
      </w:r>
    </w:p>
    <w:tbl>
      <w:tblPr>
        <w:tblW w:w="5000" w:type="pct"/>
        <w:tblCellMar>
          <w:top w:w="15" w:type="dxa"/>
          <w:left w:w="15" w:type="dxa"/>
          <w:bottom w:w="15" w:type="dxa"/>
          <w:right w:w="15" w:type="dxa"/>
        </w:tblCellMar>
        <w:tblLook w:val="04A0" w:firstRow="1" w:lastRow="0" w:firstColumn="1" w:lastColumn="0" w:noHBand="0" w:noVBand="1"/>
      </w:tblPr>
      <w:tblGrid>
        <w:gridCol w:w="10850"/>
      </w:tblGrid>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contextualSpacing w:val="0"/>
              <w:rPr>
                <w:rFonts w:ascii="Arial" w:eastAsia="Times New Roman" w:hAnsi="Arial" w:cs="Arial"/>
                <w:noProof w:val="0"/>
                <w:sz w:val="20"/>
                <w:szCs w:val="20"/>
                <w:lang w:eastAsia="sr-Latn-RS"/>
              </w:rPr>
            </w:pPr>
            <w:r w:rsidRPr="00A4354E">
              <w:rPr>
                <w:rFonts w:ascii="Arial" w:eastAsia="Times New Roman" w:hAnsi="Arial" w:cs="Arial"/>
                <w:b/>
                <w:bCs/>
                <w:noProof w:val="0"/>
                <w:sz w:val="20"/>
                <w:szCs w:val="20"/>
                <w:lang w:eastAsia="sr-Latn-RS"/>
              </w:rPr>
              <w:t>2. ОПШТИ ТРОШАК</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2.1. Трошкови за припрему пројекта и техничке документације, као што су накнаде за архитекте, инжењере и друге консултантске накнаде;</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2.2. Трошкови израде студија о процени утицаја на животну средину;</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2.3. Трошкови припреме документације за ИПАРД подршку (консултантске услуге);</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2.4. Трошкови припреме студија изводљивости и осталих студија везаних за пројекат/бизнис план.</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contextualSpacing w:val="0"/>
              <w:rPr>
                <w:rFonts w:ascii="Arial" w:eastAsia="Times New Roman" w:hAnsi="Arial" w:cs="Arial"/>
                <w:noProof w:val="0"/>
                <w:sz w:val="20"/>
                <w:szCs w:val="20"/>
                <w:lang w:eastAsia="sr-Latn-RS"/>
              </w:rPr>
            </w:pPr>
            <w:r w:rsidRPr="00A4354E">
              <w:rPr>
                <w:rFonts w:ascii="Arial" w:eastAsia="Times New Roman" w:hAnsi="Arial" w:cs="Arial"/>
                <w:b/>
                <w:bCs/>
                <w:noProof w:val="0"/>
                <w:sz w:val="20"/>
                <w:szCs w:val="20"/>
                <w:lang w:eastAsia="sr-Latn-RS"/>
              </w:rPr>
              <w:t>ЛИСТА ПРИХВАТЉИВИХ ТРОШКОВА У ВЕЗИ СА ИЗГРАДЊОМ</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contextualSpacing w:val="0"/>
              <w:rPr>
                <w:rFonts w:ascii="Arial" w:eastAsia="Times New Roman" w:hAnsi="Arial" w:cs="Arial"/>
                <w:noProof w:val="0"/>
                <w:sz w:val="20"/>
                <w:szCs w:val="20"/>
                <w:lang w:eastAsia="sr-Latn-RS"/>
              </w:rPr>
            </w:pPr>
            <w:r w:rsidRPr="00A4354E">
              <w:rPr>
                <w:rFonts w:ascii="Arial" w:eastAsia="Times New Roman" w:hAnsi="Arial" w:cs="Arial"/>
                <w:b/>
                <w:bCs/>
                <w:noProof w:val="0"/>
                <w:sz w:val="20"/>
                <w:szCs w:val="20"/>
                <w:lang w:eastAsia="sr-Latn-RS"/>
              </w:rPr>
              <w:t>4. ГРАЂЕВИНСКИ РАДОВИ</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4.1. Припремни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4.2. Рушење и демонтажа;</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4.3. Земљани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4.4. Бетонски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4.5. Армирано-бетонски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4.6. Инсталатерски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4.7. Столарски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4.8. Зидарски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4.9. Изолациони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4.10. Кровнопокривачки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4.11. Готове конструкције и елементи;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4.12. Противпожарни резервоари и хидрантске мреже.</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contextualSpacing w:val="0"/>
              <w:rPr>
                <w:rFonts w:ascii="Arial" w:eastAsia="Times New Roman" w:hAnsi="Arial" w:cs="Arial"/>
                <w:noProof w:val="0"/>
                <w:sz w:val="20"/>
                <w:szCs w:val="20"/>
                <w:lang w:eastAsia="sr-Latn-RS"/>
              </w:rPr>
            </w:pPr>
            <w:r w:rsidRPr="00A4354E">
              <w:rPr>
                <w:rFonts w:ascii="Arial" w:eastAsia="Times New Roman" w:hAnsi="Arial" w:cs="Arial"/>
                <w:b/>
                <w:bCs/>
                <w:noProof w:val="0"/>
                <w:sz w:val="20"/>
                <w:szCs w:val="20"/>
                <w:lang w:eastAsia="sr-Latn-RS"/>
              </w:rPr>
              <w:t>5. ЗАНАТСКИ РАДОВИ</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5.1. Лимарски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5.2. Столарски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5.3. Браварски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5.4. Стаклорезачки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5.5. Гипсани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5.6. Подне и зидне облоге;</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5.7. Каменорезачки радови;</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5.8. Керамички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5.9. Подополагачки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lastRenderedPageBreak/>
              <w:t>5.10. Молерски и тапетарски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5.11. Фасадни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5.12. Облагање даскама, каменим плочама или плочама од вештачких материјала (прихватљиво само за Меру 7);</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5.13. Завршни монтажни радови (прихватљиво само за Меру 7).</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contextualSpacing w:val="0"/>
              <w:rPr>
                <w:rFonts w:ascii="Arial" w:eastAsia="Times New Roman" w:hAnsi="Arial" w:cs="Arial"/>
                <w:noProof w:val="0"/>
                <w:sz w:val="20"/>
                <w:szCs w:val="20"/>
                <w:lang w:eastAsia="sr-Latn-RS"/>
              </w:rPr>
            </w:pPr>
            <w:r w:rsidRPr="00A4354E">
              <w:rPr>
                <w:rFonts w:ascii="Arial" w:eastAsia="Times New Roman" w:hAnsi="Arial" w:cs="Arial"/>
                <w:b/>
                <w:bCs/>
                <w:noProof w:val="0"/>
                <w:sz w:val="20"/>
                <w:szCs w:val="20"/>
                <w:lang w:eastAsia="sr-Latn-RS"/>
              </w:rPr>
              <w:lastRenderedPageBreak/>
              <w:t>6. ИНСТАЛАТЕРСКИ РАДОВИ</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6.1. Електро-инсталациони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6.2. Водоводни и канализациони радови;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6.3. Гасне инсталације;</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6.4. Инсталације централног грејања;</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6.5. Инсталације противпожарних резервоара и хидрантске мреже.</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contextualSpacing w:val="0"/>
              <w:rPr>
                <w:rFonts w:ascii="Arial" w:eastAsia="Times New Roman" w:hAnsi="Arial" w:cs="Arial"/>
                <w:noProof w:val="0"/>
                <w:sz w:val="20"/>
                <w:szCs w:val="20"/>
                <w:lang w:eastAsia="sr-Latn-RS"/>
              </w:rPr>
            </w:pPr>
            <w:r w:rsidRPr="00A4354E">
              <w:rPr>
                <w:rFonts w:ascii="Arial" w:eastAsia="Times New Roman" w:hAnsi="Arial" w:cs="Arial"/>
                <w:b/>
                <w:bCs/>
                <w:noProof w:val="0"/>
                <w:sz w:val="20"/>
                <w:szCs w:val="20"/>
                <w:lang w:eastAsia="sr-Latn-RS"/>
              </w:rPr>
              <w:t>8. ПЕЈЗАЖНИ РАДОВИ И ПРИЛАЗНИ ПУТЕВИ</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8.1. Уређење екстеријера;</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8.2. Изградња унутрашњих путева и тротоара;</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8.3. Потпорни и заштитни зидови;</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8.4. Асфалтирање.</w:t>
            </w:r>
          </w:p>
        </w:tc>
      </w:tr>
    </w:tbl>
    <w:p w:rsidR="00A4354E" w:rsidRPr="00A4354E" w:rsidRDefault="00A4354E" w:rsidP="00A4354E">
      <w:pPr>
        <w:spacing w:before="330" w:after="120"/>
        <w:ind w:firstLine="480"/>
        <w:contextualSpacing w:val="0"/>
        <w:jc w:val="center"/>
        <w:rPr>
          <w:rFonts w:ascii="Arial" w:eastAsia="Times New Roman" w:hAnsi="Arial" w:cs="Arial"/>
          <w:b/>
          <w:bCs/>
          <w:noProof w:val="0"/>
          <w:color w:val="000000"/>
          <w:lang w:eastAsia="sr-Latn-RS"/>
        </w:rPr>
      </w:pPr>
      <w:r w:rsidRPr="00A4354E">
        <w:rPr>
          <w:rFonts w:ascii="Arial" w:eastAsia="Times New Roman" w:hAnsi="Arial" w:cs="Arial"/>
          <w:b/>
          <w:bCs/>
          <w:noProof w:val="0"/>
          <w:color w:val="000000"/>
          <w:lang w:eastAsia="sr-Latn-RS"/>
        </w:rPr>
        <w:t>3. ЛИСТА ПРИХВАТЉИВИХ ИНВЕСТИЦИЈА И ТРОШКОВА М7 – „ДИВЕРЗИФИКАЦИЈА ПОЉОПРИВРЕДНИХ ГАЗИНСТАВА И РАЗВОЈ ПОСЛОВАЊА”</w:t>
      </w:r>
    </w:p>
    <w:p w:rsidR="00A4354E" w:rsidRPr="00A4354E" w:rsidRDefault="00A4354E" w:rsidP="00A4354E">
      <w:pPr>
        <w:spacing w:after="150"/>
        <w:ind w:firstLine="480"/>
        <w:contextualSpacing w:val="0"/>
        <w:rPr>
          <w:rFonts w:ascii="Arial" w:eastAsia="Times New Roman" w:hAnsi="Arial" w:cs="Arial"/>
          <w:noProof w:val="0"/>
          <w:color w:val="000000"/>
          <w:lang w:eastAsia="sr-Latn-RS"/>
        </w:rPr>
      </w:pPr>
      <w:r w:rsidRPr="00A4354E">
        <w:rPr>
          <w:rFonts w:ascii="Arial" w:eastAsia="Times New Roman" w:hAnsi="Arial" w:cs="Arial"/>
          <w:noProof w:val="0"/>
          <w:color w:val="000000"/>
          <w:lang w:eastAsia="sr-Latn-RS"/>
        </w:rPr>
        <w:t>Листа прихватљивих трошкова (ЛПТ) за Меру 7 – Диверзификација пољопривредних газдинстава и развој пословања у складу је са чланом 33 (2) Секторског споразума. Директно је повезана са поглављем 8.6.8 у ИПАРД II програму. У случају неслагања ЛПТ са ИПАРД II програмом, примењују се одредбе из ИПАРД II програма.</w:t>
      </w:r>
    </w:p>
    <w:p w:rsidR="00A4354E" w:rsidRPr="00A4354E" w:rsidRDefault="00A4354E" w:rsidP="00A4354E">
      <w:pPr>
        <w:spacing w:after="150"/>
        <w:ind w:firstLine="480"/>
        <w:contextualSpacing w:val="0"/>
        <w:rPr>
          <w:rFonts w:ascii="Arial" w:eastAsia="Times New Roman" w:hAnsi="Arial" w:cs="Arial"/>
          <w:noProof w:val="0"/>
          <w:color w:val="000000"/>
          <w:lang w:eastAsia="sr-Latn-RS"/>
        </w:rPr>
      </w:pPr>
      <w:r w:rsidRPr="00A4354E">
        <w:rPr>
          <w:rFonts w:ascii="Arial" w:eastAsia="Times New Roman" w:hAnsi="Arial" w:cs="Arial"/>
          <w:noProof w:val="0"/>
          <w:color w:val="000000"/>
          <w:lang w:eastAsia="sr-Latn-RS"/>
        </w:rPr>
        <w:t>Листа прихватљивих трошкова по типу активности диверзификације:</w:t>
      </w:r>
    </w:p>
    <w:tbl>
      <w:tblPr>
        <w:tblW w:w="5000" w:type="pct"/>
        <w:tblCellMar>
          <w:top w:w="15" w:type="dxa"/>
          <w:left w:w="15" w:type="dxa"/>
          <w:bottom w:w="15" w:type="dxa"/>
          <w:right w:w="15" w:type="dxa"/>
        </w:tblCellMar>
        <w:tblLook w:val="04A0" w:firstRow="1" w:lastRow="0" w:firstColumn="1" w:lastColumn="0" w:noHBand="0" w:noVBand="1"/>
      </w:tblPr>
      <w:tblGrid>
        <w:gridCol w:w="10850"/>
      </w:tblGrid>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contextualSpacing w:val="0"/>
              <w:rPr>
                <w:rFonts w:ascii="Arial" w:eastAsia="Times New Roman" w:hAnsi="Arial" w:cs="Arial"/>
                <w:noProof w:val="0"/>
                <w:sz w:val="20"/>
                <w:szCs w:val="20"/>
                <w:lang w:eastAsia="sr-Latn-RS"/>
              </w:rPr>
            </w:pPr>
            <w:r w:rsidRPr="00A4354E">
              <w:rPr>
                <w:rFonts w:ascii="Arial" w:eastAsia="Times New Roman" w:hAnsi="Arial" w:cs="Arial"/>
                <w:b/>
                <w:bCs/>
                <w:noProof w:val="0"/>
                <w:sz w:val="20"/>
                <w:szCs w:val="20"/>
                <w:lang w:eastAsia="sr-Latn-RS"/>
              </w:rPr>
              <w:t>7.1. СЕКТОР РУРАЛНОГ ТУРИЗМА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contextualSpacing w:val="0"/>
              <w:rPr>
                <w:rFonts w:ascii="Arial" w:eastAsia="Times New Roman" w:hAnsi="Arial" w:cs="Arial"/>
                <w:noProof w:val="0"/>
                <w:sz w:val="20"/>
                <w:szCs w:val="20"/>
                <w:lang w:eastAsia="sr-Latn-RS"/>
              </w:rPr>
            </w:pPr>
            <w:r w:rsidRPr="00A4354E">
              <w:rPr>
                <w:rFonts w:ascii="Arial" w:eastAsia="Times New Roman" w:hAnsi="Arial" w:cs="Arial"/>
                <w:b/>
                <w:bCs/>
                <w:noProof w:val="0"/>
                <w:sz w:val="20"/>
                <w:szCs w:val="20"/>
                <w:lang w:eastAsia="sr-Latn-RS"/>
              </w:rPr>
              <w:t>7.1.1. Изградња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7.1.1.1. Категорисани објекат за пружање туристичких, односно угоститељских услуга;*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7.1.1.2. Пратећи објекат за пружање угоститељских, односно туристичких услуга;*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7.1.1.2.1. Туристичка инфраструктура: објекти/простор за предах, рекреацију, едукацију и забаву туриста, тематски и забавни парк, одмориштe поред путa, терен за тенис, отворени и затворени објекaт спортске рекреације, дечје игралиште, малa вештачкa акумулацијa са купалиштем, забавно рекреативнa стазa и пут, објекaт за посматрање природних реткости, објекaт за предах и краће задржавање туриста, објекaт за авантуристичке активности;</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7.1.1.2.2. Базен за купање, велнес објекaт;</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7.1.1.2.3. Складишна и продајна просторија у оквиру газдинства за храну, пиће и домаћу радиност;</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7.1.1.2.4. Објекат/простор за дегустацију хране и пића;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7.1.1.2.5. Пејзажно уређење у оквиру туристичког пројекта;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7.1.1.2.6. Простор за држање опреме за рекреацију;</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7.1.1.2.7. Објекат за смештај животиња и мањеж у сврху туризма;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7.1.1.2.8. Инфраструктура за приступ објекту особама са инвалидитетом (санитарни објекти, асфалтирање прилаза објекту, уклањање ивичњака, постављање металне конструкције и/или рампе и/или гелендера);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7.1.1.2.9. Паркинг као део туристичког пројекта;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7.1.1.2.10. Остали објекти који су повезани са пројектном инвестицијом (објекти за одлагање/држање пловила, механизације и опреме у сврху обављања туристичке/угоститељске делатности).</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contextualSpacing w:val="0"/>
              <w:rPr>
                <w:rFonts w:ascii="Arial" w:eastAsia="Times New Roman" w:hAnsi="Arial" w:cs="Arial"/>
                <w:noProof w:val="0"/>
                <w:sz w:val="20"/>
                <w:szCs w:val="20"/>
                <w:lang w:eastAsia="sr-Latn-RS"/>
              </w:rPr>
            </w:pPr>
            <w:r w:rsidRPr="00A4354E">
              <w:rPr>
                <w:rFonts w:ascii="Arial" w:eastAsia="Times New Roman" w:hAnsi="Arial" w:cs="Arial"/>
                <w:b/>
                <w:bCs/>
                <w:noProof w:val="0"/>
                <w:sz w:val="20"/>
                <w:szCs w:val="20"/>
                <w:lang w:eastAsia="sr-Latn-RS"/>
              </w:rPr>
              <w:t>7.1.2. Машине, механизација и опрема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7.1.2.1. Опрема за категорисане и пратеће објекте/просторије за пружање угоститељских, односно туристичких услуга (намештај, телевизијска опрема, сателитски пријемници, радио, аудио-опремa, машине и опрема за прање, сушење, пеглање), осим ситног угоститељског инвентара;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7.1.2.2. Машине, механизација и опрема за одржавање простора око туристичко-угоститељског објекта, за туристичко-угоститељске сврхе (изузимајући тракторе);</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7.1.2.3. Опрема за туристичку инфраструктуру;</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7.1.2.4. Опрема за складишне и продајне објекте/просторе за храну, пиће и домаћу радиност;</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7.1.2.5. Чамац и плутајући објекат/грађевина за спорт и разоноду, на весла и/или мотор снаге до 5 kW, као и опрема за њихов транспорт;</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7.1.2.6. Опрема за уређење подручја за камповање (светлосна сигнализација, осветљење, рампе);</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7.1.2.7. Опрема за пејзажно уређење у оквиру туристичког пројекта (укључујући опрему за игралишта и терене);</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7.1.2.8. Бицикл са опремом и бициклистичка сигурносна опрема;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7.1.2.9. Рачунар (персонални рачунар или лаптоп) и рачунарска опрема;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7.1.2.10. Софтвер у сврху туристичког пројекта и израда веб-сајта;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7.1.2.11. Опрема за водоснабдевање и снабдевање електричном енергијом, укључујући електрични генератор, грејање, вентилацију, канализацију и климатизацију;</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7.1.2.12. Опрема која омогућава приступ отвореним и затвореним просторима/површинама;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7.1.2.13. Опрема за санитарне објекте.</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contextualSpacing w:val="0"/>
              <w:rPr>
                <w:rFonts w:ascii="Arial" w:eastAsia="Times New Roman" w:hAnsi="Arial" w:cs="Arial"/>
                <w:noProof w:val="0"/>
                <w:sz w:val="20"/>
                <w:szCs w:val="20"/>
                <w:lang w:eastAsia="sr-Latn-RS"/>
              </w:rPr>
            </w:pPr>
            <w:r w:rsidRPr="00A4354E">
              <w:rPr>
                <w:rFonts w:ascii="Arial" w:eastAsia="Times New Roman" w:hAnsi="Arial" w:cs="Arial"/>
                <w:b/>
                <w:bCs/>
                <w:noProof w:val="0"/>
                <w:sz w:val="20"/>
                <w:szCs w:val="20"/>
                <w:lang w:eastAsia="sr-Latn-RS"/>
              </w:rPr>
              <w:t>7.1.3. Производња енергије из обновљивих извора енергије у циљу обављања регистроване угоститељске, односно туристичке делатности</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7.1.3.1. Изградња постројења за производњу енергије из обновљивих извора, укључујући прикључак између постројења и дистрибутивне мреже/од постројења до објекта, као и елементе система даљинског грејања, и то нарочито за следеће врсте постројења:</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Постројење за соларну енергију</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Постројење за енергију ветра</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Постројење на биомасу</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Постројење на биогас (биогас настао у сопственим постројењима – дигесторима, анаеробним поступцима из биомасе и споредних производа животињског порекла који се користе у складу са прописима из области ветеринарства, добијених производњом на пољопривредном газдинству)</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Постројење за геотермалну енергију</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Системи даљинског грејања;</w:t>
            </w:r>
          </w:p>
        </w:tc>
      </w:tr>
      <w:tr w:rsidR="00A4354E" w:rsidRPr="00A4354E" w:rsidTr="00A4354E">
        <w:tc>
          <w:tcPr>
            <w:tcW w:w="5000" w:type="pct"/>
            <w:tcBorders>
              <w:top w:val="nil"/>
              <w:left w:val="nil"/>
              <w:bottom w:val="nil"/>
              <w:right w:val="nil"/>
            </w:tcBorders>
            <w:tcMar>
              <w:top w:w="45" w:type="dxa"/>
              <w:left w:w="45" w:type="dxa"/>
              <w:bottom w:w="45" w:type="dxa"/>
              <w:right w:w="45" w:type="dxa"/>
            </w:tcMar>
            <w:vAlign w:val="center"/>
            <w:hideMark/>
          </w:tcPr>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7.1.3.2. Опрема за постројење за производњу енергије из обновљивих извора, и то:</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Постројење за соларну енергију</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Постројење за енергију ветра</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Постројење на биомасу</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Постројење на биогас (биогас настао у сопственим постројењима – дигесторима, анаеробним поступцима из биомасе и споредних производа животињског порекла који се користе у складу са прописима из области ветеринарства, добијених производњом на пољопривредном газдинству)</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Постројење за геотермалну енергију</w:t>
            </w:r>
          </w:p>
          <w:p w:rsidR="00A4354E" w:rsidRPr="00A4354E" w:rsidRDefault="00A4354E" w:rsidP="00A4354E">
            <w:pPr>
              <w:spacing w:after="150"/>
              <w:contextualSpacing w:val="0"/>
              <w:rPr>
                <w:rFonts w:ascii="Arial" w:eastAsia="Times New Roman" w:hAnsi="Arial" w:cs="Arial"/>
                <w:noProof w:val="0"/>
                <w:sz w:val="20"/>
                <w:szCs w:val="20"/>
                <w:lang w:eastAsia="sr-Latn-RS"/>
              </w:rPr>
            </w:pPr>
            <w:r w:rsidRPr="00A4354E">
              <w:rPr>
                <w:rFonts w:ascii="Arial" w:eastAsia="Times New Roman" w:hAnsi="Arial" w:cs="Arial"/>
                <w:noProof w:val="0"/>
                <w:sz w:val="20"/>
                <w:szCs w:val="20"/>
                <w:lang w:eastAsia="sr-Latn-RS"/>
              </w:rPr>
              <w:t>– Топлотне пумпе.</w:t>
            </w:r>
          </w:p>
        </w:tc>
      </w:tr>
    </w:tbl>
    <w:p w:rsidR="00A4354E" w:rsidRPr="00A4354E" w:rsidRDefault="00A4354E" w:rsidP="00A4354E">
      <w:pPr>
        <w:spacing w:after="150"/>
        <w:ind w:firstLine="480"/>
        <w:contextualSpacing w:val="0"/>
        <w:rPr>
          <w:rFonts w:ascii="Arial" w:eastAsia="Times New Roman" w:hAnsi="Arial" w:cs="Arial"/>
          <w:noProof w:val="0"/>
          <w:color w:val="000000"/>
          <w:lang w:eastAsia="sr-Latn-RS"/>
        </w:rPr>
      </w:pPr>
      <w:r w:rsidRPr="00A4354E">
        <w:rPr>
          <w:rFonts w:ascii="Arial" w:eastAsia="Times New Roman" w:hAnsi="Arial" w:cs="Arial"/>
          <w:noProof w:val="0"/>
          <w:color w:val="000000"/>
          <w:lang w:eastAsia="sr-Latn-RS"/>
        </w:rPr>
        <w:t>(*) Укупан капацитет категорисаног угоститељског објекта не прелази 30 индивидуалних лежајева по кориснику, при чему укупан број индивидуалних лежајева у свим категорисаним угоститељским објектима које има корисник на територији Републике Србије, није већи од 30. Кревети величине за две особе рачунају се као два индивидуална лежаја, у складу са законом којим се уређује туризам и угоститељство.</w:t>
      </w:r>
    </w:p>
    <w:p w:rsidR="00A4354E" w:rsidRPr="00A4354E" w:rsidRDefault="00A4354E" w:rsidP="00A4354E">
      <w:pPr>
        <w:spacing w:after="150" w:line="276" w:lineRule="auto"/>
        <w:contextualSpacing w:val="0"/>
        <w:jc w:val="right"/>
        <w:rPr>
          <w:rFonts w:ascii="Arial" w:hAnsi="Arial" w:cs="Arial"/>
          <w:noProof w:val="0"/>
          <w:color w:val="000000"/>
          <w:sz w:val="22"/>
          <w:szCs w:val="22"/>
          <w:lang w:val="en-US"/>
        </w:rPr>
      </w:pPr>
    </w:p>
    <w:p w:rsidR="00A4354E" w:rsidRPr="00A4354E" w:rsidRDefault="00A4354E" w:rsidP="00A4354E">
      <w:pPr>
        <w:spacing w:after="150" w:line="276" w:lineRule="auto"/>
        <w:contextualSpacing w:val="0"/>
        <w:jc w:val="right"/>
        <w:rPr>
          <w:rFonts w:ascii="Arial" w:hAnsi="Arial" w:cs="Arial"/>
          <w:noProof w:val="0"/>
          <w:color w:val="000000"/>
          <w:sz w:val="22"/>
          <w:szCs w:val="22"/>
          <w:lang w:val="en-US"/>
        </w:rPr>
      </w:pPr>
    </w:p>
    <w:p w:rsidR="00A4354E" w:rsidRPr="00A4354E" w:rsidRDefault="00A4354E" w:rsidP="00A4354E">
      <w:pPr>
        <w:spacing w:after="150" w:line="276" w:lineRule="auto"/>
        <w:contextualSpacing w:val="0"/>
        <w:jc w:val="right"/>
        <w:rPr>
          <w:rFonts w:ascii="Arial" w:hAnsi="Arial" w:cs="Arial"/>
          <w:noProof w:val="0"/>
          <w:sz w:val="22"/>
          <w:szCs w:val="22"/>
          <w:lang w:val="en-US"/>
        </w:rPr>
      </w:pPr>
      <w:r w:rsidRPr="00A4354E">
        <w:rPr>
          <w:rFonts w:ascii="Arial" w:hAnsi="Arial" w:cs="Arial"/>
          <w:noProof w:val="0"/>
          <w:color w:val="000000"/>
          <w:sz w:val="22"/>
          <w:szCs w:val="22"/>
          <w:lang w:val="en-US"/>
        </w:rPr>
        <w:t>ПРИЛОГ 2.</w:t>
      </w:r>
    </w:p>
    <w:p w:rsidR="00A4354E" w:rsidRPr="00A4354E" w:rsidRDefault="00A4354E" w:rsidP="00A4354E">
      <w:pPr>
        <w:spacing w:after="120" w:line="276" w:lineRule="auto"/>
        <w:contextualSpacing w:val="0"/>
        <w:jc w:val="center"/>
        <w:rPr>
          <w:rFonts w:ascii="Arial" w:hAnsi="Arial" w:cs="Arial"/>
          <w:noProof w:val="0"/>
          <w:sz w:val="22"/>
          <w:szCs w:val="22"/>
          <w:lang w:val="en-US"/>
        </w:rPr>
      </w:pPr>
      <w:r w:rsidRPr="00A4354E">
        <w:rPr>
          <w:rFonts w:ascii="Arial" w:hAnsi="Arial" w:cs="Arial"/>
          <w:noProof w:val="0"/>
          <w:color w:val="000000"/>
          <w:sz w:val="22"/>
          <w:szCs w:val="22"/>
          <w:lang w:val="en-US"/>
        </w:rPr>
        <w:t>ЛИСТА НАСЕЉЕНИХ МЕСТА ИЗВАН РУРАЛНИХ ПОДРУЧЈА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19"/>
        <w:gridCol w:w="1651"/>
        <w:gridCol w:w="1699"/>
        <w:gridCol w:w="1811"/>
        <w:gridCol w:w="1699"/>
        <w:gridCol w:w="2982"/>
      </w:tblGrid>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Ред. бр.</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Матични број општине</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Назив општине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Матични број насеља</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Назив насеља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Густина насељености (преко 150 становника/km²)</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70092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Београд-Барајево</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703494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Барајево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158,10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70092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Београд-Барајево</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703559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Вранић</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159,23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70092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Београд-Барајево</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703567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Гунцати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234,12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70092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Београд-Барајево</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703591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Мељак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334,05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70106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Београд-Вождовац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703621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Бели Поток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233,25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70106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Београд-Вождовац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703630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Зуце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167,38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70106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Београд-Вождовац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703648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Пиносава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344,78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70106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Београд-Вождовац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791016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(Вождовац)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4289,58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70114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Београд-Врачар</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791024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(Врачар)</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19631,45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703672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Болеч</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515,32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703702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Винча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371,16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703729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Врчин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184,72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703737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Гроцка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244,67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703770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Калуђерица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2881,20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703796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Лештане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1121,56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70149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Београд-Звездара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791032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(Звездара)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4879,34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70157</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Београд-Земун</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703915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Угриновци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214,73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70157</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Београд-Земун</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791059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(Земун)</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1582,79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70165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Београд-Лазаревац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703982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Велики Црљени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248,25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70165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Београд-Лазаревац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704091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Лазаревац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1455,18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70165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Београд-Лазаревац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704156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Петка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188,13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70165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Београд-Лазаревац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704288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Шопић</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177,24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70173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Београд-Младеновац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704377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Границе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249,80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70173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Београд-Младеновац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704440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Међулужје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198,81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70173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Београд-Младеновац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704458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Младеновац (варош)</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2077,93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70173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Београд-Младеновац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704466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Младеновац (село)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283,02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70173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Београд-Младеновац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704504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Рајковац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219,84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70181</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 Нови Београд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791067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(Нови Београд)</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5270,50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704563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Барич</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471,03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704571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Бело Поље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305,02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704652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Забрежје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190,23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704679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Звечка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355,69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704725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Мала Моштаница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168,57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704733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Мислођин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175,33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704741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Обреновац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2684,94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704792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Рвати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1757,13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704814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Стублине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153,13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704849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Уровци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153,47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70203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704865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Борча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814,10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70203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704920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Сланци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166,57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70203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791075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(Палилула)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1572,89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70211</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Београд-Раковица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791083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(Раковица)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3615,10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70220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 Савски венац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791091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(Савски венац)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2781,40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70238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Београд-Сопот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705055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Раља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209,62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70238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Београд-Сопот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705101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Сопот</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1565,83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70246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 Стари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791105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(Стари град)</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8946,19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70254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Београд-Чукарица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705136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Остружница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329,69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70254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Београд-Чукарица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705179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Рушањ</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277,67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70254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Београд-Чукарица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705187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Сремчица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927,88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70254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Београд-Чукарица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705195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Умка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507,66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70254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Београд-Чукарица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791113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 (Чукарица)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2261,36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71293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Београд-Сурчин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703834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Бечмен</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188,22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71293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Београд-Сурчин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703869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Добановци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152,71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71293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Београд-Сурчин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703877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Јаково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201,27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71293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Београд-Сурчин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703907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Сурчин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297,41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802751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Будисава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247,23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802778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Ветерник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900,40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802786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Каћ</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156,80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802794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Кисач</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171,57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802824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Сад</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3023,80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802859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Руменка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229,94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802883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Футог</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223,87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80519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Петроварадин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802760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Буковац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282,59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80519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Петроварадин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802816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Лединци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242,15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80519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Петроварадин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802832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Петроварадин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571,58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80519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Петроварадин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802867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Сремска Каменица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402,52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71285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Нишка Бања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729191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Јелашница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157,83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71285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Нишка Бања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729353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Никола Тесла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1753,03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71285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Нишка Бања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729370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Нишка Бања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906,74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71285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Нишка Бања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729477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Прва Кутина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150,93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71285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Нишка Бања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729485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Просек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180,30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71307</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Ниш-Пантелеј</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729027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Горња Врежина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157,64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71307</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Ниш-Пантелеј</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729094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Доња Врежина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1732,04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71307</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Ниш-Пантелеј</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729205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Каменица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193,03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71307</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Ниш-Пантелеј</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792012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(Пантелеј)</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6481,95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729043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Горња Топоница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190,06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729078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Горњи Комрен</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158,77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729167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Доњи Комрен</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255,66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729329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Медошевац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519,36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729469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Поповац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408,53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729574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Трупале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170,21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729582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Хум</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155,59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729612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Чамурлија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153,71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792039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(Црвени крст)</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1714,10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728004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Мрамор</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614,02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728942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Бубањ</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284,97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729019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Габровац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156,95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729060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Горње Међурово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239,60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729159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Доње Међурово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195,24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729264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Лалинац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154,90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729388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Девети мај</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968,32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729434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Паси Пољана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503,26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729558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Суви До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293,38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729639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Чокот</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380,41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792055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(Палилула)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2464,65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71331</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Ниш-Медијана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728934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Брзи Брод</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1793,82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71331</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Ниш-Медијана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792047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Ниш (Медијана)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10065,36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70645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Крагујевац-град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718980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Крагујевац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1820,95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70645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Крагујевац-град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718823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Драгобраћа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163,71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80438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Суботица-град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804592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Палић</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189,58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80438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Суботица-град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804614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Суботица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596,92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6.</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80152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Зрењанин-град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801534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Ечка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152,20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80152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Зрењанин-град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801542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Зрењанин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396,36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80314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Панчево-град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803138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Панчево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472,22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80314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Панчево-град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803111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Качарево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178,81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Чачак-град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745715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Коњевићи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187,26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Чачак-град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745731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Кулиновци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223,50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Чачак-град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745855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Овчар Бања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346,39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Чачак-град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745880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Парменац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256,82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Чачак-град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746045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Трбушани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256,62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Чачак-град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746053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Трнава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189,10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Чачак-град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746061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Чачак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1994,27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Чачак-град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746754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Бељина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551,44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9.</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720585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Бегово Брдо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416,51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720747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Велико Головоде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197,52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720844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Горњи Степош</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200,78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720992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Јасика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211,21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721034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Капиџија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327,38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721085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Кошеви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162,48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721107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5202,98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720895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Дедина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342,03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721131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Лазарица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260,28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721140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Липовац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208,71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721263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Мало Головоде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3312,99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721310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Мудраковац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784,60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721344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Пакашница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752,34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721352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Паруновац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247,79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721387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Пепељевац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216,79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721433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Рибарска Бања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179,69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Крушевац-град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721611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Читлук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596,54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10.</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719307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Адрани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181,74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719528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Грдица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355,93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719617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Заклопача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182,62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719650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Јарчујак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209,34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719684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Кованлук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706,03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719692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Ковачи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529,62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719706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Конарево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332,13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719714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2626,35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719811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Матарушка Бања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1357,05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720062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Ратина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227,99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720291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Чибуковац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311,81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746649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Жича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154,50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11.</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730017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Бања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163,42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730092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Варево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225,77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730360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Иванча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458,59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730564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Мур</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552,10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730602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4338,08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730653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Осоје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394,29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730688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Паралово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401,32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730718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Побрђе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1117,47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730777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Постење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208,92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730840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Рајчиновиће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167,11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Нови Пазар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731013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Хотково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227,70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12.</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708402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Ваљево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2147,39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708305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Белошевац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167,49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708470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Горић</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607,44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708496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Горња Грабовица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163,47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708887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Петница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196,07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708895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Попучке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177,12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Ваљево-град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708984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Седлари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199,13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13.</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711241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Бресница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162,68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711306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Врање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1889,90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711420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Давидовац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173,13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711497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Доњи Нерадовац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207,15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711578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Златокоп</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257,01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711977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Ранутовац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157,52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711993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Рибнице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221,30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712183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Суви Дол</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234,65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14.</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70556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Зајечар-град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715689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Зајечар</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752,05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723614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Бадинце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184,83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723657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Бели Поток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191,33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723673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Бобиште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609,03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723681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Богојевце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179,43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723738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Брестовац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221,31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723711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Братмиловце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1022,74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723789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Бунушки Чифлук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197,91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723878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Винарце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179,99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723991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Горње Крајинце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163,70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724009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Горње Синковце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171,09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724017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Горње Стопање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307,18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724033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Горњи Буниброд</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150,77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724084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Грделица (варош)</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1930,62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724092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Грделица (село)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206,05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724157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Доња Јајина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233,42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724181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Доња Слатина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151,95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724203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Доње Крајинце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164,03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724211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Доње Синковце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600,42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724220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Доње Стопање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154,40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724335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Жижавица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182,81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724378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Злоћудово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176,66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724521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Кумарево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262,57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724548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2379,52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724556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Липовица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153,61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724572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Мала Биљаница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153,30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724629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Манојловце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180,31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724688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Мрштане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225,14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724696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Навалин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162,73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724734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Номаница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274,29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Лесковац-град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724866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Предејане (варош)</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1740,44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725196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Бања Ковиљача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389,49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725200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Башчелуци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351,70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725269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Воћњак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208,91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725382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Драгинац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1159,77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725480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Клупци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995,91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725510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Крајишници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535,51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725528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Лешница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150,65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725544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Липнички Шор</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167,44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725552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2033,63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725579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Лозничко Поље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472,05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725617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Плоча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600,01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725641</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Руњани</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169,54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Лозница-град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725676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Стража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163,07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70939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Пирот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732109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Бериловац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187,45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70939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Пирот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732222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Гњилан</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210,67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70939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Пирот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732575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Пирот</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1313,38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70939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Пирот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732605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Пољска Ржана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170,34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18. </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70947</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Пожаревац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733083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Пожаревац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691,19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70998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Прокупље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735728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Доња Стражава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249,49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70998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Прокупље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736074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Ново Село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209,72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70998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Прокупље</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736210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Прокупље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1298,86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Јагодина-град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737950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Винорача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150,44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Јагодина-град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737968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Вољавче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347,41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Јагодина-град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738174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Кончарево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163,52</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Јагодина-град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738247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Мајур</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217,07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Јагодина-град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738328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Ракитово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523,18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Јагодина-град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738336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Рибаре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295,23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Јагодина-град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738352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Јагодина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2078,05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Јагодина-град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738417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Стрижило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222,34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Јагодина-град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738433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Трнава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671,17</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21.</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Смедерево-град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740292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Враново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165,70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Смедерево-град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740314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Вучак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215,38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Смедерево-град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740446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Петријево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222,90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Смедерево-град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740454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Радинац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350,73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Смедерево-град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740462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Раља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182,41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Смедерево-град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740527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Смедерево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1552,39</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Смедерево-град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740543</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Удовице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164,21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22.</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71145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Ужице-град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741850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Севојно</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362,56</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71145</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Ужице-град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741892</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Ужице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2531,63</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23.</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Шабац-град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746240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Јевремовац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353,80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Шабац-град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746258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Јеленча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367,60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Шабац-град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746304</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Мајур</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346,80</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Шабац-град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746380</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Мишар</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205,55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Шабац-град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746479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Поцерски Причиновић</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733,55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Шабац-град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746606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Шабац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1745,54</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24.</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80128</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Вршац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801089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Вршац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233,25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25.</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80209</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Кикинда</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802158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Кикинда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200,91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26.</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80381</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Сомбор-град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803979</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Сомбор</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164,65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27.</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80403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Сремска Митровица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804177</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Лаћарак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195,15</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80403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Сремска Митровица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804215</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Мачванска Митровица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1258,48</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80403</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Сремска Митровица -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804266</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Сремска Митровица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760,91</w:t>
            </w:r>
          </w:p>
        </w:tc>
      </w:tr>
      <w:tr w:rsidR="00A4354E" w:rsidRPr="00A4354E" w:rsidTr="00B97738">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28.</w:t>
            </w:r>
          </w:p>
        </w:tc>
        <w:tc>
          <w:tcPr>
            <w:tcW w:w="250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70327</w:t>
            </w:r>
          </w:p>
        </w:tc>
        <w:tc>
          <w:tcPr>
            <w:tcW w:w="1379"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Бор</w:t>
            </w:r>
          </w:p>
        </w:tc>
        <w:tc>
          <w:tcPr>
            <w:tcW w:w="295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706418</w:t>
            </w:r>
          </w:p>
        </w:tc>
        <w:tc>
          <w:tcPr>
            <w:tcW w:w="1245"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Бор</w:t>
            </w:r>
          </w:p>
        </w:tc>
        <w:tc>
          <w:tcPr>
            <w:tcW w:w="4712" w:type="dxa"/>
            <w:tcBorders>
              <w:top w:val="single" w:sz="8" w:space="0" w:color="000000"/>
              <w:left w:val="single" w:sz="8" w:space="0" w:color="000000"/>
              <w:bottom w:val="single" w:sz="8" w:space="0" w:color="000000"/>
              <w:right w:val="single" w:sz="8" w:space="0" w:color="000000"/>
            </w:tcBorders>
            <w:vAlign w:val="center"/>
          </w:tcPr>
          <w:p w:rsidR="00A4354E" w:rsidRPr="00A4354E" w:rsidRDefault="00A4354E" w:rsidP="00B97738">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717,33</w:t>
            </w:r>
          </w:p>
        </w:tc>
      </w:tr>
    </w:tbl>
    <w:p w:rsidR="00A4354E" w:rsidRPr="00A4354E" w:rsidRDefault="00A4354E" w:rsidP="00A4354E">
      <w:pPr>
        <w:spacing w:after="150" w:line="276" w:lineRule="auto"/>
        <w:contextualSpacing w:val="0"/>
        <w:jc w:val="right"/>
        <w:rPr>
          <w:rFonts w:ascii="Arial" w:hAnsi="Arial" w:cs="Arial"/>
          <w:noProof w:val="0"/>
          <w:sz w:val="22"/>
          <w:szCs w:val="22"/>
          <w:lang w:val="en-US"/>
        </w:rPr>
      </w:pPr>
      <w:r w:rsidRPr="00A4354E">
        <w:rPr>
          <w:rFonts w:ascii="Arial" w:hAnsi="Arial" w:cs="Arial"/>
          <w:noProof w:val="0"/>
          <w:color w:val="000000"/>
          <w:sz w:val="22"/>
          <w:szCs w:val="22"/>
          <w:lang w:val="en-US"/>
        </w:rPr>
        <w:t>ПРИЛОГ 3.</w:t>
      </w:r>
    </w:p>
    <w:p w:rsidR="00A4354E" w:rsidRPr="00A4354E" w:rsidRDefault="00A4354E" w:rsidP="00A4354E">
      <w:pPr>
        <w:spacing w:after="120" w:line="276" w:lineRule="auto"/>
        <w:contextualSpacing w:val="0"/>
        <w:jc w:val="center"/>
        <w:rPr>
          <w:rFonts w:ascii="Arial" w:hAnsi="Arial" w:cs="Arial"/>
          <w:noProof w:val="0"/>
          <w:sz w:val="22"/>
          <w:szCs w:val="22"/>
          <w:lang w:val="en-US"/>
        </w:rPr>
      </w:pPr>
      <w:r w:rsidRPr="00A4354E">
        <w:rPr>
          <w:rFonts w:ascii="Arial" w:hAnsi="Arial" w:cs="Arial"/>
          <w:noProof w:val="0"/>
          <w:color w:val="000000"/>
          <w:sz w:val="22"/>
          <w:szCs w:val="22"/>
          <w:lang w:val="en-US"/>
        </w:rPr>
        <w:t>ЛИСТА ПРИХВАТЉИВИХ ЗЕМАЉА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ДРЖАВЕ: Република Аустрија, Краљевина Белгија, Република Бугарска, Чешка Република, Република Хрватска, Република Кипар, Краљевина Данска, Република Естонија, Република Финска, Република Француска, Савезна Република Немачка, Република Грчка, Мађарска, Ирска, Република Италија, Република Летонија, Република Литванија, Велико Војводство Луксембург, Република Малта, Краљевина Холандија, Република Пољска, Република Португал, Румунија, Република Словачка, Република Словенија, Краљевина Шпанија, Краљевина Шведска, Уједињено Краљевство, Република Албанија, Босна и Херцеговина, Црна Гора, Република Србија, Република Турска, Република Северна Македонија, Република Исланд, Кнежевина Линхтенштајн, Краљевина Норвешка, Народна Демократска Република Алжир, Република Јерменија, Република Азербејџан, Република Белорусија, Арапска Република Египат, Грузија, Држава Израел, Хашемитска Краљевина Јордан, Република Либан, Држава Либија, Република Молдавија, Краљевина Мароко, Сиријска Арапска Република, Република Тунис, Украјина и Држава Палестина.</w:t>
      </w:r>
    </w:p>
    <w:p w:rsidR="00A4354E" w:rsidRPr="00A4354E" w:rsidRDefault="00A4354E" w:rsidP="00A4354E">
      <w:pPr>
        <w:spacing w:after="150" w:line="276" w:lineRule="auto"/>
        <w:contextualSpacing w:val="0"/>
        <w:jc w:val="right"/>
        <w:rPr>
          <w:rFonts w:ascii="Arial" w:hAnsi="Arial" w:cs="Arial"/>
          <w:noProof w:val="0"/>
          <w:sz w:val="22"/>
          <w:szCs w:val="22"/>
          <w:lang w:val="en-US"/>
        </w:rPr>
      </w:pPr>
      <w:r w:rsidRPr="00A4354E">
        <w:rPr>
          <w:rFonts w:ascii="Arial" w:hAnsi="Arial" w:cs="Arial"/>
          <w:noProof w:val="0"/>
          <w:color w:val="000000"/>
          <w:sz w:val="22"/>
          <w:szCs w:val="22"/>
          <w:lang w:val="en-US"/>
        </w:rPr>
        <w:t>ПРИЛОГ 4.</w:t>
      </w:r>
    </w:p>
    <w:p w:rsidR="00A4354E" w:rsidRPr="00A4354E" w:rsidRDefault="00A4354E" w:rsidP="00A4354E">
      <w:pPr>
        <w:spacing w:after="120" w:line="276" w:lineRule="auto"/>
        <w:contextualSpacing w:val="0"/>
        <w:jc w:val="center"/>
        <w:rPr>
          <w:rFonts w:ascii="Arial" w:hAnsi="Arial" w:cs="Arial"/>
          <w:noProof w:val="0"/>
          <w:sz w:val="22"/>
          <w:szCs w:val="22"/>
          <w:lang w:val="en-US"/>
        </w:rPr>
      </w:pPr>
      <w:r w:rsidRPr="00A4354E">
        <w:rPr>
          <w:rFonts w:ascii="Arial" w:hAnsi="Arial" w:cs="Arial"/>
          <w:noProof w:val="0"/>
          <w:color w:val="000000"/>
          <w:sz w:val="22"/>
          <w:szCs w:val="22"/>
          <w:lang w:val="en-US"/>
        </w:rPr>
        <w:t>ЈЕДНОСТАВАН ПОСЛОВНИ ПЛАН</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А. ОПШТЕ СМЕРНИЦЕ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Овај образац, заједно са excel табелом, чини једноставан пословни план (у даљем тексту: пословни план), који мора бити попуњен у складу са изнетим упутствима, и предат Управи за аграрна плаћања. На основу ових докумената вршиће се процена економске одрживости подносиоца захтева и економске одрживости самог пројекта који је предмет захтева за финансијску помоћ из ИПАРД програма.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xml:space="preserve">Пословни план треба да се достави у једном оригиналном примерку (неопходно је да се попуне оба формулара у складу са приложеним упутствима и да се нумерише свака страница пословног плана). Електронска верзија се користи за попуњавање excel табела (објављене на веб сајту Управе за аграрна плаћања, </w:t>
      </w:r>
      <w:r w:rsidRPr="00A4354E">
        <w:rPr>
          <w:rFonts w:ascii="Arial" w:hAnsi="Arial" w:cs="Arial"/>
          <w:b/>
          <w:noProof w:val="0"/>
          <w:color w:val="000000"/>
          <w:sz w:val="22"/>
          <w:szCs w:val="22"/>
          <w:lang w:val="en-US"/>
        </w:rPr>
        <w:t>http://www.uap.gov.rs</w:t>
      </w:r>
      <w:r w:rsidRPr="00A4354E">
        <w:rPr>
          <w:rFonts w:ascii="Arial" w:hAnsi="Arial" w:cs="Arial"/>
          <w:noProof w:val="0"/>
          <w:color w:val="000000"/>
          <w:sz w:val="22"/>
          <w:szCs w:val="22"/>
          <w:lang w:val="en-US"/>
        </w:rPr>
        <w:t>). Попуњене excel табеле такође морају да се доставе и на CD-у (у случају неслагања између штампаног документа и документа на CD-у, штампани образац ће бити релевантан).</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Свака страница пословног плана треба да буде нумерисана од стране подносиоца захтева. Додатни редови могу се уметнути у табеле које се налазе у обрасцу УАП02-01.15.02 у складу са сврхом пословног плана. Ако подносилац захтева не може да достави одређене податке у описном делу захтеваних табела Пословног плана, он/она треба да обележи релевантно поље са,,/" и да пружи објашњење зашто нису достављени подаци.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1. РЕЗИМЕ ПОСЛОВНОГ ПЛАНА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Резиме пословног плана пружа сажети преглед кључних информација које се тичу основних пословних активности и планираних инвестиција (кратак опис производа/услуга, кључне информације о процесу производње, сумирани резултат истраживања тржишта и финансијских ефеката). Овај део треба да се састави тек пошто се изради целокупан пословни план и треба га унети као прво поглавље, зато што се у њему сумирају кључни резултати пословног плана.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 ОПШТИ ПОДАЦИ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2.1. Подаци о подносиоцу захтева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табелу,,2.1. Подаци о подносиоцу захтева"дату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2.2. Подаци о консултанту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табелу,,2.2.Подаци о консултанту"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2.3. Подаци о пројекту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табелу,,2.3.Подаци о пројекту"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2.3.1. Опис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Овај део пословног плана треба да одреди врсту одабране инвестиције и да опише услугу/е које подносилац намерава да произведе/пружи по добијању инвестиције. Нагласити да ли је циљ надоградња/проширење постојећег пружања услуга, покретање нове услуге или се пројекат не односи на постојеће операције.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Када се износи опис, имати на уму да све инвестиције под Мером 7: Диверзификација пољопривредних газдинстава и развој пословања, морају бити наведене у Листи прихватљивих трошкова и инвестиција (Прилог 1. овог правилника).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Описати сврху инвестиције и објаснити које циљеве она треба да подржи, нпр: обезбеђивање усаглашености са релевантним стандардима, нове тржишне могућности, итд.</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2.3.2. Процена потражње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Објаснити зашто се очекује да постоји потражња за одређеном услугом у релевантним услуга(ма) и приказати како је потражња процењена. Представити релевантне трендове потражње. У случају да су квантитативни подаци доступни, описати их и навести њихове изворе. Навести постојеће клијенте или, у случају нових операција, планиране клијенте.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2.3.3. Циљеви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Описати пројекат у складу са циљевима одабраним у обрасцу захтева за одобравање пројекта (у даљем тексту: Захтев).</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2.3.4. План реализације инвестиције (временски распоред)</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Описати главне активности и планирани временски распоред реализације инвестиције.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w:t>
      </w:r>
      <w:r w:rsidRPr="00A4354E">
        <w:rPr>
          <w:rFonts w:ascii="Arial" w:hAnsi="Arial" w:cs="Arial"/>
          <w:noProof w:val="0"/>
          <w:color w:val="000000"/>
          <w:sz w:val="22"/>
          <w:szCs w:val="22"/>
          <w:lang w:val="en-US"/>
        </w:rPr>
        <w:t xml:space="preserve"> Планирани датум почетка инвестиције;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w:t>
      </w:r>
      <w:r w:rsidRPr="00A4354E">
        <w:rPr>
          <w:rFonts w:ascii="Arial" w:hAnsi="Arial" w:cs="Arial"/>
          <w:noProof w:val="0"/>
          <w:color w:val="000000"/>
          <w:sz w:val="22"/>
          <w:szCs w:val="22"/>
          <w:lang w:val="en-US"/>
        </w:rPr>
        <w:t xml:space="preserve"> Планирани датум завршетка инвестиције;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w:t>
      </w:r>
      <w:r w:rsidRPr="00A4354E">
        <w:rPr>
          <w:rFonts w:ascii="Arial" w:hAnsi="Arial" w:cs="Arial"/>
          <w:noProof w:val="0"/>
          <w:color w:val="000000"/>
          <w:sz w:val="22"/>
          <w:szCs w:val="22"/>
          <w:lang w:val="en-US"/>
        </w:rPr>
        <w:t xml:space="preserve"> Трајање активности по месецима.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За описивање инвестиционог плана, користити податке из табеле,,2.3.Подаци о пројекту".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3. ПРОИЗВОДЊА/ПРУЖАЊЕ УСЛУГА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3.1. Опис</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Приложити кратак преглед пружања услуга. Назначити постојеће капацитете и објаснити потребу за инвестицијом у нови пројекат.</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табелу,,3.1. Подаци о земљишту и броју животиња" (унети податке само ако подносилац има земљиште или животиње),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3.2. Структура и обим производње/пружања услуга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Табела треба да представи постојећи обим пружања услуга за сваки производ, ако се инвестиција односи на постојеће пружање услуга, и планирани обим пружања услуга за сваку услугу у мерним јединицама за сваку годину периода имплементације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табелу,,3.3. Структура и обим производње/пружања услуга"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3.3. Структура и динамика материјалних и нематеријалних трошкова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табелу,,3.4. Структура и распоред материјалних и нематеријалних трошкова"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4. УСКЛАЂЕНОСТ СА СТАНДАРДИМА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 зависности од типа инвестиције укратко описати усклађеност са националним стандардима, релевантним прописима и да ли ће пројекат испунити стандарде Европске уније под Мером 7: Диверзификација пољопривредних газдинстава и развој пословања.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5. МЕСТО И ДИСТРИБУЦИЈА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5.1. Опис</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 овом делу описује се место где се одвија пословна активност, његова повезаност путевима и стање путева (локални, регионални, аутопут, некатегорисани пут), удаљеност од урбаних центара, удаљеност од продајних места/трговинских центара, доступност извора енергије, снабдевеност водом, итд. У случају планираних нових инвестиција, доставити кратак опис предности описаног места. Описати макро локацију (избор региона), микро локацију (прецизан назив релевантног града унутар региона) и списак потребних дозвола.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 ЕКОНОМСКА И ФИНАНСИЈСКА АНАЛИЗА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6.1. Приход</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6.1.1. План продаје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Описати постојећи квантитет продаје и износ планиране продаје за који се очекује да ће бити постигнут по имплементацији пројекта. Образложити квантитет достављањем детаља о постојећим и будућим капацитетитма. Цене услуга треба да буду назначене и објашњене у складу са ситуацијом на тржишту.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табелу,,6.1.1.План продаје"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6.1.2. Укупни приход</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Уколико постоје приходи од подстицаја, описати их и образложити основу која постоји у националном законодавству за такве подстицаје.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табелу,,6.1.2.Укупни приход"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6.2. Оперативни трошкови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6.2.1. Обрачун амортизације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табелу,,6.2.1. Обрачун амортизације"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6.2.2. Динамика запослених</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Назначити ко руководи свакодневним операцијама и доставити информације о његовом/њеном образовању, доставити дијаграм процеса рада (уколико има више од десет запослених на неодређено време), план запошљавања и квалификациону структуру релевантну за будућу инвестицију.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Укратко описати да ли породично пољопривредно газдинство планира да запосли члана породичног пољопривредног газдинства и/или друге запослене.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табелу,,6.2.2. Динамика запослених"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6.2.3. Пословни трошкови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табелу,,6.2.3.Пословнитрошкови" према упутствима,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6.3. Структура и распоред инвестиције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6.3.1. Инвестициони план</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табелу,,6.3.1.Инвестициони план"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6.3.2. Извори финансирања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табелу,,6.3.2.Извори финансирања"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6.3.3. Обрачун кредитних обавеза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Описати релевантнекредитне услове, као што су износ кредита, валуту кредита, каматне стопе, услове подизања средстава (распоред подизања и датум коначног подизања), распоред исплата (месечно, квартално, полугодишње, годишње), грејс период и накнаде за кредит. Износ ИПАРД средстава треба да буде укључен у ову табелу, ако ће се иста користити за смањивање кредитних обавеза, у години у којој се очекује прилив. Одвојено приказати обрачун кредитних обавеза предмета захтева за доделу средстава из ИПАРД програма, од постојећих кредита. Ако постоји распоред исплаћивања за планиране и постојеће зајмове, и њега треба доставити.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табелу,,6.3.3.Обрачун кредитних обавеза"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6.4. Пројекција Биланса успеха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табелу,,6.4.Пројекција Биланса успеха" према упутствима,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6.5. Новчани ток</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Извештај о токовима новца треба да представи ликвидност пројекта, што значи да кумулативни износ треба да буде позитиван од прве године до краја трајања пројекта, у супротном пројекат неће моћи да покрије сопствени дуг и стога неће бити прихватљив.</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табелу,,6.5. Новчани ток" према упутствима,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7. ЕКОНОМСКА ПРОЦЕНА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7.1. Статичка процена ефикасности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Статички приступ процењивању пројекта значи да се ефикасност пројекта анализира на основу коначне суме за репрезентативну годину. Оцена статичке ефикасности користи однос приход-расход. Информације за обрачун индикатора треба да се узимају из Биланса успеха.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табелу,,7.1. Статичка процена ефикасности", дату у excel формату.</w:t>
      </w:r>
    </w:p>
    <w:p w:rsidR="00A4354E" w:rsidRPr="00A4354E" w:rsidRDefault="00A4354E" w:rsidP="00A4354E">
      <w:pPr>
        <w:spacing w:after="200" w:line="276" w:lineRule="auto"/>
        <w:contextualSpacing w:val="0"/>
        <w:rPr>
          <w:rFonts w:ascii="Arial" w:hAnsi="Arial" w:cs="Arial"/>
          <w:noProof w:val="0"/>
          <w:sz w:val="22"/>
          <w:szCs w:val="22"/>
          <w:lang w:val="en-US"/>
        </w:rPr>
      </w:pPr>
      <w:bookmarkStart w:id="0" w:name="_idContainer004"/>
      <w:r w:rsidRPr="00A4354E">
        <w:rPr>
          <w:rFonts w:ascii="Arial" w:hAnsi="Arial" w:cs="Arial"/>
          <w:sz w:val="22"/>
          <w:szCs w:val="22"/>
          <w:lang w:eastAsia="sr-Latn-RS"/>
        </w:rPr>
        <w:pict>
          <v:shape id="_x0000_i1062" type="#_x0000_t75" style="width:451.5pt;height:579pt;visibility:visible;mso-wrap-style:square">
            <v:imagedata r:id="rId7" o:title=""/>
          </v:shape>
        </w:pict>
      </w:r>
    </w:p>
    <w:bookmarkEnd w:id="0"/>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2" o:spid="_x0000_i1063" type="#_x0000_t75" style="width:451.5pt;height:633.75pt;visibility:visible;mso-wrap-style:square">
            <v:imagedata r:id="rId8"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3" o:spid="_x0000_i1064" type="#_x0000_t75" style="width:451.5pt;height:633.75pt;visibility:visible;mso-wrap-style:square">
            <v:imagedata r:id="rId9"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4" o:spid="_x0000_i1065" type="#_x0000_t75" style="width:451.5pt;height:633.75pt;visibility:visible;mso-wrap-style:square">
            <v:imagedata r:id="rId10"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5" o:spid="_x0000_i1066" type="#_x0000_t75" style="width:451.5pt;height:633.75pt;visibility:visible;mso-wrap-style:square">
            <v:imagedata r:id="rId11"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6" o:spid="_x0000_i1067" type="#_x0000_t75" style="width:451.5pt;height:633.75pt;visibility:visible;mso-wrap-style:square">
            <v:imagedata r:id="rId12"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7" o:spid="_x0000_i1068" type="#_x0000_t75" style="width:451.5pt;height:633.75pt;visibility:visible;mso-wrap-style:square">
            <v:imagedata r:id="rId13"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8" o:spid="_x0000_i1069" type="#_x0000_t75" style="width:451.5pt;height:633.75pt;visibility:visible;mso-wrap-style:square">
            <v:imagedata r:id="rId14"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9" o:spid="_x0000_i1070" type="#_x0000_t75" style="width:451.5pt;height:633.75pt;visibility:visible;mso-wrap-style:square">
            <v:imagedata r:id="rId15" o:title=""/>
          </v:shape>
        </w:pict>
      </w:r>
    </w:p>
    <w:p w:rsidR="00A4354E" w:rsidRPr="00A4354E" w:rsidRDefault="00A4354E" w:rsidP="00A4354E">
      <w:pPr>
        <w:spacing w:after="150" w:line="276" w:lineRule="auto"/>
        <w:contextualSpacing w:val="0"/>
        <w:jc w:val="right"/>
        <w:rPr>
          <w:rFonts w:ascii="Arial" w:hAnsi="Arial" w:cs="Arial"/>
          <w:noProof w:val="0"/>
          <w:sz w:val="22"/>
          <w:szCs w:val="22"/>
          <w:lang w:val="en-US"/>
        </w:rPr>
      </w:pPr>
      <w:r w:rsidRPr="00A4354E">
        <w:rPr>
          <w:rFonts w:ascii="Arial" w:hAnsi="Arial" w:cs="Arial"/>
          <w:noProof w:val="0"/>
          <w:color w:val="000000"/>
          <w:sz w:val="22"/>
          <w:szCs w:val="22"/>
          <w:lang w:val="en-US"/>
        </w:rPr>
        <w:t>ПРИЛОГ 5.</w:t>
      </w:r>
    </w:p>
    <w:p w:rsidR="00A4354E" w:rsidRPr="00A4354E" w:rsidRDefault="00A4354E" w:rsidP="00A4354E">
      <w:pPr>
        <w:spacing w:after="120" w:line="276" w:lineRule="auto"/>
        <w:contextualSpacing w:val="0"/>
        <w:jc w:val="center"/>
        <w:rPr>
          <w:rFonts w:ascii="Arial" w:hAnsi="Arial" w:cs="Arial"/>
          <w:noProof w:val="0"/>
          <w:sz w:val="22"/>
          <w:szCs w:val="22"/>
          <w:lang w:val="en-US"/>
        </w:rPr>
      </w:pPr>
      <w:r w:rsidRPr="00A4354E">
        <w:rPr>
          <w:rFonts w:ascii="Arial" w:hAnsi="Arial" w:cs="Arial"/>
          <w:noProof w:val="0"/>
          <w:color w:val="000000"/>
          <w:sz w:val="22"/>
          <w:szCs w:val="22"/>
          <w:lang w:val="en-US"/>
        </w:rPr>
        <w:t>СЛОЖЕН ПОСЛОВНИ ПЛАН</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А. ОПШТЕ СМЕРНИЦЕ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Овај образац, заједно са excel табелом, чини сложен пословни план (у даљем тексту: пословни план), који мора бити попуњен у складу са изнетим упутствима, и предат Управи за аграрна плаћања. На основу ових докумената вршиће се процена економске одрживости подносиоца захтева и економске одрживости самог пројекта који је предмет захтева за финансијску помоћ из ИПАРД програма.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xml:space="preserve">Пословни план треба да се достави у једном оригиналном примерку (неопходно је да се попуне оба формулара у складу са приложеним упутствима и да се нумерише свака страница пословног плана). Електронска верзија се користи за попуњавање excel табела (објављене на веб сајту Управе за аграрна плаћања, </w:t>
      </w:r>
      <w:r w:rsidRPr="00A4354E">
        <w:rPr>
          <w:rFonts w:ascii="Arial" w:hAnsi="Arial" w:cs="Arial"/>
          <w:b/>
          <w:noProof w:val="0"/>
          <w:color w:val="000000"/>
          <w:sz w:val="22"/>
          <w:szCs w:val="22"/>
          <w:lang w:val="en-US"/>
        </w:rPr>
        <w:t>http://www.uap.gov.rs</w:t>
      </w:r>
      <w:r w:rsidRPr="00A4354E">
        <w:rPr>
          <w:rFonts w:ascii="Arial" w:hAnsi="Arial" w:cs="Arial"/>
          <w:noProof w:val="0"/>
          <w:color w:val="000000"/>
          <w:sz w:val="22"/>
          <w:szCs w:val="22"/>
          <w:lang w:val="en-US"/>
        </w:rPr>
        <w:t>). Попуњене excel табеле такође морају да се доставе и на CD-у (у случају неслагања између штампаног документа и документа на CD-у, штампани образац ће бити релевантан).</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Свака страница пословног плана треба да буде нумерисана од стране подносиоца захтева. Додатни редови могу се уметнути у табеле које се налазе у обрасцу УАП02-01.15.02 у складу са сврхом пословног плана. Ако подносилац захтева не може да достави одређене податке у описном делу захтеваних табела пословног плана, он/она треба да обележи релевантно поље са,,/" и да пружи објашњење зашто нису достављени подаци.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1. РЕЗИМЕ ПОСЛОВНОГ ПЛАНА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Резиме пословног плана пружа сажети преглед кључних информација које се тичу основних пословних активности и планираних инвестиција (кратак опис производа/услуга, кључне информације о процесу производње, сумирани резултат истраживања тржишта и финансијских ефеката). Овај део треба да се састави тек пошто се изради целокупан пословни план и треба га унети као прво поглавље, зато што се у њему сумирају кључни резултати пословног плана.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 ОПШТИ ПОДАЦИ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2.1. Подаци о подносиоцу захтева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табелу,,2.1. Подаци о подносиоцу захтева"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2.2. Контакт подаци о консултанту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табелу,,2.2.Контакт подаци о консултанту"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2.3. Подаци о пројекту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табелу,,2.3. Подаци о пројекту"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2.3.1. Опис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Овај део пословног плана треба да одреди врсту одабране инвестиције и да опише услугу/е које подносилац намерава да произведе/пружи по добијању инвестиције. Нагласити да ли је циљ надоградња/проширење постојећег пружања услуга, покретање нове услуге или се пројекат не односи на постојеће операције.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Када се износи опис, имати на уму да све инвестиције под Мером 7: Диверзификација пољопривредних газдинстава и развој пословања, морају бити наведене у Листи прихватљивих трошкова и инвестиција (Прилог 1. овог правилника).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Описати сврху инвестиције и објаснити које циљеве она треба да подржи, нпр: обезбеђивање усаглашености са релевантним стандардима, нове тржишне могућности, итд.</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2.3.2. Процена потражње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Објаснити зашто се очекује да постоји потражња за одређеном услугом у релевантним услуга(ма) и приказати како је потражња процењена. Представити релевантне трендове потражње. У случају да су квантитативни подаци доступни, описати их и навести њихове изворе. Навести постојеће клијенте или, у случају нових операција, планиране клијенте.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2.3.3. Циљеви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Описати пројекат у складу са циљевима одабраним у обрасцу Захтева.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2.3.4. План реализације инвестиције (временски распоред)</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Описати главне активности и планирани временски распоред реализације инвестиције.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w:t>
      </w:r>
      <w:r w:rsidRPr="00A4354E">
        <w:rPr>
          <w:rFonts w:ascii="Arial" w:hAnsi="Arial" w:cs="Arial"/>
          <w:noProof w:val="0"/>
          <w:color w:val="000000"/>
          <w:sz w:val="22"/>
          <w:szCs w:val="22"/>
          <w:lang w:val="en-US"/>
        </w:rPr>
        <w:t xml:space="preserve"> Планирани датум почетка инвестиције;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w:t>
      </w:r>
      <w:r w:rsidRPr="00A4354E">
        <w:rPr>
          <w:rFonts w:ascii="Arial" w:hAnsi="Arial" w:cs="Arial"/>
          <w:noProof w:val="0"/>
          <w:color w:val="000000"/>
          <w:sz w:val="22"/>
          <w:szCs w:val="22"/>
          <w:lang w:val="en-US"/>
        </w:rPr>
        <w:t xml:space="preserve"> Планирани датум завршетка инвестиције;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w:t>
      </w:r>
      <w:r w:rsidRPr="00A4354E">
        <w:rPr>
          <w:rFonts w:ascii="Arial" w:hAnsi="Arial" w:cs="Arial"/>
          <w:noProof w:val="0"/>
          <w:color w:val="000000"/>
          <w:sz w:val="22"/>
          <w:szCs w:val="22"/>
          <w:lang w:val="en-US"/>
        </w:rPr>
        <w:t xml:space="preserve"> Трајање активности по месецима.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За описивање инвестиционог плана, користити податке из табеле,,2.3. Подаци о пројекту".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3. ПРОИЗВОДЊА/ПРУЖАЊЕ УСЛУГА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3.1. Опис</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Приложити кратак преглед производње/пружања услуга. Назначити постојеће капацитете и објаснити потребу за инвестицијом у нови пројекат.</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табелу,,3.1. Подаци о земљишту и броју животиња" (унети податке само ако подносилац има земљиште или животиње),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3.2. Структура и обим производње/пружања услуга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Табела треба да представи постојећи обим пружања услуга за сваки производ, ако се инвестиција односи на постојеће пружање услуга, и планирани обим пружања услуга за сваку услугу у мерним јединицама за сваку годину периода имплементације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табелу,,3.3. Структура и обим производње/пружања услуга"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3.3. Структура и динамика материјалних и нематеријалних трошкова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табелу,,3.4. Структура и динамика материјалних и нематеријалних трошкова"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4. УСКЛАЂЕНОСТ СА СТАНДАРДИМА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 зависности од типа инвестиције укратко описати усклађеност са националним стандардима, релевантним прописима и да ли ће пројекат испунити стандарде Европске уније под Мером 7: Диверзификација пољопривредних газдинстава и развој пословања.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5. МЕСТО И ДИСТРИБУЦИЈА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5.1. Опис</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 овом делу описује се место где се одвија пословна активност, његова повезаност путевима и стање путева (локални, регионални, аутопут, некатегорисани пут), удаљеност од урбаних центара, удаљеност од продајних места/трговинских центара, доступност извора енергије, снабдевеност водом, итд. У случају планираних нових инвестиција, доставити кратак опис предности описаног места. Описати макро локацију (избор региона), микро локацију (прецизан назив релевантног града унутар региона) и списак потребних дозвола.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 ЕКОНОМСКА И ФИНАНСИЈСКА АНАЛИЗА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6.1. Приход</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6.1.1. План продаје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Описати постојећи квантитет продаје и износ планиране продаје за који се очекује да ће бити постигнут по имплементацији пројекта. Образложити квантитет достављањем детаља о постојећим и будућим капацитетитма. Цене услуга треба да буду назначене и објашњене у складу са ситуацијом на тржишту.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табелу,,6.1.1. План продаје"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6.1.2. Укупни приход</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Уколико постоје приходи од подстицаја, описати их и образложити основу која постоји у националном законодавству за такве подстицаје.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табелу,,6.1.2. Укупни приход"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6.2. Оперативни трошкови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6.2.1. Обрачун амортизације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табелу,,6.2.1. Обрачун амортизације"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6.2.2. Динамика запослених</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Назначити ко руководи свакодневним операцијама и доставити информације о његовом/њеном образовању, доставити дијаграм процеса рада (уколико има више од десет запослених на неодређено време), план запошљавања и квалификациону структуру релевантну за будућу инвестицију.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Укратко описати да ли породично пољопривредно газдинство планира да запосли члана породичног пољопривредног газдинства и/или друге запослене.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табелу,,6.2.2. Динамика запослених"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6.2.3. Оперативни трошкови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табелу,,6.2.3. Оперативни трошкови" према упутствима,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6.3. Структура и распоред инвестиције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6.3.1. Инвестициони план</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табелу,,6.3.1. Инвестициони план"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6.3.2. Извори финансирања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табелу,,6.3.2. Извори финансирања"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6.3.3. Обрачун кредитних обавеза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Описати релевантне кредитне услове, као што су износ кредита, валуту кредита, каматне стопе, услове подизања средстава (распоред подизања и датум коначног подизања), распоред исплата (месечно, квартално, полугодишње, годишње), грејс период и накнаде за кредит. Износ ИПАРД средстава треба да буде укључен у ову табелу, ако ће се иста користити за смањивање кредитних обавеза, у години у којој се очекује прилив. Одвојено приказати обрачун кредитних обавеза предмета захтева за доделу средстава из ИПАРД програма, од постојећих кредита. Ако постоји распоред исплаћивања за планиране и постојеће зајмове, и њега треба доставити.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табелу,,6.3.3. Обрачун кредитних обавеза"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6.4. Пројекција Биланса успеха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табелу,,6.4. Пројекција Биланса успеха" према упутствима,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6.4.1. Статичка процена ефикасности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Статички приступ процењивању пројекта значи да се ефикасност пројекта анализира на основу коначне суме за репрезентативну годину. Процена статичке ефикасности користи однос ликвидности, однос приход-расход и однос дуг-актива. Информације за обрачун индикатора треба да се узимају из Биланса успеха и Завршног рачуна.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табелу,,6.4.1. Статичка процена ефикасности"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6.5. Новчани ток</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Извештај о токовима новца треба да представи ликвидност пројекта, што значи да кумулативни износ треба да буде позитиван од прве године до краја трајања пројекта, у супротном пројекат неће моћи да покрије сопствени дуг и стога неће бити прихватљив.</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табелу,,6.5. Новчани ток" према упутствима,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7. ЕКОНОМСКА ОЦЕНА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7.1. Динамичка оцена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7.1.1. Економски ток</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Пројекат се сматра прихватљивим ако период инвестиционог поврата није дужи од економског века трајања пројекта без преостале вредности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табелу,,7.1.1. Економски ток" према упутствима,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b/>
          <w:noProof w:val="0"/>
          <w:color w:val="000000"/>
          <w:sz w:val="22"/>
          <w:szCs w:val="22"/>
          <w:lang w:val="en-US"/>
        </w:rPr>
        <w:t>7.1.2. Нето садашња вредност и интерна стопа рентабилности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Пројекат је прихватљив ако је нето садашња вредност једнака нули или виша од нуле. Интерна стопа рентабилности (ИСР) је дисконтна стопа која чини да нето садашња вредност свих токова новца из одређеног пројекта буде једнака нули. Пројекат је прихватљив ако је ИСР већа од каматне стопе кредита из ког ће планирана инвестиција бити финансирана, и треба да буде 6% или више.</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i/>
          <w:noProof w:val="0"/>
          <w:color w:val="000000"/>
          <w:sz w:val="22"/>
          <w:szCs w:val="22"/>
          <w:lang w:val="en-US"/>
        </w:rPr>
        <w:t>Попунити табелу,,7.1.2. Нето садашња вредност и интерна стопа рентабилности" према упутствима, дату у excel формату.</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10" o:spid="_x0000_i1071" type="#_x0000_t75" style="width:451.5pt;height:633.75pt;visibility:visible;mso-wrap-style:square">
            <v:imagedata r:id="rId16"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11" o:spid="_x0000_i1072" type="#_x0000_t75" style="width:451.5pt;height:633.75pt;visibility:visible;mso-wrap-style:square">
            <v:imagedata r:id="rId17"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12" o:spid="_x0000_i1073" type="#_x0000_t75" style="width:451.5pt;height:633.75pt;visibility:visible;mso-wrap-style:square">
            <v:imagedata r:id="rId18"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13" o:spid="_x0000_i1074" type="#_x0000_t75" style="width:451.5pt;height:633.75pt;visibility:visible;mso-wrap-style:square">
            <v:imagedata r:id="rId19"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14" o:spid="_x0000_i1075" type="#_x0000_t75" style="width:451.5pt;height:633.75pt;visibility:visible;mso-wrap-style:square">
            <v:imagedata r:id="rId20"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15" o:spid="_x0000_i1076" type="#_x0000_t75" style="width:451.5pt;height:633.75pt;visibility:visible;mso-wrap-style:square">
            <v:imagedata r:id="rId21"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16" o:spid="_x0000_i1077" type="#_x0000_t75" style="width:451.5pt;height:633.75pt;visibility:visible;mso-wrap-style:square">
            <v:imagedata r:id="rId22"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17" o:spid="_x0000_i1078" type="#_x0000_t75" style="width:451.5pt;height:633.75pt;visibility:visible;mso-wrap-style:square">
            <v:imagedata r:id="rId23" o:title=""/>
          </v:shape>
        </w:pic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sz w:val="22"/>
          <w:szCs w:val="22"/>
          <w:lang w:eastAsia="sr-Latn-RS"/>
        </w:rPr>
        <w:pict>
          <v:shape id="Picture 18" o:spid="_x0000_i1079" type="#_x0000_t75" style="width:451.5pt;height:633.75pt;visibility:visible;mso-wrap-style:square">
            <v:imagedata r:id="rId24" o:title=""/>
          </v:shape>
        </w:pict>
      </w:r>
    </w:p>
    <w:p w:rsidR="00A4354E" w:rsidRPr="00A4354E" w:rsidRDefault="00A4354E" w:rsidP="00A4354E">
      <w:pPr>
        <w:spacing w:after="150" w:line="276" w:lineRule="auto"/>
        <w:contextualSpacing w:val="0"/>
        <w:jc w:val="right"/>
        <w:rPr>
          <w:rFonts w:ascii="Arial" w:hAnsi="Arial" w:cs="Arial"/>
          <w:noProof w:val="0"/>
          <w:sz w:val="22"/>
          <w:szCs w:val="22"/>
          <w:lang w:val="en-US"/>
        </w:rPr>
      </w:pPr>
      <w:r w:rsidRPr="00A4354E">
        <w:rPr>
          <w:rFonts w:ascii="Arial" w:hAnsi="Arial" w:cs="Arial"/>
          <w:noProof w:val="0"/>
          <w:color w:val="000000"/>
          <w:sz w:val="22"/>
          <w:szCs w:val="22"/>
          <w:lang w:val="en-US"/>
        </w:rPr>
        <w:t>ПРИЛОГ 6.</w:t>
      </w:r>
    </w:p>
    <w:p w:rsidR="00A4354E" w:rsidRPr="00A4354E" w:rsidRDefault="00A4354E" w:rsidP="00A4354E">
      <w:pPr>
        <w:spacing w:after="120" w:line="276" w:lineRule="auto"/>
        <w:contextualSpacing w:val="0"/>
        <w:jc w:val="center"/>
        <w:rPr>
          <w:rFonts w:ascii="Arial" w:hAnsi="Arial" w:cs="Arial"/>
          <w:noProof w:val="0"/>
          <w:sz w:val="22"/>
          <w:szCs w:val="22"/>
          <w:lang w:val="en-US"/>
        </w:rPr>
      </w:pPr>
      <w:r w:rsidRPr="00A4354E">
        <w:rPr>
          <w:rFonts w:ascii="Arial" w:hAnsi="Arial" w:cs="Arial"/>
          <w:noProof w:val="0"/>
          <w:color w:val="000000"/>
          <w:sz w:val="22"/>
          <w:szCs w:val="22"/>
          <w:lang w:val="en-US"/>
        </w:rPr>
        <w:t>ЕЛЕМЕНТИ И ПОКАЗАТЕЉИ КОЈИ СЕ КОРИСТЕ ЗА ПРОЦЕНУ ЕКОНОМСКЕ ОДРЖИВОСТИ ПОДНОСИОЦА ЗАХТЕВА И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Елементи и показатељи који се користе за процену економске одрживости пројекта су следећи:</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xml:space="preserve">1) За </w:t>
      </w:r>
      <w:r w:rsidRPr="00A4354E">
        <w:rPr>
          <w:rFonts w:ascii="Arial" w:hAnsi="Arial" w:cs="Arial"/>
          <w:b/>
          <w:noProof w:val="0"/>
          <w:color w:val="000000"/>
          <w:sz w:val="22"/>
          <w:szCs w:val="22"/>
          <w:lang w:val="en-US"/>
        </w:rPr>
        <w:t>једноставан пословни</w:t>
      </w:r>
      <w:r w:rsidRPr="00A4354E">
        <w:rPr>
          <w:rFonts w:ascii="Arial" w:hAnsi="Arial" w:cs="Arial"/>
          <w:noProof w:val="0"/>
          <w:color w:val="000000"/>
          <w:sz w:val="22"/>
          <w:szCs w:val="22"/>
          <w:lang w:val="en-US"/>
        </w:rPr>
        <w:t xml:space="preserve"> план:</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 ликвидност - кумулатив новчаног тока мора бити позитиван од прве до последње године економског века трајања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 однос између прихода и расхода (укупни приход/укупни расход) не сме бити мањи од 1.</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 xml:space="preserve">2) За </w:t>
      </w:r>
      <w:r w:rsidRPr="00A4354E">
        <w:rPr>
          <w:rFonts w:ascii="Arial" w:hAnsi="Arial" w:cs="Arial"/>
          <w:b/>
          <w:noProof w:val="0"/>
          <w:color w:val="000000"/>
          <w:sz w:val="22"/>
          <w:szCs w:val="22"/>
          <w:lang w:val="en-US"/>
        </w:rPr>
        <w:t>сложен пословни план</w:t>
      </w:r>
      <w:r w:rsidRPr="00A4354E">
        <w:rPr>
          <w:rFonts w:ascii="Arial" w:hAnsi="Arial" w:cs="Arial"/>
          <w:noProof w:val="0"/>
          <w:color w:val="000000"/>
          <w:sz w:val="22"/>
          <w:szCs w:val="22"/>
          <w:lang w:val="en-US"/>
        </w:rPr>
        <w:t>:</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(1) ликвидност - кумулатив новчаног тока мора бити позитиван од прве до последње године економског века трајања пројекта;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(2) интерна стопа рентабилности мора да буде изнад каматне стопе одобреног кредита који се користи за инвестиционо финансирање и минимум 6% или виша;</w:t>
      </w:r>
    </w:p>
    <w:p w:rsidR="00A4354E" w:rsidRPr="00A4354E" w:rsidRDefault="00A4354E" w:rsidP="00A4354E">
      <w:pPr>
        <w:spacing w:after="150" w:line="276" w:lineRule="auto"/>
        <w:contextualSpacing w:val="0"/>
        <w:rPr>
          <w:rFonts w:ascii="Arial" w:hAnsi="Arial" w:cs="Arial"/>
          <w:noProof w:val="0"/>
          <w:sz w:val="22"/>
          <w:szCs w:val="22"/>
          <w:lang w:val="en-US"/>
        </w:rPr>
      </w:pPr>
      <w:r w:rsidRPr="00A4354E">
        <w:rPr>
          <w:rFonts w:ascii="Arial" w:hAnsi="Arial" w:cs="Arial"/>
          <w:noProof w:val="0"/>
          <w:color w:val="000000"/>
          <w:sz w:val="22"/>
          <w:szCs w:val="22"/>
          <w:lang w:val="en-US"/>
        </w:rPr>
        <w:t>(3) нето садашња вредност мора да буде једнака 0 или виша са коришћењем дисконтне стопе која није мања од каматне стопе одобреног кредита који се користи за инвестиционо финансирање и не мања од 6%;</w:t>
      </w:r>
    </w:p>
    <w:p w:rsidR="00A4354E" w:rsidRDefault="00A4354E" w:rsidP="00A4354E">
      <w:pPr>
        <w:spacing w:after="150" w:line="276" w:lineRule="auto"/>
        <w:contextualSpacing w:val="0"/>
        <w:rPr>
          <w:rFonts w:ascii="Arial" w:hAnsi="Arial" w:cs="Arial"/>
          <w:noProof w:val="0"/>
          <w:color w:val="000000"/>
          <w:sz w:val="22"/>
          <w:szCs w:val="22"/>
          <w:lang w:val="en-US"/>
        </w:rPr>
      </w:pPr>
      <w:r w:rsidRPr="00A4354E">
        <w:rPr>
          <w:rFonts w:ascii="Arial" w:hAnsi="Arial" w:cs="Arial"/>
          <w:noProof w:val="0"/>
          <w:color w:val="000000"/>
          <w:sz w:val="22"/>
          <w:szCs w:val="22"/>
          <w:lang w:val="en-US"/>
        </w:rPr>
        <w:t>(4) период повраћаја не сме бити дужи од економског века трајања пројекта, без остатка вредности пројекта.</w:t>
      </w:r>
    </w:p>
    <w:p w:rsidR="00A4354E" w:rsidRDefault="00A4354E" w:rsidP="00A4354E">
      <w:pPr>
        <w:spacing w:after="150" w:line="276" w:lineRule="auto"/>
        <w:contextualSpacing w:val="0"/>
        <w:rPr>
          <w:rFonts w:ascii="Arial" w:hAnsi="Arial" w:cs="Arial"/>
          <w:noProof w:val="0"/>
          <w:color w:val="000000"/>
          <w:sz w:val="22"/>
          <w:szCs w:val="22"/>
          <w:lang w:val="en-US"/>
        </w:rPr>
      </w:pPr>
    </w:p>
    <w:p w:rsidR="00A4354E" w:rsidRPr="00A4354E" w:rsidRDefault="00A4354E" w:rsidP="00A4354E">
      <w:pPr>
        <w:spacing w:after="150" w:line="276" w:lineRule="auto"/>
        <w:contextualSpacing w:val="0"/>
        <w:jc w:val="right"/>
        <w:rPr>
          <w:rFonts w:ascii="Arial" w:hAnsi="Arial" w:cs="Arial"/>
          <w:noProof w:val="0"/>
          <w:sz w:val="20"/>
          <w:szCs w:val="20"/>
          <w:lang w:val="en-US"/>
        </w:rPr>
      </w:pPr>
      <w:r w:rsidRPr="00A4354E">
        <w:rPr>
          <w:rFonts w:ascii="Arial" w:hAnsi="Arial" w:cs="Arial"/>
          <w:noProof w:val="0"/>
          <w:color w:val="000000"/>
          <w:sz w:val="20"/>
          <w:szCs w:val="20"/>
          <w:lang w:val="en-US"/>
        </w:rPr>
        <w:t>Прилог 7</w:t>
      </w:r>
    </w:p>
    <w:p w:rsidR="00A4354E" w:rsidRPr="00A4354E" w:rsidRDefault="00A4354E" w:rsidP="00A4354E">
      <w:pPr>
        <w:spacing w:after="120" w:line="276" w:lineRule="auto"/>
        <w:contextualSpacing w:val="0"/>
        <w:jc w:val="center"/>
        <w:rPr>
          <w:rFonts w:ascii="Arial" w:hAnsi="Arial" w:cs="Arial"/>
          <w:noProof w:val="0"/>
          <w:sz w:val="20"/>
          <w:szCs w:val="20"/>
          <w:lang w:val="en-US"/>
        </w:rPr>
      </w:pPr>
      <w:r w:rsidRPr="00A4354E">
        <w:rPr>
          <w:rFonts w:ascii="Arial" w:hAnsi="Arial" w:cs="Arial"/>
          <w:b/>
          <w:noProof w:val="0"/>
          <w:color w:val="000000"/>
          <w:sz w:val="20"/>
          <w:szCs w:val="20"/>
          <w:lang w:val="en-US"/>
        </w:rPr>
        <w:t>ОБЕЛЕЖАВАЊЕ ПРЕДМЕТА ИНВЕСТИЦИЈЕ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Обележавање предмета инвестиције је обавеза корисника у информисању јавности о улози Европске уније у спровођењу ИПАРД II програма, али и позитивној промоцији доприноса Европске уније и националних фондова за рурални развој у Републици Србији. Свe инвестиције које су суфинансиране из ИПАРД II програма треба да садрже информацију о улози Европске уније тј. ИПАРД II програма у суфинансирању инвестиције.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Поступак обележавања инвестиције дефинисан је Секторским споразумом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пољопривреди и руралном развоју (ИПАРД) и Уредбом о спровођењу Европске комисије (ЕУ) 821/2014. Упутства за кориснике везана за мере информисања и видљивости пројеката суфинансираних из ИПАРД II програма, заснована су на приручнику „Захтеви по питању комуникације и видљивости у спољним активностима Европске уније” из 2018. године, Уредби (ЕУ) број 236/2014 Европског парламента и Савета од 11. марта 2014. о утврђивању заједничких правила и поступака за спровођење инструмената Европске уније за финансирање спољних активности, као и Смерницама Европске комисије о одговорности ИПАРД корисника које се тичу информација и комуникације према јавности.</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Добијањем решења о одобравању пројекта, корисник прихвата да информације о њему као носиоцу пројекта, називу пројекта, као и износу јавне подршке буду јавно објављене.</w:t>
      </w:r>
    </w:p>
    <w:p w:rsidR="00A4354E" w:rsidRPr="00A4354E" w:rsidRDefault="00A4354E" w:rsidP="00A4354E">
      <w:pPr>
        <w:spacing w:after="120" w:line="276" w:lineRule="auto"/>
        <w:contextualSpacing w:val="0"/>
        <w:jc w:val="center"/>
        <w:rPr>
          <w:rFonts w:ascii="Arial" w:hAnsi="Arial" w:cs="Arial"/>
          <w:noProof w:val="0"/>
          <w:sz w:val="20"/>
          <w:szCs w:val="20"/>
          <w:lang w:val="en-US"/>
        </w:rPr>
      </w:pPr>
      <w:r w:rsidRPr="00A4354E">
        <w:rPr>
          <w:rFonts w:ascii="Arial" w:hAnsi="Arial" w:cs="Arial"/>
          <w:b/>
          <w:noProof w:val="0"/>
          <w:color w:val="000000"/>
          <w:sz w:val="20"/>
          <w:szCs w:val="20"/>
          <w:lang w:val="en-US"/>
        </w:rPr>
        <w:t>Обавезe корисника о информисању јавности о подршци ЕК из ИПАРД II програма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Током и након реализације инвестиције, корисник има обавезу информисања јавности о захтеваној, односно добијеној подршци из ИПАРД II програма.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Све активности информисања и комуникације у вези са пројектом морају укључивати основне елементе видљивости, односно:</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логотип ЕУ за ИПАРД II програм (у даљем тексту: ИПАРД логотип);</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државно обележје Републике Србије;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напомену: „Овај пројекат је реализован уз финансијску подршку Европске уније” за стално oбележавање или „Овај пројекат се реализује уз финансијску подршку Европске уније” за привремено oбележавање;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назив пројекта/инвестиције.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Обавезe корисника о информисању јавности о подршци из ИПАРД II програма дефинисане су у односу на врсту инвестиције и износ јавне подршке, и то:</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1. За сваку инвестицију у инфраструктуру или изградњу објекта за коју укупна јавна подршка прелази 100.000 евра, на почетку извођења грађевинских радова и током реализације инвестиције, осим обележавања градилишта одговарајућим билбордом у складу са законом којим се уређује планирање и изградња, корисник ће поставити привремени билборд минималне величине А3 формата на месту лако видљивом за јавност, као што је, на пример, улаз у објекат или прилазни пут.</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Привремени билборд мора да садржи основне елементе видљивости, који треба да заузимају најмање 25% површине, док је преостали део билборда (75%) намењен опису пројекта и минимално треба да садржи следеће елементе: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назив корисника;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вредност пројекта;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износ суфинансирања од стране Европске уније, изражен у динарима наведен у Решењу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период спровођења пројекта (од–до).</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Привремени билборд остаје на месту улагања до добијања решења о исплати ИПАРД подстицаја.</w:t>
      </w:r>
    </w:p>
    <w:p w:rsidR="00A4354E" w:rsidRPr="00A4354E" w:rsidRDefault="00A4354E" w:rsidP="00A4354E">
      <w:pPr>
        <w:spacing w:after="200" w:line="276" w:lineRule="auto"/>
        <w:contextualSpacing w:val="0"/>
        <w:rPr>
          <w:rFonts w:ascii="Arial" w:hAnsi="Arial" w:cs="Arial"/>
          <w:noProof w:val="0"/>
          <w:sz w:val="20"/>
          <w:szCs w:val="20"/>
          <w:lang w:val="en-US"/>
        </w:rPr>
      </w:pPr>
      <w:bookmarkStart w:id="1" w:name="_idContainer000"/>
      <w:r w:rsidRPr="00A4354E">
        <w:rPr>
          <w:rFonts w:ascii="Arial" w:hAnsi="Arial" w:cs="Arial"/>
          <w:sz w:val="20"/>
          <w:szCs w:val="20"/>
          <w:lang w:eastAsia="sr-Latn-RS"/>
        </w:rPr>
        <w:pict>
          <v:shape id="_x0000_i1138" type="#_x0000_t75" style="width:255pt;height:162pt;visibility:visible;mso-wrap-style:square">
            <v:imagedata r:id="rId25" o:title=""/>
          </v:shape>
        </w:pict>
      </w:r>
    </w:p>
    <w:bookmarkEnd w:id="1"/>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b/>
          <w:noProof w:val="0"/>
          <w:color w:val="000000"/>
          <w:sz w:val="20"/>
          <w:szCs w:val="20"/>
          <w:lang w:val="en-US"/>
        </w:rPr>
        <w:t>Пример</w:t>
      </w:r>
      <w:r w:rsidRPr="00A4354E">
        <w:rPr>
          <w:rFonts w:ascii="Arial" w:hAnsi="Arial" w:cs="Arial"/>
          <w:noProof w:val="0"/>
          <w:color w:val="000000"/>
          <w:sz w:val="20"/>
          <w:szCs w:val="20"/>
          <w:lang w:val="en-US"/>
        </w:rPr>
        <w:t xml:space="preserve"> </w:t>
      </w:r>
      <w:r w:rsidRPr="00A4354E">
        <w:rPr>
          <w:rFonts w:ascii="Arial" w:hAnsi="Arial" w:cs="Arial"/>
          <w:b/>
          <w:noProof w:val="0"/>
          <w:color w:val="000000"/>
          <w:sz w:val="20"/>
          <w:szCs w:val="20"/>
          <w:lang w:val="en-US"/>
        </w:rPr>
        <w:t>1 – Привремени билборд/табла/постер</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1а) Након добијања решења о исплати ИПАРД подстицаја, корисник је у обавези да постави стални билборд минималне величине А3 формата, израђен од трајног материјала, на месту лако видљивом за јавност, као што је, на пример, улаз у објекат или прилазни пут.</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Стални билборд садржи основне елементе видљивости, који треба да заузимају најмање 25% билборда уз напомену која јасно истиче износ подршке добијене из ИПАРД II програма Европске уније: „Овај пројекат је реализован уз финансијску подршку Европске уније од ___ динара”.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Преостали део сталног билборда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Уколико је истом кориснику суфинансирано неколико различитих инвестиција наведених у оквиру истог захтева, стални билборд треба да садржи назив свих инвестиција.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Стални билборд треба да остане на месту инвестиције наредних пет (5) година од дана исплате ИПАРД подстицаја.</w:t>
      </w:r>
    </w:p>
    <w:p w:rsidR="00A4354E" w:rsidRPr="00A4354E" w:rsidRDefault="00A4354E" w:rsidP="00A4354E">
      <w:pPr>
        <w:spacing w:after="200" w:line="276" w:lineRule="auto"/>
        <w:contextualSpacing w:val="0"/>
        <w:rPr>
          <w:rFonts w:ascii="Arial" w:hAnsi="Arial" w:cs="Arial"/>
          <w:noProof w:val="0"/>
          <w:sz w:val="20"/>
          <w:szCs w:val="20"/>
          <w:lang w:val="en-US"/>
        </w:rPr>
      </w:pPr>
      <w:bookmarkStart w:id="2" w:name="_idContainer001"/>
      <w:r w:rsidRPr="00A4354E">
        <w:rPr>
          <w:rFonts w:ascii="Arial" w:hAnsi="Arial" w:cs="Arial"/>
          <w:sz w:val="20"/>
          <w:szCs w:val="20"/>
          <w:lang w:eastAsia="sr-Latn-RS"/>
        </w:rPr>
        <w:pict>
          <v:shape id="_x0000_i1137" type="#_x0000_t75" style="width:451.5pt;height:260.25pt;visibility:visible;mso-wrap-style:square">
            <v:imagedata r:id="rId26" o:title=""/>
          </v:shape>
        </w:pict>
      </w:r>
    </w:p>
    <w:bookmarkEnd w:id="2"/>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b/>
          <w:noProof w:val="0"/>
          <w:color w:val="000000"/>
          <w:sz w:val="20"/>
          <w:szCs w:val="20"/>
          <w:lang w:val="en-US"/>
        </w:rPr>
        <w:t>Пример 2 – Стални билборд/табла/постер</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2. За сваку инвестицију у инфраструктуру или изградњу објекта за коју укупна јавна подршка прелази 20.000 евра од тренутка започињања извођења физичких радова на пројекту корисник је у обавези да постави привремену таблу минималне величине А3 формата на месту лако видљивом за јавност, као што је, на пример, улаз у објекат.</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Привремена табла, направљена од трајног материјала (пластика, метал и сл.), треба да буде израђена у складу са тачком 1 овог прилога.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Привремена табла треба да остане на месту инвестиције до дана коначне исплате ИПАРД подстицаја.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2 а) Након коначне исплате ИПАРД подстицаја, корисник је у обавези да постави сталну таблу минималне величине А3 формата, израђену у складу са тачком 1а овог прилога од трајног материјала (пластика, метал и сл.), на месту лако видљивом за јавност, као што је, на пример, улаз у објекат.</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Стална табла треба да остане на месту инвестиције наредних пет (5) година од дана исплате ИПАРД подстицаја.</w:t>
      </w:r>
    </w:p>
    <w:p w:rsidR="00A4354E" w:rsidRPr="00A4354E" w:rsidRDefault="00A4354E" w:rsidP="00A4354E">
      <w:pPr>
        <w:spacing w:after="200" w:line="276" w:lineRule="auto"/>
        <w:contextualSpacing w:val="0"/>
        <w:rPr>
          <w:rFonts w:ascii="Arial" w:hAnsi="Arial" w:cs="Arial"/>
          <w:noProof w:val="0"/>
          <w:sz w:val="20"/>
          <w:szCs w:val="20"/>
          <w:lang w:val="en-US"/>
        </w:rPr>
      </w:pPr>
      <w:bookmarkStart w:id="3" w:name="_idContainer002"/>
      <w:r w:rsidRPr="00A4354E">
        <w:rPr>
          <w:rFonts w:ascii="Arial" w:hAnsi="Arial" w:cs="Arial"/>
          <w:sz w:val="20"/>
          <w:szCs w:val="20"/>
          <w:lang w:eastAsia="sr-Latn-RS"/>
        </w:rPr>
        <w:pict>
          <v:shape id="_x0000_i1136" type="#_x0000_t75" style="width:255pt;height:145.5pt;visibility:visible;mso-wrap-style:square">
            <v:imagedata r:id="rId27" o:title=""/>
          </v:shape>
        </w:pict>
      </w:r>
    </w:p>
    <w:bookmarkEnd w:id="3"/>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b/>
          <w:noProof w:val="0"/>
          <w:color w:val="000000"/>
          <w:sz w:val="20"/>
          <w:szCs w:val="20"/>
          <w:lang w:val="en-US"/>
        </w:rPr>
        <w:t>Пример 2а – Стални билборд/табла/постер</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3. За сваку инвестицију у инфраструктуру или изградњу објекта за коју укупна јавна подршка не прелази 20.000 евра од тренутка започињања извођења физичких радова на пројекту корисник је у обавези да постави постер минималне величине А3 формата на месту лако видљивом за јавност, као што је, на пример, улаз у објекат.</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Постер мора да садржи основне елементе видљивости, који треба да заузимају најмање 25% површине, док је преостали део постера (75%) намењен опису пројекта и минимално треба да садржи следеће елементе: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назив корисника,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вредност пројекта,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износ суфинансирања од стране Европске уније, изражен у динарима наведен у Решењу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период спровођења пројекта (од–до).</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Постер треба да остане на месту инвестиције до дана коначне исплате ИПАРД подстицаја.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3а) Након коначне исплате ИПАРД подстицаја, корисник је у обавези да постави сталну таблу минималне величине А3 формата, израђену у складу са тачком 1а) овог прилога од трајног материјала (пластика, метал и сл.), на месту лако видљивом за јавност, као што је, на пример, улаз у објекат.</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Стална табла треба да остане на месту инвестиције наредних пет (5) година од дана исплате ИПАРД подстицаја.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4. За сваку инвестицију у опремање објекта за коју укупна јавна подршка прелази 100.000 евра, непосредно након испоруке опреме корисник поставља сталну таблу/билборд, израђену у складу са тачком 1а) овог прилога од трајног материјала (пластика, метал и сл.), на месту лако видљивом за јавност (на пример, на улазу у објекат или на прилазном путу).</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Стална табла/билборд треба да остане на месту инвестиције наредних пет (5) година од дана исплате ИПАРД подстицаја.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5. Сву опрему, возила, машине и механизацију, која се суфинансира из ИПАРД II програма, непосредно по испоруци корисник ИПАРД подстицаја треба јасно да обележи налепницама довољне величине које су у складу са величином предметне инвестиције (препоручена величина је 8 x 15 cm), израђеним од ПВЦ материјала са УВ заштитом високог сјаја. Налепница треба да буде јасно видљива, постављена на предњој или бочној страни опреме, возила, машина или механизације.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Налепница мора да садржи основне елементе видљивости, који треба да заузимају најмање 25% налепнице уз напомену која јасно истиче износ подршке добијене из ИПАРД II програма Европске уније: „Овај пројекат је реализован уз финансијску подршку Европске уније од ___ динара”.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Преостали део налепнице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Возила, машине и механизацију треба обележити налепницом наредних пет (5) година од дана исплате ИПАРД подстицаја.</w:t>
      </w:r>
    </w:p>
    <w:p w:rsidR="00A4354E" w:rsidRPr="00A4354E" w:rsidRDefault="00A4354E" w:rsidP="00A4354E">
      <w:pPr>
        <w:spacing w:after="200" w:line="276" w:lineRule="auto"/>
        <w:contextualSpacing w:val="0"/>
        <w:rPr>
          <w:rFonts w:ascii="Arial" w:hAnsi="Arial" w:cs="Arial"/>
          <w:noProof w:val="0"/>
          <w:sz w:val="20"/>
          <w:szCs w:val="20"/>
          <w:lang w:val="en-US"/>
        </w:rPr>
      </w:pPr>
      <w:bookmarkStart w:id="4" w:name="_idContainer003"/>
      <w:r w:rsidRPr="00A4354E">
        <w:rPr>
          <w:rFonts w:ascii="Arial" w:hAnsi="Arial" w:cs="Arial"/>
          <w:sz w:val="20"/>
          <w:szCs w:val="20"/>
          <w:lang w:eastAsia="sr-Latn-RS"/>
        </w:rPr>
        <w:pict>
          <v:shape id="_x0000_i1135" type="#_x0000_t75" style="width:255pt;height:133.5pt;visibility:visible;mso-wrap-style:square">
            <v:imagedata r:id="rId28" o:title=""/>
          </v:shape>
        </w:pict>
      </w:r>
    </w:p>
    <w:bookmarkEnd w:id="4"/>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b/>
          <w:noProof w:val="0"/>
          <w:color w:val="000000"/>
          <w:sz w:val="20"/>
          <w:szCs w:val="20"/>
          <w:lang w:val="en-US"/>
        </w:rPr>
        <w:t>Пример 3 – Налепница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Билборди, табле, постери и налепнице не смеју да буду оштећени, односно, уколико дође до оштећења треба да буду замењени.</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Корисник ИПАРД подстицаја треба да се придржава прописаних обавеза обележавања. Испуњавање ових обавеза проверава УАП контролама на лицу места пре исплате ИПАРД подстицаја и контролама након исплате ИПАРД подстицаја.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Осим обавештавања јавности на начин наведен у тач. 1–5. овог прилога, корисник је у обавези да обавештава јавност о подршци добијеној из ИПАРД фонда Европске уније и на следеће начине: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а. Уколико корисник подстицаја има свој сајт, на почетној страници сајта на видљивом месту и на површини од најмање 25%, треба да постави кратак опис пројекта/инвестиције са основим елементима видљивости. Поред овога, преостали део почетне странице сајта може да садржи и главни циљ пројекта, информацију о износу финансијске подршке, као и друге сличне информације, укључујући период спровођења пројекта (од–до), контакт особе за више информација, као и везе ка релевантним интернет страницама.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Основни елементи видљивости морају бити позиционирани у оквиру поља приказа дигиталног уређаја без потребе померања прозора.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б. Сваки документ, који се односи на пројекат/инвестицију и који се користи за јавност, укључујући сваку листу учесника или другу врсту потврде, треба да садржи основне елементе видљивости у заглављу документа.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в. Свака публикација која се односи на пројекат/инвестицију, укључујући летке, брошуре, новинске чланке и сл., мора да садржи основне елементе видљивости.</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г. Промотивни материјал (USB, CD, оловка, мајица и сл.), који се односи на пројекат/инвестицију, треба да садржи ИПАРД логотип, а не мора да садржи друге основне елементе видљивости.</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Сваки документ, публикација, аудио и видео садржај, промотивни материјал, сајт и сл. који је повезан са пројектом/инвестицијом, мора да садржи изјаву о одрицању од одговорности Европске уније, на пример: „Овај материјал је реализован уз финансијску подршку Европске уније. За његов садржај искључиво је одговоран носилац пројекта (назив корисника).”.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Садржај материјала намењен информисању и комуникацији у вези са пројектом треба да буде на српском језику. По жељи корисника, материјал или поједини елементи видљивости могу бити креирани на српском и енглеском језику.</w:t>
      </w:r>
    </w:p>
    <w:p w:rsidR="00A4354E" w:rsidRPr="00A4354E" w:rsidRDefault="00A4354E" w:rsidP="00A4354E">
      <w:pPr>
        <w:spacing w:after="120" w:line="276" w:lineRule="auto"/>
        <w:contextualSpacing w:val="0"/>
        <w:jc w:val="center"/>
        <w:rPr>
          <w:rFonts w:ascii="Arial" w:hAnsi="Arial" w:cs="Arial"/>
          <w:noProof w:val="0"/>
          <w:sz w:val="20"/>
          <w:szCs w:val="20"/>
          <w:lang w:val="en-US"/>
        </w:rPr>
      </w:pPr>
      <w:r w:rsidRPr="00A4354E">
        <w:rPr>
          <w:rFonts w:ascii="Arial" w:hAnsi="Arial" w:cs="Arial"/>
          <w:b/>
          <w:noProof w:val="0"/>
          <w:color w:val="000000"/>
          <w:sz w:val="20"/>
          <w:szCs w:val="20"/>
          <w:lang w:val="en-US"/>
        </w:rPr>
        <w:t>ИПАРД логотип</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ИПАРД логотип употребљава се у складу са техничким карактеристикама наведеним у релевантном акту Европске уније, и то тако да је увек јасно видљив и на истакнутом месту.</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Место и величина ИПАРД логотипа примерени су величини предметног материјала или документа, при чему на сваком материјалу на ком је то могуће – ИПАРД логотип треба да буде најмање 1 cm висине. Ако су уз ИПАРД логотип приказани и други логотипи или обележја, ИПАРД логотип мора бити барем једнаке величине, односно висине или ширине, као највећи од других логотипа или обележја.</w:t>
      </w:r>
    </w:p>
    <w:p w:rsidR="00A4354E" w:rsidRPr="00A4354E" w:rsidRDefault="00A4354E" w:rsidP="00A4354E">
      <w:pPr>
        <w:spacing w:after="200" w:line="276" w:lineRule="auto"/>
        <w:contextualSpacing w:val="0"/>
        <w:rPr>
          <w:rFonts w:ascii="Arial" w:hAnsi="Arial" w:cs="Arial"/>
          <w:noProof w:val="0"/>
          <w:sz w:val="20"/>
          <w:szCs w:val="20"/>
          <w:lang w:val="en-US"/>
        </w:rPr>
      </w:pPr>
      <w:r w:rsidRPr="00A4354E">
        <w:rPr>
          <w:rFonts w:ascii="Arial" w:hAnsi="Arial" w:cs="Arial"/>
          <w:sz w:val="20"/>
          <w:szCs w:val="20"/>
          <w:lang w:eastAsia="sr-Latn-RS"/>
        </w:rPr>
        <w:pict>
          <v:shape id="_x0000_i1134" type="#_x0000_t75" style="width:255pt;height:117pt;visibility:visible;mso-wrap-style:square">
            <v:imagedata r:id="rId29" o:title=""/>
          </v:shape>
        </w:pic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ИПАРД логотип се увек када је то могуће налази са десне стране, док се државно обележје Републике Србије поставља са леве стране.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ИПАРД логотип приказује се искључиво у боји при обележавању предмета инвестиције. У свим осталим медијима, као и на интернет страницама, ИПАРД логотип се приказује у боји кад год је то могуће, а црно-бела верзија се може употребити само у оправданим случајевима (када је целокупни материјал у црно-белој верзији). Уколико се употребљава црно-бели приказ ИПАРД логотипа, ИПАРД логотип се приказује у црној боји са белим звездама.</w:t>
      </w:r>
      <w:bookmarkStart w:id="5" w:name="_GoBack"/>
      <w:bookmarkEnd w:id="5"/>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ИПАРД логотип приказује се увек на белој подлози, а уколико се приказује на подлози у боји, треба да буде оивичен белим оквиром чија ширина мора бити најмање једнака 1/25 висине ИПАРД логотипа.</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Прописане боје ИПАРД логотипа су следеће: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xml:space="preserve">– у систему </w:t>
      </w:r>
      <w:r w:rsidRPr="00A4354E">
        <w:rPr>
          <w:rFonts w:ascii="Arial" w:hAnsi="Arial" w:cs="Arial"/>
          <w:i/>
          <w:noProof w:val="0"/>
          <w:color w:val="000000"/>
          <w:sz w:val="20"/>
          <w:szCs w:val="20"/>
          <w:lang w:val="en-US"/>
        </w:rPr>
        <w:t>Pantone: PANTONE REFLEX BLUE</w:t>
      </w:r>
      <w:r w:rsidRPr="00A4354E">
        <w:rPr>
          <w:rFonts w:ascii="Arial" w:hAnsi="Arial" w:cs="Arial"/>
          <w:noProof w:val="0"/>
          <w:color w:val="000000"/>
          <w:sz w:val="20"/>
          <w:szCs w:val="20"/>
          <w:lang w:val="en-US"/>
        </w:rPr>
        <w:t xml:space="preserve"> и P</w:t>
      </w:r>
      <w:r w:rsidRPr="00A4354E">
        <w:rPr>
          <w:rFonts w:ascii="Arial" w:hAnsi="Arial" w:cs="Arial"/>
          <w:i/>
          <w:noProof w:val="0"/>
          <w:color w:val="000000"/>
          <w:sz w:val="20"/>
          <w:szCs w:val="20"/>
          <w:lang w:val="en-US"/>
        </w:rPr>
        <w:t>ANTONE YELLOW</w:t>
      </w:r>
      <w:r w:rsidRPr="00A4354E">
        <w:rPr>
          <w:rFonts w:ascii="Arial" w:hAnsi="Arial" w:cs="Arial"/>
          <w:noProof w:val="0"/>
          <w:color w:val="000000"/>
          <w:sz w:val="20"/>
          <w:szCs w:val="20"/>
          <w:lang w:val="en-US"/>
        </w:rPr>
        <w:t>,</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xml:space="preserve">– у систему </w:t>
      </w:r>
      <w:r w:rsidRPr="00A4354E">
        <w:rPr>
          <w:rFonts w:ascii="Arial" w:hAnsi="Arial" w:cs="Arial"/>
          <w:i/>
          <w:noProof w:val="0"/>
          <w:color w:val="000000"/>
          <w:sz w:val="20"/>
          <w:szCs w:val="20"/>
          <w:lang w:val="en-US"/>
        </w:rPr>
        <w:t>CMYK:</w:t>
      </w:r>
      <w:r w:rsidRPr="00A4354E">
        <w:rPr>
          <w:rFonts w:ascii="Arial" w:hAnsi="Arial" w:cs="Arial"/>
          <w:noProof w:val="0"/>
          <w:color w:val="000000"/>
          <w:sz w:val="20"/>
          <w:szCs w:val="20"/>
          <w:lang w:val="en-US"/>
        </w:rPr>
        <w:t xml:space="preserve"> плава C100-M80-Y0-K0/жута C0-M0-Y100-K0,</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xml:space="preserve">– у систему </w:t>
      </w:r>
      <w:r w:rsidRPr="00A4354E">
        <w:rPr>
          <w:rFonts w:ascii="Arial" w:hAnsi="Arial" w:cs="Arial"/>
          <w:i/>
          <w:noProof w:val="0"/>
          <w:color w:val="000000"/>
          <w:sz w:val="20"/>
          <w:szCs w:val="20"/>
          <w:lang w:val="en-US"/>
        </w:rPr>
        <w:t>RGB:</w:t>
      </w:r>
      <w:r w:rsidRPr="00A4354E">
        <w:rPr>
          <w:rFonts w:ascii="Arial" w:hAnsi="Arial" w:cs="Arial"/>
          <w:noProof w:val="0"/>
          <w:color w:val="000000"/>
          <w:sz w:val="20"/>
          <w:szCs w:val="20"/>
          <w:lang w:val="en-US"/>
        </w:rPr>
        <w:t xml:space="preserve"> плава R0-G51-B153/жута R255-G204-B0.</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xml:space="preserve">Фонтови који се могу употребити уз ИПАРД логотип јесу следећи: </w:t>
      </w:r>
      <w:r w:rsidRPr="00A4354E">
        <w:rPr>
          <w:rFonts w:ascii="Arial" w:hAnsi="Arial" w:cs="Arial"/>
          <w:i/>
          <w:noProof w:val="0"/>
          <w:color w:val="000000"/>
          <w:sz w:val="20"/>
          <w:szCs w:val="20"/>
          <w:lang w:val="en-US"/>
        </w:rPr>
        <w:t>Arial, Calibri, Garamond, Trebuchet, Tahoma</w:t>
      </w:r>
      <w:r w:rsidRPr="00A4354E">
        <w:rPr>
          <w:rFonts w:ascii="Arial" w:hAnsi="Arial" w:cs="Arial"/>
          <w:noProof w:val="0"/>
          <w:color w:val="000000"/>
          <w:sz w:val="20"/>
          <w:szCs w:val="20"/>
          <w:lang w:val="en-US"/>
        </w:rPr>
        <w:t xml:space="preserve"> и </w:t>
      </w:r>
      <w:r w:rsidRPr="00A4354E">
        <w:rPr>
          <w:rFonts w:ascii="Arial" w:hAnsi="Arial" w:cs="Arial"/>
          <w:i/>
          <w:noProof w:val="0"/>
          <w:color w:val="000000"/>
          <w:sz w:val="20"/>
          <w:szCs w:val="20"/>
          <w:lang w:val="en-US"/>
        </w:rPr>
        <w:t>Verdana.</w:t>
      </w:r>
      <w:r w:rsidRPr="00A4354E">
        <w:rPr>
          <w:rFonts w:ascii="Arial" w:hAnsi="Arial" w:cs="Arial"/>
          <w:noProof w:val="0"/>
          <w:color w:val="000000"/>
          <w:sz w:val="20"/>
          <w:szCs w:val="20"/>
          <w:lang w:val="en-US"/>
        </w:rPr>
        <w:t xml:space="preserve"> Курзив, подвучени текст и ефекти се не употребљавају. Положај текста у односу на ИПАРД логотип не сме ни на који начин ометати ИПАРД логотип. Величина фонта сразмерна је величини ИПАРД логотипа. Боја фонта је плава (</w:t>
      </w:r>
      <w:r w:rsidRPr="00A4354E">
        <w:rPr>
          <w:rFonts w:ascii="Arial" w:hAnsi="Arial" w:cs="Arial"/>
          <w:i/>
          <w:noProof w:val="0"/>
          <w:color w:val="000000"/>
          <w:sz w:val="20"/>
          <w:szCs w:val="20"/>
          <w:lang w:val="en-US"/>
        </w:rPr>
        <w:t>Reflex blue</w:t>
      </w:r>
      <w:r w:rsidRPr="00A4354E">
        <w:rPr>
          <w:rFonts w:ascii="Arial" w:hAnsi="Arial" w:cs="Arial"/>
          <w:noProof w:val="0"/>
          <w:color w:val="000000"/>
          <w:sz w:val="20"/>
          <w:szCs w:val="20"/>
          <w:lang w:val="en-US"/>
        </w:rPr>
        <w:t>), црна или бела, у зависности од боје позадине.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ИПАРД логотип се може преузети са следећег линка: http://uap.gov.rs/wp-content/uploads/2019/11/logo-ipard-vector-final.pdf</w:t>
      </w:r>
    </w:p>
    <w:p w:rsidR="00A4354E" w:rsidRPr="00A4354E" w:rsidRDefault="00A4354E" w:rsidP="00A4354E">
      <w:pPr>
        <w:spacing w:after="120" w:line="276" w:lineRule="auto"/>
        <w:contextualSpacing w:val="0"/>
        <w:jc w:val="center"/>
        <w:rPr>
          <w:rFonts w:ascii="Arial" w:hAnsi="Arial" w:cs="Arial"/>
          <w:noProof w:val="0"/>
          <w:sz w:val="20"/>
          <w:szCs w:val="20"/>
          <w:lang w:val="en-US"/>
        </w:rPr>
      </w:pPr>
      <w:r w:rsidRPr="00A4354E">
        <w:rPr>
          <w:rFonts w:ascii="Arial" w:hAnsi="Arial" w:cs="Arial"/>
          <w:b/>
          <w:noProof w:val="0"/>
          <w:color w:val="000000"/>
          <w:sz w:val="20"/>
          <w:szCs w:val="20"/>
          <w:lang w:val="en-US"/>
        </w:rPr>
        <w:t>Државна обележја Републике Србије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Државна обележја Републике Србије која се користе за обележавање инвестиције су Државна застава и Мали Грб, и употребљавају се у складу са законом којим се уређује изглед и употреба грба, заставе и химне Републике Србије.</w:t>
      </w:r>
    </w:p>
    <w:p w:rsidR="00A4354E" w:rsidRPr="00A4354E" w:rsidRDefault="00A4354E" w:rsidP="00A4354E">
      <w:pPr>
        <w:spacing w:after="200" w:line="276" w:lineRule="auto"/>
        <w:contextualSpacing w:val="0"/>
        <w:rPr>
          <w:rFonts w:ascii="Arial" w:hAnsi="Arial" w:cs="Arial"/>
          <w:noProof w:val="0"/>
          <w:sz w:val="20"/>
          <w:szCs w:val="20"/>
          <w:lang w:val="en-US"/>
        </w:rPr>
      </w:pPr>
      <w:bookmarkStart w:id="6" w:name="_idContainer005"/>
      <w:r w:rsidRPr="00A4354E">
        <w:rPr>
          <w:rFonts w:ascii="Arial" w:hAnsi="Arial" w:cs="Arial"/>
          <w:sz w:val="20"/>
          <w:szCs w:val="20"/>
          <w:lang w:eastAsia="sr-Latn-RS"/>
        </w:rPr>
        <w:pict>
          <v:shape id="_x0000_i1133" type="#_x0000_t75" style="width:255pt;height:53.25pt;visibility:visible;mso-wrap-style:square">
            <v:imagedata r:id="rId30" o:title=""/>
          </v:shape>
        </w:pict>
      </w:r>
    </w:p>
    <w:bookmarkEnd w:id="6"/>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Прописане боје државних обележја Републике Србије су следеће:</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xml:space="preserve">– у систему </w:t>
      </w:r>
      <w:r w:rsidRPr="00A4354E">
        <w:rPr>
          <w:rFonts w:ascii="Arial" w:hAnsi="Arial" w:cs="Arial"/>
          <w:i/>
          <w:noProof w:val="0"/>
          <w:color w:val="000000"/>
          <w:sz w:val="20"/>
          <w:szCs w:val="20"/>
          <w:lang w:val="en-US"/>
        </w:rPr>
        <w:t>Pantone:</w:t>
      </w:r>
      <w:r w:rsidRPr="00A4354E">
        <w:rPr>
          <w:rFonts w:ascii="Arial" w:hAnsi="Arial" w:cs="Arial"/>
          <w:noProof w:val="0"/>
          <w:color w:val="000000"/>
          <w:sz w:val="20"/>
          <w:szCs w:val="20"/>
          <w:lang w:val="en-US"/>
        </w:rPr>
        <w:t xml:space="preserve"> црвена 192C/плава 280C/жута 123C,</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xml:space="preserve">– у систему </w:t>
      </w:r>
      <w:r w:rsidRPr="00A4354E">
        <w:rPr>
          <w:rFonts w:ascii="Arial" w:hAnsi="Arial" w:cs="Arial"/>
          <w:i/>
          <w:noProof w:val="0"/>
          <w:color w:val="000000"/>
          <w:sz w:val="20"/>
          <w:szCs w:val="20"/>
          <w:lang w:val="en-US"/>
        </w:rPr>
        <w:t>CMYK:</w:t>
      </w:r>
      <w:r w:rsidRPr="00A4354E">
        <w:rPr>
          <w:rFonts w:ascii="Arial" w:hAnsi="Arial" w:cs="Arial"/>
          <w:noProof w:val="0"/>
          <w:color w:val="000000"/>
          <w:sz w:val="20"/>
          <w:szCs w:val="20"/>
          <w:lang w:val="en-US"/>
        </w:rPr>
        <w:t xml:space="preserve"> црвена C0-M90-Y70-K10/плава C100-M72-Y0-K19/жута C4-M24-Y95-K0/црна K100,</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 xml:space="preserve">– у систему </w:t>
      </w:r>
      <w:r w:rsidRPr="00A4354E">
        <w:rPr>
          <w:rFonts w:ascii="Arial" w:hAnsi="Arial" w:cs="Arial"/>
          <w:i/>
          <w:noProof w:val="0"/>
          <w:color w:val="000000"/>
          <w:sz w:val="20"/>
          <w:szCs w:val="20"/>
          <w:lang w:val="en-US"/>
        </w:rPr>
        <w:t>RGB:</w:t>
      </w:r>
      <w:r w:rsidRPr="00A4354E">
        <w:rPr>
          <w:rFonts w:ascii="Arial" w:hAnsi="Arial" w:cs="Arial"/>
          <w:noProof w:val="0"/>
          <w:color w:val="000000"/>
          <w:sz w:val="20"/>
          <w:szCs w:val="20"/>
          <w:lang w:val="en-US"/>
        </w:rPr>
        <w:t xml:space="preserve"> црвена R198-G54-B60/плава R12-G64-B118/жута R237-G185-B46/црна R33-G35-B30.</w:t>
      </w:r>
    </w:p>
    <w:p w:rsidR="00A4354E" w:rsidRPr="00A4354E" w:rsidRDefault="00A4354E" w:rsidP="00A4354E">
      <w:pPr>
        <w:spacing w:after="150" w:line="276" w:lineRule="auto"/>
        <w:contextualSpacing w:val="0"/>
        <w:rPr>
          <w:rFonts w:ascii="Arial" w:hAnsi="Arial" w:cs="Arial"/>
          <w:noProof w:val="0"/>
          <w:sz w:val="20"/>
          <w:szCs w:val="20"/>
          <w:lang w:val="en-US"/>
        </w:rPr>
      </w:pPr>
      <w:r w:rsidRPr="00A4354E">
        <w:rPr>
          <w:rFonts w:ascii="Arial" w:hAnsi="Arial" w:cs="Arial"/>
          <w:noProof w:val="0"/>
          <w:color w:val="000000"/>
          <w:sz w:val="20"/>
          <w:szCs w:val="20"/>
          <w:lang w:val="en-US"/>
        </w:rPr>
        <w:t>Државна застава и Мали грб Републике Србије могу се преузети са следећег линка: http://www.media.srbija.gov.rs/medsrp/slike/grbovi_zastave_standarte_srbije.zip</w:t>
      </w:r>
    </w:p>
    <w:p w:rsidR="00A4354E" w:rsidRPr="00A4354E" w:rsidRDefault="00A4354E" w:rsidP="00A4354E">
      <w:pPr>
        <w:spacing w:after="150" w:line="276" w:lineRule="auto"/>
        <w:contextualSpacing w:val="0"/>
        <w:rPr>
          <w:rFonts w:ascii="Arial" w:hAnsi="Arial" w:cs="Arial"/>
          <w:noProof w:val="0"/>
          <w:color w:val="000000"/>
          <w:sz w:val="20"/>
          <w:szCs w:val="20"/>
          <w:lang w:val="en-US"/>
        </w:rPr>
      </w:pPr>
    </w:p>
    <w:p w:rsidR="00A4354E" w:rsidRPr="00A4354E" w:rsidRDefault="00A4354E" w:rsidP="00A4354E">
      <w:pPr>
        <w:spacing w:after="150" w:line="276" w:lineRule="auto"/>
        <w:contextualSpacing w:val="0"/>
        <w:rPr>
          <w:rFonts w:ascii="Arial" w:hAnsi="Arial" w:cs="Arial"/>
          <w:noProof w:val="0"/>
          <w:color w:val="000000"/>
          <w:sz w:val="20"/>
          <w:szCs w:val="20"/>
          <w:lang w:val="en-US"/>
        </w:rPr>
      </w:pPr>
    </w:p>
    <w:sectPr w:rsidR="00A4354E" w:rsidRPr="00A4354E" w:rsidSect="000A612A">
      <w:footerReference w:type="default" r:id="rId31"/>
      <w:pgSz w:w="12480" w:h="15690"/>
      <w:pgMar w:top="340" w:right="880" w:bottom="280" w:left="840" w:header="720" w:footer="2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1A9" w:rsidRDefault="002811A9" w:rsidP="000A612A">
      <w:r>
        <w:separator/>
      </w:r>
    </w:p>
  </w:endnote>
  <w:endnote w:type="continuationSeparator" w:id="0">
    <w:p w:rsidR="002811A9" w:rsidRDefault="002811A9" w:rsidP="000A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12A" w:rsidRPr="000A612A" w:rsidRDefault="000A612A">
    <w:pPr>
      <w:pStyle w:val="Footer"/>
      <w:jc w:val="center"/>
      <w:rPr>
        <w:caps/>
        <w:color w:val="5B9BD5"/>
      </w:rPr>
    </w:pPr>
    <w:r w:rsidRPr="000A612A">
      <w:rPr>
        <w:caps/>
        <w:noProof w:val="0"/>
        <w:color w:val="5B9BD5"/>
      </w:rPr>
      <w:fldChar w:fldCharType="begin"/>
    </w:r>
    <w:r w:rsidRPr="000A612A">
      <w:rPr>
        <w:caps/>
        <w:color w:val="5B9BD5"/>
      </w:rPr>
      <w:instrText xml:space="preserve"> PAGE   \* MERGEFORMAT </w:instrText>
    </w:r>
    <w:r w:rsidRPr="000A612A">
      <w:rPr>
        <w:caps/>
        <w:noProof w:val="0"/>
        <w:color w:val="5B9BD5"/>
      </w:rPr>
      <w:fldChar w:fldCharType="separate"/>
    </w:r>
    <w:r w:rsidR="002811A9">
      <w:rPr>
        <w:caps/>
        <w:color w:val="5B9BD5"/>
      </w:rPr>
      <w:t>1</w:t>
    </w:r>
    <w:r w:rsidRPr="000A612A">
      <w:rPr>
        <w:caps/>
        <w:color w:val="5B9BD5"/>
      </w:rPr>
      <w:fldChar w:fldCharType="end"/>
    </w:r>
  </w:p>
  <w:p w:rsidR="000A612A" w:rsidRDefault="000A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1A9" w:rsidRDefault="002811A9" w:rsidP="000A612A">
      <w:r>
        <w:separator/>
      </w:r>
    </w:p>
  </w:footnote>
  <w:footnote w:type="continuationSeparator" w:id="0">
    <w:p w:rsidR="002811A9" w:rsidRDefault="002811A9" w:rsidP="000A61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049C9"/>
    <w:rsid w:val="000A612A"/>
    <w:rsid w:val="00241920"/>
    <w:rsid w:val="00251BA3"/>
    <w:rsid w:val="002811A9"/>
    <w:rsid w:val="00497C37"/>
    <w:rsid w:val="004F5E00"/>
    <w:rsid w:val="005732F1"/>
    <w:rsid w:val="006D6D76"/>
    <w:rsid w:val="007B6E54"/>
    <w:rsid w:val="00806E64"/>
    <w:rsid w:val="00944E3C"/>
    <w:rsid w:val="00A31AF5"/>
    <w:rsid w:val="00A4354E"/>
    <w:rsid w:val="00C7289B"/>
    <w:rsid w:val="00D13326"/>
    <w:rsid w:val="00E216CB"/>
    <w:rsid w:val="00F90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84A77"/>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4354E"/>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0A612A"/>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0A612A"/>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0A612A"/>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0A612A"/>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Heading1Char">
    <w:name w:val="Heading 1 Char"/>
    <w:link w:val="Heading1"/>
    <w:uiPriority w:val="9"/>
    <w:rsid w:val="000A612A"/>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0A612A"/>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0A612A"/>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0A612A"/>
    <w:rPr>
      <w:rFonts w:ascii="Calibri Light" w:eastAsia="Times New Roman" w:hAnsi="Calibri Light"/>
      <w:b/>
      <w:bCs/>
      <w:i/>
      <w:iCs/>
      <w:color w:val="5B9BD5"/>
      <w:sz w:val="22"/>
      <w:szCs w:val="22"/>
      <w:lang w:val="en-US" w:eastAsia="en-US"/>
    </w:rPr>
  </w:style>
  <w:style w:type="paragraph" w:styleId="Header">
    <w:name w:val="header"/>
    <w:basedOn w:val="Normal"/>
    <w:link w:val="HeaderChar"/>
    <w:uiPriority w:val="99"/>
    <w:unhideWhenUsed/>
    <w:rsid w:val="000A612A"/>
    <w:pPr>
      <w:tabs>
        <w:tab w:val="center" w:pos="4680"/>
        <w:tab w:val="right" w:pos="9360"/>
      </w:tabs>
      <w:spacing w:after="200" w:line="276" w:lineRule="auto"/>
      <w:contextualSpacing w:val="0"/>
    </w:pPr>
    <w:rPr>
      <w:rFonts w:ascii="Verdana" w:hAnsi="Verdana" w:cs="Verdana"/>
      <w:noProof w:val="0"/>
      <w:sz w:val="22"/>
      <w:szCs w:val="22"/>
      <w:lang w:val="en-US"/>
    </w:rPr>
  </w:style>
  <w:style w:type="character" w:customStyle="1" w:styleId="HeaderChar">
    <w:name w:val="Header Char"/>
    <w:link w:val="Header"/>
    <w:uiPriority w:val="99"/>
    <w:rsid w:val="000A612A"/>
    <w:rPr>
      <w:rFonts w:ascii="Verdana" w:hAnsi="Verdana" w:cs="Verdana"/>
      <w:sz w:val="22"/>
      <w:szCs w:val="22"/>
      <w:lang w:val="en-US" w:eastAsia="en-US"/>
    </w:rPr>
  </w:style>
  <w:style w:type="paragraph" w:styleId="NormalIndent">
    <w:name w:val="Normal Indent"/>
    <w:basedOn w:val="Normal"/>
    <w:uiPriority w:val="99"/>
    <w:unhideWhenUsed/>
    <w:rsid w:val="000A612A"/>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0A612A"/>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0A612A"/>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0A612A"/>
    <w:rPr>
      <w:i/>
      <w:iCs/>
    </w:rPr>
  </w:style>
  <w:style w:type="character" w:styleId="Hyperlink">
    <w:name w:val="Hyperlink"/>
    <w:uiPriority w:val="99"/>
    <w:unhideWhenUsed/>
    <w:rsid w:val="000A612A"/>
    <w:rPr>
      <w:color w:val="0563C1"/>
      <w:u w:val="single"/>
    </w:rPr>
  </w:style>
  <w:style w:type="table" w:styleId="TableGrid">
    <w:name w:val="Table Grid"/>
    <w:basedOn w:val="TableNormal"/>
    <w:uiPriority w:val="59"/>
    <w:rsid w:val="000A612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0A612A"/>
    <w:pPr>
      <w:spacing w:after="200"/>
      <w:contextualSpacing w:val="0"/>
    </w:pPr>
    <w:rPr>
      <w:rFonts w:ascii="Verdana" w:hAnsi="Verdana" w:cs="Verdana"/>
      <w:b/>
      <w:bCs/>
      <w:noProof w:val="0"/>
      <w:color w:val="5B9BD5"/>
      <w:lang w:val="en-US"/>
    </w:rPr>
  </w:style>
  <w:style w:type="paragraph" w:customStyle="1" w:styleId="DocDefaults">
    <w:name w:val="DocDefaults"/>
    <w:rsid w:val="000A612A"/>
    <w:pPr>
      <w:spacing w:after="200" w:line="276" w:lineRule="auto"/>
    </w:pPr>
    <w:rPr>
      <w:sz w:val="22"/>
      <w:szCs w:val="22"/>
      <w:lang w:val="en-US" w:eastAsia="en-US"/>
    </w:rPr>
  </w:style>
  <w:style w:type="paragraph" w:styleId="Footer">
    <w:name w:val="footer"/>
    <w:basedOn w:val="Normal"/>
    <w:link w:val="FooterChar"/>
    <w:uiPriority w:val="99"/>
    <w:unhideWhenUsed/>
    <w:rsid w:val="000A612A"/>
    <w:pPr>
      <w:tabs>
        <w:tab w:val="center" w:pos="4536"/>
        <w:tab w:val="right" w:pos="9072"/>
      </w:tabs>
    </w:pPr>
  </w:style>
  <w:style w:type="character" w:customStyle="1" w:styleId="FooterChar">
    <w:name w:val="Footer Char"/>
    <w:link w:val="Footer"/>
    <w:uiPriority w:val="99"/>
    <w:rsid w:val="000A612A"/>
    <w:rPr>
      <w:rFonts w:ascii="Times New Roman" w:hAnsi="Times New Roman"/>
      <w:noProof/>
      <w:sz w:val="18"/>
      <w:szCs w:val="18"/>
      <w:lang w:eastAsia="en-US"/>
    </w:rPr>
  </w:style>
  <w:style w:type="paragraph" w:customStyle="1" w:styleId="potpis">
    <w:name w:val="potpis"/>
    <w:basedOn w:val="Normal"/>
    <w:rsid w:val="00A4354E"/>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A4354E"/>
  </w:style>
  <w:style w:type="character" w:customStyle="1" w:styleId="italik1">
    <w:name w:val="italik1"/>
    <w:rsid w:val="00A4354E"/>
    <w:rPr>
      <w:i/>
      <w:iCs/>
    </w:rPr>
  </w:style>
  <w:style w:type="paragraph" w:customStyle="1" w:styleId="f">
    <w:name w:val="f"/>
    <w:basedOn w:val="Normal"/>
    <w:rsid w:val="00A4354E"/>
    <w:pPr>
      <w:ind w:firstLine="480"/>
      <w:contextualSpacing w:val="0"/>
    </w:pPr>
    <w:rPr>
      <w:rFonts w:ascii="Verdana" w:eastAsia="Times New Roman" w:hAnsi="Verdana" w:cs="Arial"/>
      <w:noProof w:val="0"/>
      <w:sz w:val="20"/>
      <w:szCs w:val="20"/>
      <w:lang w:eastAsia="sr-Latn-RS"/>
    </w:rPr>
  </w:style>
  <w:style w:type="paragraph" w:customStyle="1" w:styleId="f1">
    <w:name w:val="f1"/>
    <w:basedOn w:val="Normal"/>
    <w:rsid w:val="00A4354E"/>
    <w:pPr>
      <w:contextualSpacing w:val="0"/>
    </w:pPr>
    <w:rPr>
      <w:rFonts w:ascii="Verdana" w:eastAsia="Times New Roman" w:hAnsi="Verdana" w:cs="Arial"/>
      <w:i/>
      <w:iCs/>
      <w:noProof w:val="0"/>
      <w:sz w:val="20"/>
      <w:szCs w:val="20"/>
      <w:lang w:eastAsia="sr-Latn-RS"/>
    </w:rPr>
  </w:style>
  <w:style w:type="paragraph" w:customStyle="1" w:styleId="clan1">
    <w:name w:val="clan1"/>
    <w:basedOn w:val="Normal"/>
    <w:rsid w:val="00A4354E"/>
    <w:pPr>
      <w:spacing w:before="330" w:after="120"/>
      <w:ind w:firstLine="480"/>
      <w:contextualSpacing w:val="0"/>
      <w:jc w:val="center"/>
    </w:pPr>
    <w:rPr>
      <w:rFonts w:ascii="Verdana" w:eastAsia="Times New Roman" w:hAnsi="Verdana" w:cs="Arial"/>
      <w:noProof w:val="0"/>
      <w:sz w:val="20"/>
      <w:szCs w:val="20"/>
      <w:lang w:eastAsia="sr-Latn-RS"/>
    </w:rPr>
  </w:style>
  <w:style w:type="character" w:customStyle="1" w:styleId="italik">
    <w:name w:val="italik"/>
    <w:rsid w:val="00A4354E"/>
  </w:style>
  <w:style w:type="numbering" w:customStyle="1" w:styleId="NoList1">
    <w:name w:val="No List1"/>
    <w:next w:val="NoList"/>
    <w:uiPriority w:val="99"/>
    <w:semiHidden/>
    <w:unhideWhenUsed/>
    <w:rsid w:val="00A4354E"/>
  </w:style>
  <w:style w:type="table" w:customStyle="1" w:styleId="TableGrid1">
    <w:name w:val="Table Grid1"/>
    <w:basedOn w:val="TableNormal"/>
    <w:next w:val="TableGrid"/>
    <w:uiPriority w:val="59"/>
    <w:rsid w:val="00A4354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A4354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262696">
      <w:bodyDiv w:val="1"/>
      <w:marLeft w:val="0"/>
      <w:marRight w:val="0"/>
      <w:marTop w:val="0"/>
      <w:marBottom w:val="0"/>
      <w:divBdr>
        <w:top w:val="none" w:sz="0" w:space="0" w:color="auto"/>
        <w:left w:val="none" w:sz="0" w:space="0" w:color="auto"/>
        <w:bottom w:val="none" w:sz="0" w:space="0" w:color="auto"/>
        <w:right w:val="none" w:sz="0" w:space="0" w:color="auto"/>
      </w:divBdr>
    </w:div>
    <w:div w:id="1044715048">
      <w:bodyDiv w:val="1"/>
      <w:marLeft w:val="0"/>
      <w:marRight w:val="0"/>
      <w:marTop w:val="0"/>
      <w:marBottom w:val="0"/>
      <w:divBdr>
        <w:top w:val="none" w:sz="0" w:space="0" w:color="auto"/>
        <w:left w:val="none" w:sz="0" w:space="0" w:color="auto"/>
        <w:bottom w:val="none" w:sz="0" w:space="0" w:color="auto"/>
        <w:right w:val="none" w:sz="0" w:space="0" w:color="auto"/>
      </w:divBdr>
    </w:div>
    <w:div w:id="1079210165">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 w:id="213733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7792</Words>
  <Characters>44421</Characters>
  <Application>Microsoft Office Word</Application>
  <DocSecurity>0</DocSecurity>
  <Lines>370</Lines>
  <Paragraphs>104</Paragraphs>
  <ScaleCrop>false</ScaleCrop>
  <Company/>
  <LinksUpToDate>false</LinksUpToDate>
  <CharactersWithSpaces>52109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2</cp:revision>
  <dcterms:created xsi:type="dcterms:W3CDTF">2024-01-13T14:11:00Z</dcterms:created>
  <dcterms:modified xsi:type="dcterms:W3CDTF">2024-01-13T14:11:00Z</dcterms:modified>
</cp:coreProperties>
</file>