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9797"/>
      </w:tblGrid>
      <w:tr w:rsidR="00A4354E" w:rsidRPr="00DA1749" w:rsidTr="00B97738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A4354E" w:rsidRPr="00DA1749" w:rsidRDefault="00EF557B" w:rsidP="00DA1749">
            <w:pPr>
              <w:pStyle w:val="NASLOVZLATO"/>
              <w:spacing w:line="360" w:lineRule="auto"/>
              <w:rPr>
                <w:sz w:val="20"/>
                <w:szCs w:val="20"/>
              </w:rPr>
            </w:pPr>
            <w:r w:rsidRPr="00DA1749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45pt;height:44.3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A4354E" w:rsidRPr="00DA1749" w:rsidRDefault="00DA1749" w:rsidP="00DA1749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DA1749">
              <w:rPr>
                <w:color w:val="FFE599"/>
              </w:rPr>
              <w:t xml:space="preserve">ПРАВИЛНИК </w:t>
            </w:r>
          </w:p>
          <w:p w:rsidR="00A4354E" w:rsidRPr="00DA1749" w:rsidRDefault="00DA1749" w:rsidP="00DA1749">
            <w:pPr>
              <w:pStyle w:val="NASLOVBELO"/>
              <w:spacing w:line="360" w:lineRule="auto"/>
            </w:pPr>
            <w:r w:rsidRPr="00DA1749">
              <w:t>О МЕТОДОЛОГИЈИ ЗА ПРОРАЧУН ИНДИКАТОРА ПОТРОШЊЕ ЕНЕРГИЈЕ У ДРУМСКОМ САОБРАЋАЈУ</w:t>
            </w:r>
          </w:p>
          <w:p w:rsidR="00A4354E" w:rsidRPr="00DA1749" w:rsidRDefault="00A4354E" w:rsidP="00DA1749">
            <w:pPr>
              <w:pStyle w:val="podnaslovpropisa"/>
              <w:spacing w:line="360" w:lineRule="auto"/>
              <w:rPr>
                <w:sz w:val="18"/>
                <w:szCs w:val="18"/>
              </w:rPr>
            </w:pPr>
            <w:r w:rsidRPr="00DA1749">
              <w:rPr>
                <w:sz w:val="18"/>
                <w:szCs w:val="18"/>
              </w:rPr>
              <w:t xml:space="preserve">("Сл. гласник РС", бр. </w:t>
            </w:r>
            <w:r w:rsidR="00EF557B" w:rsidRPr="00DA1749">
              <w:rPr>
                <w:sz w:val="18"/>
                <w:szCs w:val="18"/>
              </w:rPr>
              <w:t>98</w:t>
            </w:r>
            <w:r w:rsidRPr="00DA1749">
              <w:rPr>
                <w:sz w:val="18"/>
                <w:szCs w:val="18"/>
                <w:lang w:val="sr-Cyrl-RS"/>
              </w:rPr>
              <w:t>/2021</w:t>
            </w:r>
            <w:r w:rsidRPr="00DA1749">
              <w:rPr>
                <w:sz w:val="18"/>
                <w:szCs w:val="18"/>
              </w:rPr>
              <w:t>)</w:t>
            </w:r>
          </w:p>
        </w:tc>
      </w:tr>
    </w:tbl>
    <w:p w:rsidR="00A4354E" w:rsidRPr="00DA1749" w:rsidRDefault="00A4354E" w:rsidP="00DA1749">
      <w:pPr>
        <w:spacing w:line="360" w:lineRule="auto"/>
        <w:rPr>
          <w:rFonts w:cs="Arial"/>
        </w:rPr>
      </w:pPr>
      <w:bookmarkStart w:id="0" w:name="_GoBack"/>
      <w:bookmarkEnd w:id="0"/>
    </w:p>
    <w:p w:rsidR="00DA1749" w:rsidRPr="00DA1749" w:rsidRDefault="00DA1749" w:rsidP="00DA1749">
      <w:pPr>
        <w:spacing w:before="330" w:line="360" w:lineRule="auto"/>
        <w:ind w:firstLine="480"/>
        <w:jc w:val="center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МЕТОДОЛОГИЈА ЗА ПРОРАЧУН ИНДИКАТОРА ПОТРОШЊЕ ЕНЕРГИЈЕ У ДРУМСКОМ САОБРАЋАЈУ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Индикатор P8: Потрошња енергије моторних возила за превоз путника по оствареном транспортном раду у путник-километрима (GJ/pkm)</w:t>
      </w:r>
    </w:p>
    <w:p w:rsidR="00DA1749" w:rsidRPr="00DA1749" w:rsidRDefault="00DA1749" w:rsidP="00DA1749">
      <w:pPr>
        <w:spacing w:after="15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Овај податак се одређује преко:</w:t>
      </w:r>
    </w:p>
    <w:p w:rsidR="00DA1749" w:rsidRPr="00DA1749" w:rsidRDefault="00DA1749" w:rsidP="00DA1749">
      <w:pPr>
        <w:spacing w:after="15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1) статистичких података о продаји погонских горива (бензин, дизел, ТНГ, КПГ, биогорива) који се добијају из Енергетских биланса, део финална потрошња за енергетске сврхе у саобраћају, Републичког завода за статистику,</w:t>
      </w:r>
    </w:p>
    <w:p w:rsidR="00DA1749" w:rsidRPr="00DA1749" w:rsidRDefault="00DA1749" w:rsidP="00DA1749">
      <w:pPr>
        <w:spacing w:after="15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2) статистичких података о оствареном транспортном раду аутобуса у друмском и градском превозу, Републичког завода за статистику,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3) броја путничких возила (врсте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1</w:t>
      </w:r>
      <w:r w:rsidRPr="00DA1749">
        <w:rPr>
          <w:rFonts w:eastAsia="Times New Roman" w:cs="Arial"/>
          <w:noProof w:val="0"/>
          <w:color w:val="000000"/>
          <w:lang w:eastAsia="sr-Latn-RS"/>
        </w:rPr>
        <w:t>) и аутобуса (врсте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2</w:t>
      </w:r>
      <w:r w:rsidRPr="00DA1749">
        <w:rPr>
          <w:rFonts w:eastAsia="Times New Roman" w:cs="Arial"/>
          <w:noProof w:val="0"/>
          <w:color w:val="000000"/>
          <w:lang w:eastAsia="sr-Latn-RS"/>
        </w:rPr>
        <w:t> и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3</w:t>
      </w:r>
      <w:r w:rsidRPr="00DA1749">
        <w:rPr>
          <w:rFonts w:eastAsia="Times New Roman" w:cs="Arial"/>
          <w:noProof w:val="0"/>
          <w:color w:val="000000"/>
          <w:lang w:eastAsia="sr-Latn-RS"/>
        </w:rPr>
        <w:t>) из централног информационог система техничких прегледа возила (у даљем тексту: централни информациони систем) и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4) просечног годишњег пређеног пута (</w:t>
      </w:r>
      <w:r w:rsidRPr="00DA1749">
        <w:rPr>
          <w:rFonts w:eastAsia="Times New Roman" w:cs="Arial"/>
          <w:i/>
          <w:iCs/>
          <w:noProof w:val="0"/>
          <w:color w:val="000000"/>
          <w:lang w:eastAsia="sr-Latn-RS"/>
        </w:rPr>
        <w:t>km/voz god</w:t>
      </w:r>
      <w:r w:rsidRPr="00DA1749">
        <w:rPr>
          <w:rFonts w:eastAsia="Times New Roman" w:cs="Arial"/>
          <w:noProof w:val="0"/>
          <w:color w:val="000000"/>
          <w:lang w:eastAsia="sr-Latn-RS"/>
        </w:rPr>
        <w:t>) по врсти возила: за путничка возила (врсте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1</w:t>
      </w:r>
      <w:r w:rsidRPr="00DA1749">
        <w:rPr>
          <w:rFonts w:eastAsia="Times New Roman" w:cs="Arial"/>
          <w:noProof w:val="0"/>
          <w:color w:val="000000"/>
          <w:lang w:eastAsia="sr-Latn-RS"/>
        </w:rPr>
        <w:t>) и за аутобусе (врсте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2</w:t>
      </w:r>
      <w:r w:rsidRPr="00DA1749">
        <w:rPr>
          <w:rFonts w:eastAsia="Times New Roman" w:cs="Arial"/>
          <w:noProof w:val="0"/>
          <w:color w:val="000000"/>
          <w:lang w:eastAsia="sr-Latn-RS"/>
        </w:rPr>
        <w:t> и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3</w:t>
      </w:r>
      <w:r w:rsidRPr="00DA1749">
        <w:rPr>
          <w:rFonts w:eastAsia="Times New Roman" w:cs="Arial"/>
          <w:noProof w:val="0"/>
          <w:color w:val="000000"/>
          <w:lang w:eastAsia="sr-Latn-RS"/>
        </w:rPr>
        <w:t>) из централног информационог система.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Индикатор </w:t>
      </w: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P8</w:t>
      </w:r>
      <w:r w:rsidRPr="00DA1749">
        <w:rPr>
          <w:rFonts w:eastAsia="Times New Roman" w:cs="Arial"/>
          <w:noProof w:val="0"/>
          <w:color w:val="000000"/>
          <w:lang w:eastAsia="sr-Latn-RS"/>
        </w:rPr>
        <w:t> се израчунава уз помоћ следеће формуле:</w:t>
      </w:r>
    </w:p>
    <w:p w:rsidR="00DA1749" w:rsidRPr="00DA1749" w:rsidRDefault="00DA1749" w:rsidP="00DA1749">
      <w:pPr>
        <w:spacing w:after="0" w:line="360" w:lineRule="auto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color w:val="000000"/>
          <w:lang w:eastAsia="sr-Latn-RS"/>
        </w:rPr>
        <w:pict>
          <v:shape id="Picture 4" o:spid="_x0000_i1061" type="#_x0000_t75" alt="https://www.pravno-informacioni-sistem.rs/SlGlasnikPortal/slike/drumski-saobracaj_Page_1.png&amp;doctype=reg&amp;regactid=432869" style="width:398pt;height:208.5pt;visibility:visible;mso-wrap-style:square">
            <v:imagedata r:id="rId7" o:title="drumski-saobracaj_Page_1"/>
          </v:shape>
        </w:pic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Просечан број возила </w:t>
      </w:r>
      <w:r w:rsidRPr="00DA1749">
        <w:rPr>
          <w:rFonts w:eastAsia="Times New Roman" w:cs="Arial"/>
          <w:noProof w:val="0"/>
          <w:color w:val="000000"/>
          <w:lang w:eastAsia="sr-Latn-RS"/>
        </w:rPr>
        <w:t>по врстама возила се рачуна на следећи начин:</w:t>
      </w:r>
    </w:p>
    <w:p w:rsidR="00DA1749" w:rsidRPr="00DA1749" w:rsidRDefault="00DA1749" w:rsidP="00DA1749">
      <w:pPr>
        <w:spacing w:after="0" w:line="360" w:lineRule="auto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color w:val="000000"/>
          <w:lang w:eastAsia="sr-Latn-RS"/>
        </w:rPr>
        <w:pict>
          <v:shape id="Picture 5" o:spid="_x0000_i1060" type="#_x0000_t75" alt="https://www.pravno-informacioni-sistem.rs/SlGlasnikPortal/slike/drumski-saobracaj_Page_2.png&amp;doctype=reg&amp;regactid=432869" style="width:398pt;height:59.9pt;visibility:visible;mso-wrap-style:square">
            <v:imagedata r:id="rId8" o:title="drumski-saobracaj_Page_2"/>
          </v:shape>
        </w:pic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Индикатор A1 за P8: Потрошња енергије путничких возила (МЈ)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Индикатор </w:t>
      </w: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A1 </w:t>
      </w:r>
      <w:r w:rsidRPr="00DA1749">
        <w:rPr>
          <w:rFonts w:eastAsia="Times New Roman" w:cs="Arial"/>
          <w:noProof w:val="0"/>
          <w:color w:val="000000"/>
          <w:lang w:eastAsia="sr-Latn-RS"/>
        </w:rPr>
        <w:t>за </w:t>
      </w: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P8 </w:t>
      </w:r>
      <w:r w:rsidRPr="00DA1749">
        <w:rPr>
          <w:rFonts w:eastAsia="Times New Roman" w:cs="Arial"/>
          <w:noProof w:val="0"/>
          <w:color w:val="000000"/>
          <w:lang w:eastAsia="sr-Latn-RS"/>
        </w:rPr>
        <w:t>се израчунава применом следеће формуле:</w:t>
      </w:r>
    </w:p>
    <w:p w:rsidR="00DA1749" w:rsidRPr="00DA1749" w:rsidRDefault="00DA1749" w:rsidP="00DA1749">
      <w:pPr>
        <w:spacing w:after="0" w:line="360" w:lineRule="auto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color w:val="000000"/>
          <w:lang w:eastAsia="sr-Latn-RS"/>
        </w:rPr>
        <w:pict>
          <v:shape id="Picture 6" o:spid="_x0000_i1059" type="#_x0000_t75" alt="https://www.pravno-informacioni-sistem.rs/SlGlasnikPortal/slike/drumski-saobracaj_Page_3.png&amp;doctype=reg&amp;regactid=432869" style="width:398pt;height:17.3pt;visibility:visible;mso-wrap-style:square">
            <v:imagedata r:id="rId9" o:title="drumski-saobracaj_Page_3"/>
          </v:shape>
        </w:pic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lastRenderedPageBreak/>
        <w:t>Просечна потрошња горива путничких возила добија се на основу фактора потрошње енергије (</w:t>
      </w:r>
      <w:r w:rsidRPr="00DA1749">
        <w:rPr>
          <w:rFonts w:eastAsia="Times New Roman" w:cs="Arial"/>
          <w:i/>
          <w:iCs/>
          <w:noProof w:val="0"/>
          <w:color w:val="000000"/>
          <w:lang w:eastAsia="sr-Latn-RS"/>
        </w:rPr>
        <w:t>ECF</w:t>
      </w:r>
      <w:r w:rsidRPr="00DA1749">
        <w:rPr>
          <w:rFonts w:eastAsia="Times New Roman" w:cs="Arial"/>
          <w:noProof w:val="0"/>
          <w:color w:val="000000"/>
          <w:lang w:eastAsia="sr-Latn-RS"/>
        </w:rPr>
        <w:t>) по јединици пређеног пута изражена у [MJ/km] из EMEP/EEA упутства, по запремини мотора, EURO стандарду и погонском гориву за путничка возила (врсте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1</w:t>
      </w:r>
      <w:r w:rsidRPr="00DA1749">
        <w:rPr>
          <w:rFonts w:eastAsia="Times New Roman" w:cs="Arial"/>
          <w:noProof w:val="0"/>
          <w:color w:val="000000"/>
          <w:lang w:eastAsia="sr-Latn-RS"/>
        </w:rPr>
        <w:t>).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Индикатор A1.1 за P8: Потрошња енергије аутобуса (МЈ)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Индикатор </w:t>
      </w: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A1.1 </w:t>
      </w:r>
      <w:r w:rsidRPr="00DA1749">
        <w:rPr>
          <w:rFonts w:eastAsia="Times New Roman" w:cs="Arial"/>
          <w:noProof w:val="0"/>
          <w:color w:val="000000"/>
          <w:lang w:eastAsia="sr-Latn-RS"/>
        </w:rPr>
        <w:t>за </w:t>
      </w: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P8 </w:t>
      </w:r>
      <w:r w:rsidRPr="00DA1749">
        <w:rPr>
          <w:rFonts w:eastAsia="Times New Roman" w:cs="Arial"/>
          <w:noProof w:val="0"/>
          <w:color w:val="000000"/>
          <w:lang w:eastAsia="sr-Latn-RS"/>
        </w:rPr>
        <w:t>се израчунава уз помоћ следеће формуле:</w:t>
      </w:r>
    </w:p>
    <w:p w:rsidR="00DA1749" w:rsidRPr="00DA1749" w:rsidRDefault="00DA1749" w:rsidP="00DA1749">
      <w:pPr>
        <w:spacing w:after="0" w:line="360" w:lineRule="auto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color w:val="000000"/>
          <w:lang w:eastAsia="sr-Latn-RS"/>
        </w:rPr>
        <w:pict>
          <v:shape id="Picture 7" o:spid="_x0000_i1058" type="#_x0000_t75" alt="https://www.pravno-informacioni-sistem.rs/SlGlasnikPortal/slike/drumski-saobracaj_Page_4.png&amp;doctype=reg&amp;regactid=432869" style="width:398pt;height:17.85pt;visibility:visible;mso-wrap-style:square">
            <v:imagedata r:id="rId10" o:title="drumski-saobracaj_Page_4"/>
          </v:shape>
        </w:pic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Просечна потрошња горива аутобуса добија се на основу фактора потрошње енергије (</w:t>
      </w:r>
      <w:r w:rsidRPr="00DA1749">
        <w:rPr>
          <w:rFonts w:eastAsia="Times New Roman" w:cs="Arial"/>
          <w:i/>
          <w:iCs/>
          <w:noProof w:val="0"/>
          <w:color w:val="000000"/>
          <w:lang w:eastAsia="sr-Latn-RS"/>
        </w:rPr>
        <w:t>ECF</w:t>
      </w:r>
      <w:r w:rsidRPr="00DA1749">
        <w:rPr>
          <w:rFonts w:eastAsia="Times New Roman" w:cs="Arial"/>
          <w:noProof w:val="0"/>
          <w:color w:val="000000"/>
          <w:lang w:eastAsia="sr-Latn-RS"/>
        </w:rPr>
        <w:t>) по јединици пређеног пута, изражена у [MJ/km] из EMEP/EEA упутства, по врстама возила, запремини мотора, EURO стандарду и погонском гориву за аутобусе (врсте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2</w:t>
      </w:r>
      <w:r w:rsidRPr="00DA1749">
        <w:rPr>
          <w:rFonts w:eastAsia="Times New Roman" w:cs="Arial"/>
          <w:noProof w:val="0"/>
          <w:color w:val="000000"/>
          <w:lang w:eastAsia="sr-Latn-RS"/>
        </w:rPr>
        <w:t> и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3</w:t>
      </w:r>
      <w:r w:rsidRPr="00DA1749">
        <w:rPr>
          <w:rFonts w:eastAsia="Times New Roman" w:cs="Arial"/>
          <w:noProof w:val="0"/>
          <w:color w:val="000000"/>
          <w:lang w:eastAsia="sr-Latn-RS"/>
        </w:rPr>
        <w:t>).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Индикатор P9: Потрошња енергије теретних возила по оствареном транспортном раду у тона-километрима (GJ/tkm)</w:t>
      </w:r>
    </w:p>
    <w:p w:rsidR="00DA1749" w:rsidRPr="00DA1749" w:rsidRDefault="00DA1749" w:rsidP="00DA1749">
      <w:pPr>
        <w:spacing w:after="15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Овај податак се одређује преко:</w:t>
      </w:r>
    </w:p>
    <w:p w:rsidR="00DA1749" w:rsidRPr="00DA1749" w:rsidRDefault="00DA1749" w:rsidP="00DA1749">
      <w:pPr>
        <w:spacing w:after="15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1) статистичких података о продаји погонских горива (дизел, бензин, ТНГ, КПГ, биогорива) који се добијају из Енергетских биланса, део финална потрошња за енергетске сврхе у саобраћају, Републичког завода за статистику,</w:t>
      </w:r>
    </w:p>
    <w:p w:rsidR="00DA1749" w:rsidRPr="00DA1749" w:rsidRDefault="00DA1749" w:rsidP="00DA1749">
      <w:pPr>
        <w:spacing w:after="15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2) статистичких података о оствареном транспортном раду теретних возила у друмском превозу, Републичког завода за статистику,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3) броја теретних возила из централног информационог система (врсте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1</w:t>
      </w:r>
      <w:r w:rsidRPr="00DA1749">
        <w:rPr>
          <w:rFonts w:eastAsia="Times New Roman" w:cs="Arial"/>
          <w:noProof w:val="0"/>
          <w:color w:val="000000"/>
          <w:lang w:eastAsia="sr-Latn-RS"/>
        </w:rPr>
        <w:t>,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2</w:t>
      </w:r>
      <w:r w:rsidRPr="00DA1749">
        <w:rPr>
          <w:rFonts w:eastAsia="Times New Roman" w:cs="Arial"/>
          <w:noProof w:val="0"/>
          <w:color w:val="000000"/>
          <w:lang w:eastAsia="sr-Latn-RS"/>
        </w:rPr>
        <w:t> и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3</w:t>
      </w:r>
      <w:r w:rsidRPr="00DA1749">
        <w:rPr>
          <w:rFonts w:eastAsia="Times New Roman" w:cs="Arial"/>
          <w:noProof w:val="0"/>
          <w:color w:val="000000"/>
          <w:lang w:eastAsia="sr-Latn-RS"/>
        </w:rPr>
        <w:t>) и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4) просечног годишњег пређеног пута (</w:t>
      </w:r>
      <w:r w:rsidRPr="00DA1749">
        <w:rPr>
          <w:rFonts w:eastAsia="Times New Roman" w:cs="Arial"/>
          <w:i/>
          <w:iCs/>
          <w:noProof w:val="0"/>
          <w:color w:val="000000"/>
          <w:lang w:eastAsia="sr-Latn-RS"/>
        </w:rPr>
        <w:t>km/voz god</w:t>
      </w:r>
      <w:r w:rsidRPr="00DA1749">
        <w:rPr>
          <w:rFonts w:eastAsia="Times New Roman" w:cs="Arial"/>
          <w:noProof w:val="0"/>
          <w:color w:val="000000"/>
          <w:lang w:eastAsia="sr-Latn-RS"/>
        </w:rPr>
        <w:t>) по врсти возила: за теретна возила (врсте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1</w:t>
      </w:r>
      <w:r w:rsidRPr="00DA1749">
        <w:rPr>
          <w:rFonts w:eastAsia="Times New Roman" w:cs="Arial"/>
          <w:noProof w:val="0"/>
          <w:color w:val="000000"/>
          <w:lang w:eastAsia="sr-Latn-RS"/>
        </w:rPr>
        <w:t>,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2</w:t>
      </w:r>
      <w:r w:rsidRPr="00DA1749">
        <w:rPr>
          <w:rFonts w:eastAsia="Times New Roman" w:cs="Arial"/>
          <w:noProof w:val="0"/>
          <w:color w:val="000000"/>
          <w:lang w:eastAsia="sr-Latn-RS"/>
        </w:rPr>
        <w:t> и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3</w:t>
      </w:r>
      <w:r w:rsidRPr="00DA1749">
        <w:rPr>
          <w:rFonts w:eastAsia="Times New Roman" w:cs="Arial"/>
          <w:noProof w:val="0"/>
          <w:color w:val="000000"/>
          <w:lang w:eastAsia="sr-Latn-RS"/>
        </w:rPr>
        <w:t>) из централног информационог система.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Индикатор </w:t>
      </w: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P9 </w:t>
      </w:r>
      <w:r w:rsidRPr="00DA1749">
        <w:rPr>
          <w:rFonts w:eastAsia="Times New Roman" w:cs="Arial"/>
          <w:noProof w:val="0"/>
          <w:color w:val="000000"/>
          <w:lang w:eastAsia="sr-Latn-RS"/>
        </w:rPr>
        <w:t>се израчунава уз помоћ следеће формуле:</w:t>
      </w:r>
    </w:p>
    <w:p w:rsidR="00DA1749" w:rsidRPr="00DA1749" w:rsidRDefault="00DA1749" w:rsidP="00DA1749">
      <w:pPr>
        <w:spacing w:after="0" w:line="360" w:lineRule="auto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color w:val="000000"/>
          <w:lang w:eastAsia="sr-Latn-RS"/>
        </w:rPr>
        <w:pict>
          <v:shape id="Picture 8" o:spid="_x0000_i1057" type="#_x0000_t75" alt="https://www.pravno-informacioni-sistem.rs/SlGlasnikPortal/slike/drumski-saobracaj_Page_5.png&amp;doctype=reg&amp;regactid=432869" style="width:398pt;height:122.1pt;visibility:visible;mso-wrap-style:square">
            <v:imagedata r:id="rId11" o:title="drumski-saobracaj_Page_5"/>
          </v:shape>
        </w:pic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Индикатор A2 за P9: Потрошња енергије теретних возила (MJ)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Индикатор </w:t>
      </w: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A2 </w:t>
      </w:r>
      <w:r w:rsidRPr="00DA1749">
        <w:rPr>
          <w:rFonts w:eastAsia="Times New Roman" w:cs="Arial"/>
          <w:noProof w:val="0"/>
          <w:color w:val="000000"/>
          <w:lang w:eastAsia="sr-Latn-RS"/>
        </w:rPr>
        <w:t>за </w:t>
      </w: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P9 </w:t>
      </w:r>
      <w:r w:rsidRPr="00DA1749">
        <w:rPr>
          <w:rFonts w:eastAsia="Times New Roman" w:cs="Arial"/>
          <w:noProof w:val="0"/>
          <w:color w:val="000000"/>
          <w:lang w:eastAsia="sr-Latn-RS"/>
        </w:rPr>
        <w:t>се израчунава уз помоћ следеће формуле:</w:t>
      </w:r>
    </w:p>
    <w:p w:rsidR="00DA1749" w:rsidRPr="00DA1749" w:rsidRDefault="00DA1749" w:rsidP="00DA1749">
      <w:pPr>
        <w:spacing w:after="0" w:line="360" w:lineRule="auto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color w:val="000000"/>
          <w:lang w:eastAsia="sr-Latn-RS"/>
        </w:rPr>
        <w:pict>
          <v:shape id="Picture 9" o:spid="_x0000_i1056" type="#_x0000_t75" alt="https://www.pravno-informacioni-sistem.rs/SlGlasnikPortal/slike/drumski-saobracaj_Page_6.png&amp;doctype=reg&amp;regactid=432869" style="width:398pt;height:20.15pt;visibility:visible;mso-wrap-style:square">
            <v:imagedata r:id="rId12" o:title="drumski-saobracaj_Page_6"/>
          </v:shape>
        </w:pic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Просечна потрошња горива теретних возила добија се на основу фактора потрошње енергије (</w:t>
      </w:r>
      <w:r w:rsidRPr="00DA1749">
        <w:rPr>
          <w:rFonts w:eastAsia="Times New Roman" w:cs="Arial"/>
          <w:i/>
          <w:iCs/>
          <w:noProof w:val="0"/>
          <w:color w:val="000000"/>
          <w:lang w:eastAsia="sr-Latn-RS"/>
        </w:rPr>
        <w:t>ECF</w:t>
      </w:r>
      <w:r w:rsidRPr="00DA1749">
        <w:rPr>
          <w:rFonts w:eastAsia="Times New Roman" w:cs="Arial"/>
          <w:noProof w:val="0"/>
          <w:color w:val="000000"/>
          <w:lang w:eastAsia="sr-Latn-RS"/>
        </w:rPr>
        <w:t>) по јединици пређеног пута, изражена у [MJ/km] из EMEP/EEA упутства, по највећој дозвољеној маси (НДМ) возила, запремини мотора, EURO стандарду и погонском гориву за теретна возила (врсте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1</w:t>
      </w:r>
      <w:r w:rsidRPr="00DA1749">
        <w:rPr>
          <w:rFonts w:eastAsia="Times New Roman" w:cs="Arial"/>
          <w:noProof w:val="0"/>
          <w:color w:val="000000"/>
          <w:lang w:eastAsia="sr-Latn-RS"/>
        </w:rPr>
        <w:t>,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2</w:t>
      </w:r>
      <w:r w:rsidRPr="00DA1749">
        <w:rPr>
          <w:rFonts w:eastAsia="Times New Roman" w:cs="Arial"/>
          <w:noProof w:val="0"/>
          <w:color w:val="000000"/>
          <w:lang w:eastAsia="sr-Latn-RS"/>
        </w:rPr>
        <w:t> и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3</w:t>
      </w:r>
      <w:r w:rsidRPr="00DA1749">
        <w:rPr>
          <w:rFonts w:eastAsia="Times New Roman" w:cs="Arial"/>
          <w:noProof w:val="0"/>
          <w:color w:val="000000"/>
          <w:lang w:eastAsia="sr-Latn-RS"/>
        </w:rPr>
        <w:t>).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Индикатор M5: Просечна потрошња енергије моторних возила (toe или GJ) по еквивалентном путничком возилу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Индикатор </w:t>
      </w: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M5</w:t>
      </w:r>
      <w:r w:rsidRPr="00DA1749">
        <w:rPr>
          <w:rFonts w:eastAsia="Times New Roman" w:cs="Arial"/>
          <w:noProof w:val="0"/>
          <w:color w:val="000000"/>
          <w:lang w:eastAsia="sr-Latn-RS"/>
        </w:rPr>
        <w:t> може у потпуности да замени индикаторе P8 и P9 уколико их није могуће израчунати услед непостојања податка о потрошњи енергената по врстама моторних возила или њиховој недовољној прецизности. Овај индикатор је количник укупне потрошње енергије (по врсти горива) у друмском саобраћају према укупном броју моторних возила, која се изражавају у еквивалентним путничким возилима односно ПА јединица (у даљем тексту: ПАЈ).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Следећи подаци су неопходни да би се израчунао индикатор </w:t>
      </w:r>
      <w:r w:rsidRPr="00DA1749">
        <w:rPr>
          <w:rFonts w:eastAsia="Times New Roman" w:cs="Arial"/>
          <w:b/>
          <w:bCs/>
          <w:noProof w:val="0"/>
          <w:color w:val="000000"/>
          <w:lang w:eastAsia="sr-Latn-RS"/>
        </w:rPr>
        <w:t>M5</w:t>
      </w:r>
      <w:r w:rsidRPr="00DA1749">
        <w:rPr>
          <w:rFonts w:eastAsia="Times New Roman" w:cs="Arial"/>
          <w:noProof w:val="0"/>
          <w:color w:val="000000"/>
          <w:lang w:eastAsia="sr-Latn-RS"/>
        </w:rPr>
        <w:t>: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1) укупна потрошња енергије моторних возила у (</w:t>
      </w:r>
      <w:r w:rsidRPr="00DA1749">
        <w:rPr>
          <w:rFonts w:eastAsia="Times New Roman" w:cs="Arial"/>
          <w:i/>
          <w:iCs/>
          <w:noProof w:val="0"/>
          <w:color w:val="000000"/>
          <w:lang w:eastAsia="sr-Latn-RS"/>
        </w:rPr>
        <w:t>toe</w:t>
      </w:r>
      <w:r w:rsidRPr="00DA1749">
        <w:rPr>
          <w:rFonts w:eastAsia="Times New Roman" w:cs="Arial"/>
          <w:noProof w:val="0"/>
          <w:color w:val="000000"/>
          <w:lang w:eastAsia="sr-Latn-RS"/>
        </w:rPr>
        <w:t> или </w:t>
      </w:r>
      <w:r w:rsidRPr="00DA1749">
        <w:rPr>
          <w:rFonts w:eastAsia="Times New Roman" w:cs="Arial"/>
          <w:i/>
          <w:iCs/>
          <w:noProof w:val="0"/>
          <w:color w:val="000000"/>
          <w:lang w:eastAsia="sr-Latn-RS"/>
        </w:rPr>
        <w:t>GJ) </w:t>
      </w:r>
      <w:r w:rsidRPr="00DA1749">
        <w:rPr>
          <w:rFonts w:eastAsia="Times New Roman" w:cs="Arial"/>
          <w:noProof w:val="0"/>
          <w:color w:val="000000"/>
          <w:lang w:eastAsia="sr-Latn-RS"/>
        </w:rPr>
        <w:t>по врстама погона/горива у друмском саобраћају;</w:t>
      </w:r>
    </w:p>
    <w:p w:rsidR="00DA1749" w:rsidRPr="00DA1749" w:rsidRDefault="00DA1749" w:rsidP="00DA1749">
      <w:pPr>
        <w:spacing w:after="15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2) подела возног парка друмских моторних возила по врстама возила и по врстама погона/горива;</w:t>
      </w:r>
    </w:p>
    <w:p w:rsidR="00DA1749" w:rsidRPr="00DA1749" w:rsidRDefault="00DA1749" w:rsidP="00DA1749">
      <w:pPr>
        <w:spacing w:after="15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3) коефицијенти конверзије у ПАЈ, који одражавају разлике у просечној годишњој потрошњи енергије појединачне врсте возила у поређењу са референтним путничким возилом.</w:t>
      </w:r>
    </w:p>
    <w:p w:rsidR="00DA1749" w:rsidRPr="00DA1749" w:rsidRDefault="00DA1749" w:rsidP="00DA1749">
      <w:pPr>
        <w:spacing w:after="15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Коефицијент конверзије за сваку врсту возила у погледу еквивалентног путничког возила треба да одражава разлику у просечној потрошњи горива између путничког аутомобила и осталих врста возила. Усвојиће се, на пример, да аутобус троши просечно 15 toe/годишње, а путнички аутомобил 1 toe/годишње, те је један аутобус еквивалентан 15 ПАЈ. Поменути коефицијент може да буде изведен и добијен уз помоћ истраживања (или експертских оцена) пређеног пута и потрошње горива за одабране године; могуће је и прилагодити одговарајуће коефицијенте конверзије у односу на државе сличне са Републиком Србијом у погледу карактеристика и начина експлоатације возила. Препоручене вредности коефицијената конверзије на бази искустава европских држава дате су у наставку: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– 1 теретно возило (врста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1</w:t>
      </w:r>
      <w:r w:rsidRPr="00DA1749">
        <w:rPr>
          <w:rFonts w:eastAsia="Times New Roman" w:cs="Arial"/>
          <w:noProof w:val="0"/>
          <w:color w:val="000000"/>
          <w:lang w:eastAsia="sr-Latn-RS"/>
        </w:rPr>
        <w:t>,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2</w:t>
      </w:r>
      <w:r w:rsidRPr="00DA1749">
        <w:rPr>
          <w:rFonts w:eastAsia="Times New Roman" w:cs="Arial"/>
          <w:noProof w:val="0"/>
          <w:color w:val="000000"/>
          <w:lang w:eastAsia="sr-Latn-RS"/>
        </w:rPr>
        <w:t> и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3</w:t>
      </w:r>
      <w:r w:rsidRPr="00DA1749">
        <w:rPr>
          <w:rFonts w:eastAsia="Times New Roman" w:cs="Arial"/>
          <w:noProof w:val="0"/>
          <w:color w:val="000000"/>
          <w:lang w:eastAsia="sr-Latn-RS"/>
        </w:rPr>
        <w:t>) = 4 ПАЈ, а индивидуално: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– 1 теретно возило највеће дозвољене масе до 3.500 kg (врсте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1</w:t>
      </w:r>
      <w:r w:rsidRPr="00DA1749">
        <w:rPr>
          <w:rFonts w:eastAsia="Times New Roman" w:cs="Arial"/>
          <w:noProof w:val="0"/>
          <w:color w:val="000000"/>
          <w:lang w:eastAsia="sr-Latn-RS"/>
        </w:rPr>
        <w:t>) = 1,8 ПАЈ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– 1 теретно возило највеће дозвољене масе преко 3.500 kg (врсте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2</w:t>
      </w:r>
      <w:r w:rsidRPr="00DA1749">
        <w:rPr>
          <w:rFonts w:eastAsia="Times New Roman" w:cs="Arial"/>
          <w:noProof w:val="0"/>
          <w:color w:val="000000"/>
          <w:lang w:eastAsia="sr-Latn-RS"/>
        </w:rPr>
        <w:t> и N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3</w:t>
      </w:r>
      <w:r w:rsidRPr="00DA1749">
        <w:rPr>
          <w:rFonts w:eastAsia="Times New Roman" w:cs="Arial"/>
          <w:noProof w:val="0"/>
          <w:color w:val="000000"/>
          <w:lang w:eastAsia="sr-Latn-RS"/>
        </w:rPr>
        <w:t>) = 15 ПАЈ</w:t>
      </w:r>
    </w:p>
    <w:p w:rsidR="00DA1749" w:rsidRPr="00DA1749" w:rsidRDefault="00DA1749" w:rsidP="00DA1749">
      <w:pPr>
        <w:spacing w:after="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– 1 аутобус (врсте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2</w:t>
      </w:r>
      <w:r w:rsidRPr="00DA1749">
        <w:rPr>
          <w:rFonts w:eastAsia="Times New Roman" w:cs="Arial"/>
          <w:noProof w:val="0"/>
          <w:color w:val="000000"/>
          <w:lang w:eastAsia="sr-Latn-RS"/>
        </w:rPr>
        <w:t> и M</w:t>
      </w:r>
      <w:r w:rsidRPr="00DA1749">
        <w:rPr>
          <w:rFonts w:eastAsia="Times New Roman" w:cs="Arial"/>
          <w:noProof w:val="0"/>
          <w:color w:val="000000"/>
          <w:sz w:val="15"/>
          <w:szCs w:val="15"/>
          <w:vertAlign w:val="subscript"/>
          <w:lang w:eastAsia="sr-Latn-RS"/>
        </w:rPr>
        <w:t>3</w:t>
      </w:r>
      <w:r w:rsidRPr="00DA1749">
        <w:rPr>
          <w:rFonts w:eastAsia="Times New Roman" w:cs="Arial"/>
          <w:noProof w:val="0"/>
          <w:color w:val="000000"/>
          <w:lang w:eastAsia="sr-Latn-RS"/>
        </w:rPr>
        <w:t>) = 15 ПАЈ, и</w:t>
      </w:r>
    </w:p>
    <w:p w:rsidR="00DA1749" w:rsidRPr="00DA1749" w:rsidRDefault="00DA1749" w:rsidP="00DA1749">
      <w:pPr>
        <w:spacing w:after="150" w:line="360" w:lineRule="auto"/>
        <w:ind w:firstLine="480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noProof w:val="0"/>
          <w:color w:val="000000"/>
          <w:lang w:eastAsia="sr-Latn-RS"/>
        </w:rPr>
        <w:t>– 1 мотоцикл = 0,15 ПАЈ</w:t>
      </w:r>
    </w:p>
    <w:p w:rsidR="00DA1749" w:rsidRPr="00DA1749" w:rsidRDefault="00DA1749" w:rsidP="00DA1749">
      <w:pPr>
        <w:spacing w:after="0" w:line="360" w:lineRule="auto"/>
        <w:rPr>
          <w:rFonts w:eastAsia="Times New Roman" w:cs="Arial"/>
          <w:noProof w:val="0"/>
          <w:color w:val="000000"/>
          <w:lang w:eastAsia="sr-Latn-RS"/>
        </w:rPr>
      </w:pPr>
      <w:r w:rsidRPr="00DA1749">
        <w:rPr>
          <w:rFonts w:eastAsia="Times New Roman" w:cs="Arial"/>
          <w:color w:val="000000"/>
          <w:lang w:eastAsia="sr-Latn-RS"/>
        </w:rPr>
        <w:pict>
          <v:shape id="Picture 10" o:spid="_x0000_i1055" type="#_x0000_t75" alt="https://www.pravno-informacioni-sistem.rs/SlGlasnikPortal/slike/drumski-saobracaj_Page_7.png&amp;doctype=reg&amp;regactid=432869" style="width:398pt;height:27.65pt;visibility:visible;mso-wrap-style:square">
            <v:imagedata r:id="rId13" o:title="drumski-saobracaj_Page_7"/>
          </v:shape>
        </w:pict>
      </w:r>
    </w:p>
    <w:p w:rsidR="00DA1749" w:rsidRPr="00DA1749" w:rsidRDefault="00DA1749" w:rsidP="00DA1749">
      <w:pPr>
        <w:spacing w:line="360" w:lineRule="auto"/>
        <w:rPr>
          <w:rFonts w:cs="Arial"/>
        </w:rPr>
      </w:pPr>
    </w:p>
    <w:sectPr w:rsidR="00DA1749" w:rsidRPr="00DA1749" w:rsidSect="000A612A">
      <w:footerReference w:type="default" r:id="rId14"/>
      <w:pgSz w:w="12480" w:h="15690"/>
      <w:pgMar w:top="340" w:right="880" w:bottom="280" w:left="840" w:header="720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C8" w:rsidRDefault="00D17AC8" w:rsidP="000A612A">
      <w:r>
        <w:separator/>
      </w:r>
    </w:p>
  </w:endnote>
  <w:endnote w:type="continuationSeparator" w:id="0">
    <w:p w:rsidR="00D17AC8" w:rsidRDefault="00D17AC8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Pr="000A612A" w:rsidRDefault="000A612A">
    <w:pPr>
      <w:pStyle w:val="Footer"/>
      <w:jc w:val="center"/>
      <w:rPr>
        <w:caps/>
        <w:color w:val="5B9BD5"/>
      </w:rPr>
    </w:pPr>
    <w:r w:rsidRPr="000A612A">
      <w:rPr>
        <w:caps/>
        <w:noProof w:val="0"/>
        <w:color w:val="5B9BD5"/>
      </w:rPr>
      <w:fldChar w:fldCharType="begin"/>
    </w:r>
    <w:r w:rsidRPr="000A612A">
      <w:rPr>
        <w:caps/>
        <w:color w:val="5B9BD5"/>
      </w:rPr>
      <w:instrText xml:space="preserve"> PAGE   \* MERGEFORMAT </w:instrText>
    </w:r>
    <w:r w:rsidRPr="000A612A">
      <w:rPr>
        <w:caps/>
        <w:noProof w:val="0"/>
        <w:color w:val="5B9BD5"/>
      </w:rPr>
      <w:fldChar w:fldCharType="separate"/>
    </w:r>
    <w:r w:rsidR="00D17AC8">
      <w:rPr>
        <w:caps/>
        <w:color w:val="5B9BD5"/>
      </w:rPr>
      <w:t>1</w:t>
    </w:r>
    <w:r w:rsidRPr="000A612A">
      <w:rPr>
        <w:caps/>
        <w:color w:val="5B9BD5"/>
      </w:rPr>
      <w:fldChar w:fldCharType="end"/>
    </w:r>
  </w:p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C8" w:rsidRDefault="00D17AC8" w:rsidP="000A612A">
      <w:r>
        <w:separator/>
      </w:r>
    </w:p>
  </w:footnote>
  <w:footnote w:type="continuationSeparator" w:id="0">
    <w:p w:rsidR="00D17AC8" w:rsidRDefault="00D17AC8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241920"/>
    <w:rsid w:val="00251BA3"/>
    <w:rsid w:val="00497C37"/>
    <w:rsid w:val="004F5E00"/>
    <w:rsid w:val="005732F1"/>
    <w:rsid w:val="006D6D76"/>
    <w:rsid w:val="007B6E54"/>
    <w:rsid w:val="00806E64"/>
    <w:rsid w:val="008579A6"/>
    <w:rsid w:val="008C664E"/>
    <w:rsid w:val="008D4031"/>
    <w:rsid w:val="00944E3C"/>
    <w:rsid w:val="00A31AF5"/>
    <w:rsid w:val="00A4354E"/>
    <w:rsid w:val="00D13326"/>
    <w:rsid w:val="00D17AC8"/>
    <w:rsid w:val="00DA1749"/>
    <w:rsid w:val="00E216CB"/>
    <w:rsid w:val="00EF557B"/>
    <w:rsid w:val="00F25EBD"/>
    <w:rsid w:val="00F90180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B9DE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79A6"/>
    <w:pPr>
      <w:spacing w:after="120"/>
    </w:pPr>
    <w:rPr>
      <w:rFonts w:ascii="Arial" w:hAnsi="Arial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jc w:val="center"/>
    </w:pPr>
    <w:rPr>
      <w:rFonts w:eastAsia="Times New Roman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</w:pPr>
    <w:rPr>
      <w:rFonts w:eastAsia="Times New Roman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</w:pPr>
    <w:rPr>
      <w:rFonts w:eastAsia="Times New Roman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</w:pPr>
    <w:rPr>
      <w:rFonts w:eastAsia="Times New Roman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A4354E"/>
    <w:pPr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A4354E"/>
  </w:style>
  <w:style w:type="character" w:customStyle="1" w:styleId="italik1">
    <w:name w:val="italik1"/>
    <w:rsid w:val="00A4354E"/>
    <w:rPr>
      <w:i/>
      <w:iCs/>
    </w:rPr>
  </w:style>
  <w:style w:type="paragraph" w:customStyle="1" w:styleId="f">
    <w:name w:val="f"/>
    <w:basedOn w:val="Normal"/>
    <w:rsid w:val="00A4354E"/>
    <w:pPr>
      <w:ind w:firstLine="48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A4354E"/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clan1">
    <w:name w:val="clan1"/>
    <w:basedOn w:val="Normal"/>
    <w:rsid w:val="00A4354E"/>
    <w:pPr>
      <w:spacing w:before="330"/>
      <w:ind w:firstLine="48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A4354E"/>
  </w:style>
  <w:style w:type="numbering" w:customStyle="1" w:styleId="NoList1">
    <w:name w:val="No List1"/>
    <w:next w:val="NoList"/>
    <w:uiPriority w:val="99"/>
    <w:semiHidden/>
    <w:unhideWhenUsed/>
    <w:rsid w:val="00A4354E"/>
  </w:style>
  <w:style w:type="table" w:customStyle="1" w:styleId="TableGrid1">
    <w:name w:val="Table Grid1"/>
    <w:basedOn w:val="TableNormal"/>
    <w:next w:val="TableGrid"/>
    <w:uiPriority w:val="59"/>
    <w:rsid w:val="00A4354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4354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2024-01-26T19:35:00Z</dcterms:created>
  <dcterms:modified xsi:type="dcterms:W3CDTF">2024-01-26T19:37:00Z</dcterms:modified>
</cp:coreProperties>
</file>