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"/>
        <w:gridCol w:w="9531"/>
      </w:tblGrid>
      <w:tr w:rsidR="00A4354E" w:rsidRPr="00573000" w:rsidTr="00B97738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A4354E" w:rsidRPr="00573000" w:rsidRDefault="00573000" w:rsidP="00DA1749">
            <w:pPr>
              <w:pStyle w:val="NASLOVZLATO"/>
              <w:spacing w:line="360" w:lineRule="auto"/>
              <w:rPr>
                <w:sz w:val="20"/>
                <w:szCs w:val="20"/>
              </w:rPr>
            </w:pPr>
            <w:r w:rsidRPr="00573000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0.75pt;height:44.1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73000" w:rsidRPr="00573000" w:rsidRDefault="00573000" w:rsidP="00573000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573000">
              <w:rPr>
                <w:color w:val="FFE599"/>
              </w:rPr>
              <w:t>АКЦИОНИ ПЛАН</w:t>
            </w:r>
          </w:p>
          <w:p w:rsidR="00A4354E" w:rsidRPr="00573000" w:rsidRDefault="00573000" w:rsidP="00573000">
            <w:pPr>
              <w:pStyle w:val="NASLOVBELO"/>
              <w:spacing w:line="360" w:lineRule="auto"/>
            </w:pPr>
            <w:r w:rsidRPr="00573000">
              <w:t>ЗА 2022. И 2023. ГОДИНУ ЗА СПРОВОЂЕЊЕ СТРАТЕГИЈЕ ЗА РОДНУ РАВНОПРАВНОСТ ЗА ПЕРИОД ОД 2021. ДО 2030. ГОДИНЕ</w:t>
            </w:r>
          </w:p>
          <w:p w:rsidR="00A4354E" w:rsidRPr="00573000" w:rsidRDefault="00A4354E" w:rsidP="00573000">
            <w:pPr>
              <w:pStyle w:val="podnaslovpropisa"/>
              <w:spacing w:line="360" w:lineRule="auto"/>
              <w:rPr>
                <w:sz w:val="18"/>
                <w:szCs w:val="18"/>
              </w:rPr>
            </w:pPr>
            <w:r w:rsidRPr="00573000">
              <w:rPr>
                <w:sz w:val="18"/>
                <w:szCs w:val="18"/>
              </w:rPr>
              <w:t xml:space="preserve">("Сл. гласник РС", бр. </w:t>
            </w:r>
            <w:r w:rsidR="00EF557B" w:rsidRPr="00573000">
              <w:rPr>
                <w:sz w:val="18"/>
                <w:szCs w:val="18"/>
              </w:rPr>
              <w:t>9</w:t>
            </w:r>
            <w:r w:rsidR="00573000" w:rsidRPr="00573000">
              <w:rPr>
                <w:sz w:val="18"/>
                <w:szCs w:val="18"/>
              </w:rPr>
              <w:t>9</w:t>
            </w:r>
            <w:r w:rsidRPr="00573000">
              <w:rPr>
                <w:sz w:val="18"/>
                <w:szCs w:val="18"/>
                <w:lang w:val="sr-Cyrl-RS"/>
              </w:rPr>
              <w:t>/202</w:t>
            </w:r>
            <w:r w:rsidR="00573000" w:rsidRPr="00573000">
              <w:rPr>
                <w:sz w:val="18"/>
                <w:szCs w:val="18"/>
                <w:lang w:val="en-US"/>
              </w:rPr>
              <w:t>2</w:t>
            </w:r>
            <w:r w:rsidRPr="00573000">
              <w:rPr>
                <w:sz w:val="18"/>
                <w:szCs w:val="18"/>
              </w:rPr>
              <w:t>)</w:t>
            </w:r>
          </w:p>
        </w:tc>
      </w:tr>
    </w:tbl>
    <w:p w:rsidR="00573000" w:rsidRPr="00573000" w:rsidRDefault="00573000" w:rsidP="00573000">
      <w:pPr>
        <w:spacing w:before="330"/>
        <w:ind w:firstLine="480"/>
        <w:jc w:val="center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I. УВОД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Акциони план за 2022. и 2023. годину за спровођење Стратегије за родну равноправност за период од 2021. до 2030. године (у даљем тексту: Акциони план) представља документ јавне политике који се доноси ради операционализације и остваривања општег и посебних циљева предвиђених Стратегијом за родну равноправност за период од 2021. до 2030. године („Службени гласник РС”, број 103/21).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Стратегијом за родну равноправност за период од 2021. до 2030. године (у даљем тексту: Стратегија) предвиђено је доношење акционих планова ради остваривања циљева и планираних мера. Пре истека периода важења првог двогодишњег aкционог плана приступиће се изради извештаја о резултатима спровођења тог акционог плана, односно резултатима о реализацији активности предвиђених овим документом јавне политике како би се започео процес израде другог акционог плана (за период од 2024. године).</w:t>
      </w:r>
    </w:p>
    <w:p w:rsidR="00573000" w:rsidRPr="00573000" w:rsidRDefault="00573000" w:rsidP="00573000">
      <w:pPr>
        <w:spacing w:before="330"/>
        <w:ind w:firstLine="480"/>
        <w:jc w:val="center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II. МЕТОДОЛОГИЈА ИЗРАДЕ АКЦИОНОГ ПЛАНА</w:t>
      </w:r>
    </w:p>
    <w:p w:rsidR="00573000" w:rsidRPr="00573000" w:rsidRDefault="00573000" w:rsidP="00573000">
      <w:pPr>
        <w:spacing w:after="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Решењем Министарства за људска и мањинска права и друштвени дијалог од 28. априла 2021. године</w:t>
      </w:r>
      <w:r w:rsidRPr="00573000">
        <w:rPr>
          <w:rFonts w:eastAsia="Times New Roman" w:cs="Arial"/>
          <w:noProof w:val="0"/>
          <w:color w:val="000000"/>
          <w:sz w:val="15"/>
          <w:szCs w:val="15"/>
          <w:vertAlign w:val="superscript"/>
          <w:lang w:eastAsia="sr-Latn-RS"/>
        </w:rPr>
        <w:t>1</w:t>
      </w:r>
      <w:r w:rsidRPr="00573000">
        <w:rPr>
          <w:rFonts w:eastAsia="Times New Roman" w:cs="Arial"/>
          <w:noProof w:val="0"/>
          <w:color w:val="000000"/>
          <w:lang w:eastAsia="sr-Latn-RS"/>
        </w:rPr>
        <w:t>, образована је Посебна радна група за припрему Предлога Стратегије за родну равноправност за период 2021–2030. и Предлога акционог плана за њено спровођење за период 2021–2023. године, којом је руководила потпредседница Владе и председница Координационог тела за родну равноправност проф. др Зорана Михајловић, а министарка за људска и мањинска права и друштвени дијалог Гордана Чомић била заменица председнице Посебне радне групе.</w:t>
      </w:r>
    </w:p>
    <w:p w:rsidR="00573000" w:rsidRPr="00573000" w:rsidRDefault="00573000" w:rsidP="00573000">
      <w:pPr>
        <w:spacing w:after="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Посебну радну групу чинили су представници и представнице као и њихови заменици и заменице: Координационог тела за родну равноправност, Министарства за људска и мањинска права и друштвени дијалог, Министарства за европске интеграције, Министарства привреде, Министарства пољопривреде, шумарства и водопривреде, Министарства заштите животне средине, Министарства финансија, Министарства грађевинарства, саобраћаја и инфраструктуре, Министарства за бригу о селу, Министарства трговине, туризма и телекомуникација, Министарства правде, Министарства државне управе и локалне самоуправе, Министарства за рад, запошљавање, борачка и социјална питања, Министарства за бригу о породици и демографију, Министарства омладине и спорта, Министарства културе и информисања, Министарства унутрашњих послова, Министарства спољних послова, Министарства рударства и енергетике, Републичког секретаријата за јавне политике, Републичког завода за статистику, Министарства одбране</w:t>
      </w:r>
      <w:r w:rsidRPr="00573000">
        <w:rPr>
          <w:rFonts w:eastAsia="Times New Roman" w:cs="Arial"/>
          <w:noProof w:val="0"/>
          <w:color w:val="000000"/>
          <w:sz w:val="15"/>
          <w:szCs w:val="15"/>
          <w:vertAlign w:val="superscript"/>
          <w:lang w:eastAsia="sr-Latn-RS"/>
        </w:rPr>
        <w:t>2</w:t>
      </w:r>
      <w:r w:rsidRPr="00573000">
        <w:rPr>
          <w:rFonts w:eastAsia="Times New Roman" w:cs="Arial"/>
          <w:noProof w:val="0"/>
          <w:color w:val="000000"/>
          <w:lang w:eastAsia="sr-Latn-RS"/>
        </w:rPr>
        <w:t>, Тима за социјално укључивање и смањење сиромаштва, Српске академије наука и уметности, Сталне конференције градова и општина, као и удружења: Фондација Ана и Владе Дивац, Фондације социјалне и демократске иницијативе (ФОСДИ), Иницијативе за равноправност, иновативност и друштвени ангажман.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Влада је усвојила Стратегију на седници одржаној 14. октобра 2021. године. Стратегијом је прописан рок од 90 дана од дана усвајања Стратегије у коме је потребно припремити и усвојити акциони план за њено спровођење. Експертски тим припремио је Полазне основе за акциони план, које су достављене Министарству за људска и мањинска права и друштвени дијалог новембра 2021. године на даље поступање.</w:t>
      </w:r>
    </w:p>
    <w:p w:rsidR="00573000" w:rsidRPr="00573000" w:rsidRDefault="00573000" w:rsidP="00573000">
      <w:pPr>
        <w:spacing w:after="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Израда Стратегије и Акционог плана за њено спровођење подржана је кроз пројекат „Кључни кораци ка родној равноправности (фаза 2)”, који спроводи Агенција Уједињених нација за родну равноправност и оснаживање жена (UN Women) у сарадњи са Координационим телом за родну равноправност, а уз финансијску подршку ЕУ.</w:t>
      </w:r>
      <w:r w:rsidRPr="00573000">
        <w:rPr>
          <w:rFonts w:eastAsia="Times New Roman" w:cs="Arial"/>
          <w:noProof w:val="0"/>
          <w:color w:val="000000"/>
          <w:sz w:val="15"/>
          <w:szCs w:val="15"/>
          <w:vertAlign w:val="superscript"/>
          <w:lang w:eastAsia="sr-Latn-RS"/>
        </w:rPr>
        <w:t>3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Ради консултација, Министарство за људска и мањинска права и друштвени дијалог је 20. децембра 2021. године ставило на увид јавности Предлог акционог плана на својој Интернет презентацији и порталу е-Управа. Том приликом, позвало је, на основу члана 41. став 1. тачка 3) Закона о планском систему Републике Србије, на онлајн консултације представнике свих органа јавне власти у Републици Србији, заинтересоване грађане и грађанке, привредна друштва и социјалне партнере, организације цивилног друштва, представнике академске заједнице и друге заинтересоване субјекте да доставе своје сугестије и коментаре Министарству на предвиђеном обрасцу до 31. децембра 2021. године на електронску адресу: antidiskriminacija.rodna@minljmpdd.gov.rs. До предвиђеног рока, Министарство је на назначену електронску адресу примило једанаест интервенција заинтересоване јавности.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Јавна расправа о Предлогу акционог плана спроведена је од 20. јануара до 8. фебруара 2022. године у складу са Закључком Одбора за правни систем и државне органе Владе 05 број 021-12649/2021-2 од 17. јануара 2022. године, а на основу члана 36. Закона о планском систему Републике Србије. Јавна расправа се одвијала онлајн, а предлози, сугестије и коментари су се достављали на електронску адресу: javnarasprava@minljmpdd.gov.rs Министарства за људска и мањинска права и друштвени дијалог. Предлог акционог плана, који је био на јавној расправи, јавности је био доступан на Интернет презентацији Министарства и на Порталу „еКонсултације”. До назначеног рока, своје прилоге су послали: Миодраг Поповић, Мрежа за подршку женама 45+ и Министарство одбране.</w:t>
      </w:r>
    </w:p>
    <w:p w:rsidR="00573000" w:rsidRPr="00573000" w:rsidRDefault="00573000" w:rsidP="00573000">
      <w:pPr>
        <w:spacing w:after="150"/>
        <w:ind w:firstLine="480"/>
        <w:jc w:val="both"/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</w:pPr>
      <w:r w:rsidRPr="00573000"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  <w:t>––––––––</w:t>
      </w:r>
    </w:p>
    <w:p w:rsidR="00573000" w:rsidRPr="00573000" w:rsidRDefault="00573000" w:rsidP="00573000">
      <w:pPr>
        <w:spacing w:after="150"/>
        <w:ind w:firstLine="480"/>
        <w:jc w:val="both"/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</w:pPr>
      <w:r w:rsidRPr="00573000"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  <w:t>1 Решење број 021-01-00013/2021-01 од 28. априла 2021. године.</w:t>
      </w:r>
    </w:p>
    <w:p w:rsidR="00573000" w:rsidRPr="00573000" w:rsidRDefault="00573000" w:rsidP="00573000">
      <w:pPr>
        <w:spacing w:before="330"/>
        <w:ind w:firstLine="480"/>
        <w:jc w:val="center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III. ОСТВАРИВАЊЕ ОПШТЕГ И ПОСЕБНИХ ЦИЉЕВА СПРОВОЂЕЊЕМ МЕРА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У складу са Стратегијом, Акциони план предвиђа:</w:t>
      </w:r>
    </w:p>
    <w:p w:rsidR="00573000" w:rsidRPr="00573000" w:rsidRDefault="00573000" w:rsidP="00573000">
      <w:pPr>
        <w:spacing w:after="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b/>
          <w:bCs/>
          <w:noProof w:val="0"/>
          <w:color w:val="000000"/>
          <w:lang w:eastAsia="sr-Latn-RS"/>
        </w:rPr>
        <w:lastRenderedPageBreak/>
        <w:t>Општи стратешки циљ: </w:t>
      </w:r>
      <w:r w:rsidRPr="00573000">
        <w:rPr>
          <w:rFonts w:eastAsia="Times New Roman" w:cs="Arial"/>
          <w:noProof w:val="0"/>
          <w:color w:val="000000"/>
          <w:lang w:eastAsia="sr-Latn-RS"/>
        </w:rPr>
        <w:t>Превазилажење родног јаза и остваривање родне равноправности као предуслов за развој друштва и побољшање свакодневног живота жена и мушкараца, девојчица и дечака.</w:t>
      </w:r>
    </w:p>
    <w:p w:rsidR="00573000" w:rsidRPr="00573000" w:rsidRDefault="00573000" w:rsidP="00573000">
      <w:pPr>
        <w:spacing w:after="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b/>
          <w:bCs/>
          <w:noProof w:val="0"/>
          <w:color w:val="000000"/>
          <w:lang w:eastAsia="sr-Latn-RS"/>
        </w:rPr>
        <w:t>Посебан циљ 1: </w:t>
      </w:r>
      <w:r w:rsidRPr="00573000">
        <w:rPr>
          <w:rFonts w:eastAsia="Times New Roman" w:cs="Arial"/>
          <w:noProof w:val="0"/>
          <w:color w:val="000000"/>
          <w:lang w:eastAsia="sr-Latn-RS"/>
        </w:rPr>
        <w:t>Смањен родни јаз у економији, науци и образовању као предуслов и подстицај социо-економског развоја друштва;</w:t>
      </w:r>
    </w:p>
    <w:p w:rsidR="00573000" w:rsidRPr="00573000" w:rsidRDefault="00573000" w:rsidP="00573000">
      <w:pPr>
        <w:spacing w:after="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b/>
          <w:bCs/>
          <w:noProof w:val="0"/>
          <w:color w:val="000000"/>
          <w:lang w:eastAsia="sr-Latn-RS"/>
        </w:rPr>
        <w:t>Посебан циљ 2: </w:t>
      </w:r>
      <w:r w:rsidRPr="00573000">
        <w:rPr>
          <w:rFonts w:eastAsia="Times New Roman" w:cs="Arial"/>
          <w:noProof w:val="0"/>
          <w:color w:val="000000"/>
          <w:lang w:eastAsia="sr-Latn-RS"/>
        </w:rPr>
        <w:t>Обезбеђене једнаке могућности за остваривање и заштиту људских права као претпоставка развоја и безбедног друштва;</w:t>
      </w:r>
    </w:p>
    <w:p w:rsidR="00573000" w:rsidRPr="00573000" w:rsidRDefault="00573000" w:rsidP="00573000">
      <w:pPr>
        <w:spacing w:after="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b/>
          <w:bCs/>
          <w:noProof w:val="0"/>
          <w:color w:val="000000"/>
          <w:lang w:eastAsia="sr-Latn-RS"/>
        </w:rPr>
        <w:t>Посебан циљ 3:</w:t>
      </w:r>
      <w:r w:rsidRPr="00573000">
        <w:rPr>
          <w:rFonts w:eastAsia="Times New Roman" w:cs="Arial"/>
          <w:noProof w:val="0"/>
          <w:color w:val="000000"/>
          <w:lang w:eastAsia="sr-Latn-RS"/>
        </w:rPr>
        <w:t> Успостављена приступачна и свеобухватна здравствена заштита и обезбеђена социјална сигурност;</w:t>
      </w:r>
    </w:p>
    <w:p w:rsidR="00573000" w:rsidRPr="00573000" w:rsidRDefault="00573000" w:rsidP="00573000">
      <w:pPr>
        <w:spacing w:after="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b/>
          <w:bCs/>
          <w:noProof w:val="0"/>
          <w:color w:val="000000"/>
          <w:lang w:eastAsia="sr-Latn-RS"/>
        </w:rPr>
        <w:t>Посебан циљ 4:</w:t>
      </w:r>
      <w:r w:rsidRPr="00573000">
        <w:rPr>
          <w:rFonts w:eastAsia="Times New Roman" w:cs="Arial"/>
          <w:noProof w:val="0"/>
          <w:color w:val="000000"/>
          <w:lang w:eastAsia="sr-Latn-RS"/>
        </w:rPr>
        <w:t> Успостављен целовит и функционалан систем за креирање и спровођење родно одговорних јавних политика и буџета.</w:t>
      </w:r>
    </w:p>
    <w:p w:rsidR="00573000" w:rsidRPr="00573000" w:rsidRDefault="00573000" w:rsidP="00573000">
      <w:pPr>
        <w:spacing w:after="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b/>
          <w:bCs/>
          <w:noProof w:val="0"/>
          <w:color w:val="000000"/>
          <w:lang w:eastAsia="sr-Latn-RS"/>
        </w:rPr>
        <w:t>Мере за остваривање посебних циљева: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Посебан циљ 1: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1.1. Подршка иновативним програмима и услугама за активацију жена на тржишту рада, и њихову повећану запошљивост и самозапошљавање, те креирање радних места за жене са додатно отежаним приступом одрживом запошљавању и самозапошљавању;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1.2. Препознавање, вредновање и редистрибуција неплаћеног кућног рада и повећање расположивог времена за плаћени рад, лични развој и слободно време;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1.3. Смањење платног јаза између жена и мушкараца на тржишту рада у свим секторима и повећање учешћа жена у високо плаћеним пословима;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1.4. Успостављање системске подршке за започињање, развој и раст бизниса у већинском власништву жена и повећање профитабилности њихових предузетничких активности;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1.5. Успостављање системске подршке за подстицање учешћа жена у друштвеним и технолошким иновацијама и повећању користи од иновационе делатности;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1.6. Уродњавање јавних политика и законодавства у области предшколског и основношколског васпитања и образовања, јачање капацитета свих релевантних актера и институција и подизања нивоа свести о значају остваривања родне равноправности;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1.7. Уродњавање јавних политика и законодавства у области средњег образовања и васпитања, јачање капацитета свих релевантних актера и институција, подизање нивоа свести о значају остваривања родне равноправности и промоција инклузивног родно сензитивног доживотног учења;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1.8. Уродњавање јавних политика и законодавства у области образовања и науке, јачање капацитета свих релевантних актера и институција, подизања нивоа свести о значају остваривања родне равноправности и успостављање једнаких могућности за каријерно напредовање запослених жена и мушкараца.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Посебан циљ 2: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2.1. Успостављање институционалних претпоставки и нормативних гаранција за владавину права, једнаке могућности приступа правди и обезбеђивање ефикасне и делотворне заштите људских права и родне равноправности;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2.2. Унапређена безбедност жена у миру, конфликту и постконфликтном опоравку друштва, кризним и ванредним ситуацијама, кроз интегралну примену Резолуције 1325 СБ УН–Жене, мир и безбедност у Републици Србији;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2.3. Унапређена безбедност жена и девојчица у јавној и приватној сфери кроз елиминацију свих облика насиља, укључујући трговину људима, сексуалне и друге облике експлоатације, посебно у време криза и ванредних ситуација;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2.4. Јачање капацитета, унапређивање институционалног и нормативног оквира родне равноправности у политичком животу и обезбеђивање равноправног учешћа жена и мушкараца, посебно рањивих група у одлучивању о јавним пословима.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Посебан циљ 3: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3.1. Унапређење доступности и квалитета здравствене заштите без дискриминације, укључујући програме ране превенције сексуалног и репродуктивног здравља, рака дојке и рака грлића материце, као и подизање свести о савременим облицима контрацепције и побољшање приступа услугама за планирање породице;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3.2. Обезбеђење социјалне сигурности, смањење сиромаштва, социјалне искључености и унапређење доступности услуга социјалне заштите ради очувања и повећања квалитета живота, благостања жена и мушкараца из рањивих група, као и подршке породицама у задовољењу животних потреба.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Посебан циљ 4: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4.1. Унапређени капацитети, институционални и нормативни оквир који обликују амбијент у коме се унапређује родна равноправност са акцентом на институционалне механизме родне равноправности као део целовитог и функционалног система и механизама за креирање родно одговорних јавних политика;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4.2. Развој и унапређење родне статистике, повећање доступности података и информација као и коришћење података који одражавају стварност живота жена и мушкараца, девојчица и дечака за креирање политика;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4.3. Континуирана и појачана примена родно одговорног буџетирања на националном, покрајинском и локалном нивоу у поступку планирања и извршења буџета, институционализација РОБ-а у буџетском систему РС, и повећање улагања у родну равноправност;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Мера 4.4. Унапређени капацитети за креирање родно одговорних ресорних јавних политика, анализу и праћење ефеката јавних политика на остваривање родне равноправности.</w:t>
      </w:r>
    </w:p>
    <w:p w:rsidR="00573000" w:rsidRPr="00573000" w:rsidRDefault="00573000" w:rsidP="00573000">
      <w:pPr>
        <w:spacing w:after="150"/>
        <w:ind w:firstLine="480"/>
        <w:jc w:val="both"/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</w:pPr>
      <w:r w:rsidRPr="00573000"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  <w:t>––––––––</w:t>
      </w:r>
    </w:p>
    <w:p w:rsidR="00573000" w:rsidRPr="00573000" w:rsidRDefault="00573000" w:rsidP="00573000">
      <w:pPr>
        <w:spacing w:after="150"/>
        <w:ind w:firstLine="480"/>
        <w:jc w:val="both"/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</w:pPr>
      <w:r w:rsidRPr="00573000"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  <w:t>2 Измена и допуна Решења број 021-01-00013/2021-01 од 17. маја 2021. године.</w:t>
      </w:r>
    </w:p>
    <w:p w:rsidR="00573000" w:rsidRPr="00573000" w:rsidRDefault="00573000" w:rsidP="00573000">
      <w:pPr>
        <w:spacing w:after="150"/>
        <w:ind w:firstLine="480"/>
        <w:jc w:val="both"/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</w:pPr>
      <w:r w:rsidRPr="00573000">
        <w:rPr>
          <w:rFonts w:eastAsia="Times New Roman" w:cs="Arial"/>
          <w:i/>
          <w:iCs/>
          <w:noProof w:val="0"/>
          <w:color w:val="000000"/>
          <w:sz w:val="15"/>
          <w:szCs w:val="15"/>
          <w:lang w:eastAsia="sr-Latn-RS"/>
        </w:rPr>
        <w:t>3 НАПОМЕНА: У време усвајања Стратегије за родну равноправност и Акционог плана за њено спровођење област родне равноправности била је у надлежности Министарства за људска и мањинска права и друштвени дијалог. С обзиром на то да се избори у Србији одржавају у априлу 2022 године могуће је да област родне равноправности буде у надлежности неког другог министарства. У том случају све обавезе код којих се наводи Министарство за људска и мањинска права преузело министарство у чијој надлежности буде област родне равноправности.</w:t>
      </w:r>
    </w:p>
    <w:p w:rsidR="00573000" w:rsidRPr="00573000" w:rsidRDefault="00573000" w:rsidP="00573000">
      <w:pPr>
        <w:spacing w:before="330"/>
        <w:ind w:firstLine="480"/>
        <w:jc w:val="center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IV. ПРОЦЕНА ФИНАНСИЈСКИХ СРЕДСТАВА НЕОПХОДНИХ ЗА СПРОВОЂЕЊЕ АКЦИОНОГ ПЛАНА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Процену финансијских средстава неопходних за реализацију посебних циљева, мера и активности обавио је предлагач овог акционог плана (Министарство за људска и мањинска права и друштвени дијалог) у складу са планским, односно буџетским процедурама. Процена неопходних средстава вршена је по изворима средстава, најпре из буџета Републике Србије, као и извора из донаторских средстава с тим да ће се у наредном периоду ближе дефинисати оквир потребних средстава или апликација према одређеним донаторима, посебно у ситуацијама када је за аплицирање у погледу донаторских средстава претходно потребно израдити одређена истраживања, односно појединачне анализе или прикупљање других релевантних података за мере из овог акционог плана.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Акционим планом предвиђено је да се општи циљ реализује кроз четири посебна циља, чија имплементација ће се остваривати кроз мере и активности дефинисане у оквиру мера у 2022. и 2023. години: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Средства за предметни акциони план обезбеђена су Законом о буџету Републике Србије за 2022. годину („Службени гласник РС”, број 110/21) у оквиру раздела надлежних министарстава или других државних органа, који су носиоци појединачних активности. Укупнa средства по наведеним програмима обухватаће и средства за реализацију појединачних активности из овог акционог плана, по посебним циљевима, и то: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1) За посебни циљ 1 – Смањен родни јаз у економији, науци и образовању као предуслов и подстицај социо-економског развоја друштва у разделима: Министартсва за људска и мањинска прва и друштвени дијалог и Министарства просвете, науке и технолошког развоја: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26 – Министарство просвете, науке и технолошког развоја у оквиру планираних средстава за: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– Програм 0201 – Развој науке и технологије, Функција 140 – Основно истраживање, Програмска активност 0013 – Подршка раду Фонда за науку – у износу од 5.900.000,00 динара у 2022. години,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– Програм 0201 – Развој науке и технологије, Функција 140 – Основно истраживање, Програмска активност 0001 – Подршка реализацији општег интереса у научно истраживачкој делатности – у износу од 12.000.000,00 динара у 2023. години,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– Програм 0201 – Развој науке и технологије, Функција 140 – Основно истраживање, Програмска активност 0011 – Подршка раду Научно-технолошког парка Београд – у износу од 2.000.000,00 динара у 2023. години,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– Програм 0201 – Развој науке и технологије, Функција 140 – Основно истраживање, Програмска активност 0006 – Подршка раду Центара за промоцију науке – у износу од 500.000,00 динара у 2022. години,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– Програм 2001 – Уређење, надзор и развој свих нивоа образовног система, Функција 980 – Образовање некласификовано на другом месту, Програмска активност 0012 – Повећање доступности образовања и васпитања, превенција осипања и дискриминације – у износу од 2.600.000,00 динара у 2022. години,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– Програм 2001 – Уређење, надзор и развој свих нивоа образовног система, Функција 980 – Образовање некласификовано на другом месту, Програмска активност 0006 – Стручно образовање и образовање одраслих – у износу од 4.500.000,00 динара у 2022. години,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– Програм 2001 – Уређење, надзор и развој свих нивоа образовног система, Функција 980 – Образовање некласификовано на другом месту, Програмска активност 0005 – Развој програма уџбеника – у износу од 14.000.000,00 динара у 2022. години и 17.700.000,00 динара у 2023. години,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– Програм 2001 – Уређење, надзор и развој свих нивоа образовног система, Функција 980 – Образовање некласификовано на другом месту, Програмска активност 0007 – Професионални развој запослених у образовању – у износу од 30.797.000,00 динара у 2022. години и 680.000,00 динара у 2023. години;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33 – Министарство за људска и мањинска права и друштвени дијалог у оквиру планираних средстава за Програм 1001 – Унапређење и заштита људских права и слобода, Функција 110 – Извршни и законодавни органи, финансијски и фискални послови и спољни послови, Програмска активност 0005 – Стварање услова за политику једнаких могућности – редовна средства у оквиру лимита.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2) За посебни циљ 2 – Обезбеђене једнаке могућности за остваривање и заштиту људских права као претпоставка развоја и безбедности друштва у разделима Министарства правде, Министарства за људска и мањинска права и друштвени дијалог, Министарства одбране и Министарства државне управе и локалне самоуправе: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23 – Министарство правде у оквиру планираних средстава за Програм 1602 – Уређење и управљање у систему правосуђа, Функција 360 – Јавни ред и безбедност некласификован на другом месту, Програмска активност 0010 – Администрација и управљање – редовна средства у оквиру лимита;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33 – Министарство за људска и мањинска права и друштвени дијалог у оквиру планираних средстава за Програм 1001 – Унапређење и заштита људских права и слобода, Функција 110 – Извршни и законодавни органи, финансијски и фискални послови и спољни послови, Програмска активност 0005 – Стварање услова за политику једнаких могућности – редовна средства у оквиру лимита;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19 – Министарство одбране за Програм 1703 – Операције и функционисање МО и ВС, Функција 210 – Војна одбрана, Програмска активност 0001 – Функционисање МО и ВС – у износу од 1.975.000,00 динара у 2022. години;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23.3 – Правосудна академија за Програм 1602 – Уређење и управљање у систему правосуђа, Функција 360 – Јавни ред и безбедност некласификован на другом месту, Програмска активност 0009 – Стручно усавршавање за будуће и постојеће носиоце правосудне функције – редовна средства у оквиру лимита.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3) За посебни циљ 3 – Успостављена приступачна и свеобухватна здравствена заштита и обезбеђена социјална сигурност у разделима Министарства за рад, запошљавање, борачка и социјална питања, Министарства здравља и Министарства за бригу о породици и демографију: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30 – Министарство за рад, запошљавање, борачка и социјална питања, у оквиру планираних средстава за Програм 0803 – Активна политика запошљавања, Функција 412 – Општи послови по питању рада, Програмска активност 0005 – Подстицање запошљавања особа са инвалидитетом путем Националне службе за запошљавање – редовна средства у оквиру лимита;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27 – Министарство здравља у оквиру планираних средстава за Програм 1801 – Уређење и надзор у области здравства, Функција 760 – Здравство некласификовано на другом месту, Програмска активност 0001 – Уређење здравственог система – редовна средства у оквиру лимита;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34 – Министарство за бригу о породици и демографију за Програм 0903 – Породично-правна заштита грађана, Функција 040 – Породица и деца, Програмска активност 0008 – Подршка смањењу негативне миграције младих – редовна средства у оквиру лимита.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4) За посебни циљ 4 – Успостављен целовит и функционални систем креирања и спровођења родно одговорних јавних политика и буџета у разделима Министарства за људска и мањинска права и друштвени дијалог, Министарства државне управе и локалне самоуправе и Републичког завода за статистику: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33 – Министарство за људска и мањинска права и друштвени дијалог у оквиру планираних средстава за Програм 1001 – Унапређење и заштита људских права и слобода, Функција 110 – Извршни и законодавни органи, финансијски и фискални послови и спољни послови, Програмска активност 0005 – Стварање услова за политику једнаких могућности – редовна средства у оквиру лимита;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* Раздео 39 – Републички завод за статистику за Програм 0611 – Израда резултата званичне статистике, Функција 130 – Опште услуге, Програмска активност 0001 – Демографија и друштвене статистике – у износу од 4.700.000,00 динара у 2022. години.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У 2022. години средства су обезбеђена у укупном износу од 64.972.000,00 динара, а у 2023. години ће се планирати у износу од 32.380.000,00 динара, а у складу са билансним могућностима буџета Републике Србије. Укупно за цео период важења овог акционог плана – 97.352.000,00 динара.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Сва средства неопходна за реализацију активности приказана у Предлогу акционог плана у 2022. години обезбеђена су у складу са Законом о буџету Републике Србије за 2022. годину, а у 2023. години ће се планирати у складу са лимитима, које одреди Министарство финансија за све буџетске кориснике, а у оквиру наведених раздела и одговарајућих програма у оквиру којих се планирају и средства за реализацију активности приказаних у овом акционом плану. У том смислу, за финансирање овог акционог плана није потребно обезбеђење додатних средстава из буџета Републике Србије.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За поједине активности предвиђено је финансирање из средстава донатора. С тим у вези, а у складу са одредбама члана 58, став 1. тачка 4), алинеја 3. Уредбе о методологији управљањa јавним политикама, анализи ефеката јавних политика и прописа и садржају појединачних докумената јавних политика („Службени гласник РС”, број 8/19), једино се мере 1.3. и 4.3. условно извршавају, јер се комплетно финансирају из донаторских извора.</w:t>
      </w:r>
    </w:p>
    <w:p w:rsidR="00573000" w:rsidRPr="00573000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У свим активностима у којима је наведено да су у оквиру програма, који се реализују кроз средства обезбеђена у буџету, ради се о редовном раду државних службеника и намештеника у оквиру својих прописаних активности, било да се ради о њиховом учешћу у радним групама или о појединачном раду на праћењу спровођења прописа или изради одређених анализа, извештаја, прикупљању података и слично и не захтевају посебно буџетирање.</w:t>
      </w:r>
    </w:p>
    <w:p w:rsidR="002F0162" w:rsidRDefault="00573000" w:rsidP="00573000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573000">
        <w:rPr>
          <w:rFonts w:eastAsia="Times New Roman" w:cs="Arial"/>
          <w:noProof w:val="0"/>
          <w:color w:val="000000"/>
          <w:lang w:eastAsia="sr-Latn-RS"/>
        </w:rPr>
        <w:t>Имплементација мера предвиђених овим акционим планом неће имати утицаја на међународне финансијске обавезе државе, зато што никакво задуживање није планирано. Опредељена средства по мерама исказана су у поглављу V. Табела Акционог плана.</w:t>
      </w:r>
    </w:p>
    <w:p w:rsidR="00722069" w:rsidRDefault="00722069" w:rsidP="00722069">
      <w:pPr>
        <w:pStyle w:val="BodyText"/>
        <w:rPr>
          <w:sz w:val="20"/>
        </w:rPr>
        <w:sectPr w:rsidR="00722069" w:rsidSect="00722069">
          <w:footerReference w:type="default" r:id="rId7"/>
          <w:pgSz w:w="11906" w:h="16838" w:code="9"/>
          <w:pgMar w:top="426" w:right="720" w:bottom="720" w:left="720" w:header="720" w:footer="208" w:gutter="0"/>
          <w:cols w:space="720"/>
          <w:docGrid w:linePitch="245"/>
        </w:sectPr>
      </w:pPr>
    </w:p>
    <w:p w:rsidR="00722069" w:rsidRDefault="00722069" w:rsidP="00722069">
      <w:pPr>
        <w:pStyle w:val="BodyText"/>
        <w:rPr>
          <w:sz w:val="20"/>
        </w:rPr>
      </w:pPr>
    </w:p>
    <w:p w:rsidR="00722069" w:rsidRDefault="00722069" w:rsidP="00722069">
      <w:pPr>
        <w:pStyle w:val="BodyText"/>
        <w:ind w:left="232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" o:spid="_x0000_i2650" type="#_x0000_t75" style="width:645.3pt;height:417.75pt;visibility:visible;mso-wrap-style:square">
            <v:imagedata r:id="rId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" o:spid="_x0000_i2649" type="#_x0000_t75" style="width:677.2pt;height:416.4pt;visibility:visible;mso-wrap-style:square">
            <v:imagedata r:id="rId9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34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" o:spid="_x0000_i2648" type="#_x0000_t75" style="width:677.2pt;height:429.95pt;visibility:visible;mso-wrap-style:square">
            <v:imagedata r:id="rId10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0" o:spid="_x0000_i2647" type="#_x0000_t75" style="width:677.2pt;height:427.9pt;visibility:visible;mso-wrap-style:square">
            <v:imagedata r:id="rId11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1" o:spid="_x0000_i2646" type="#_x0000_t75" style="width:677.2pt;height:426.55pt;visibility:visible;mso-wrap-style:square">
            <v:imagedata r:id="rId12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2" o:spid="_x0000_i2645" type="#_x0000_t75" style="width:677.2pt;height:429.3pt;visibility:visible;mso-wrap-style:square">
            <v:imagedata r:id="rId13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3" o:spid="_x0000_i2644" type="#_x0000_t75" style="width:677.2pt;height:429.95pt;visibility:visible;mso-wrap-style:square">
            <v:imagedata r:id="rId14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4" o:spid="_x0000_i2643" type="#_x0000_t75" style="width:677.2pt;height:427.25pt;visibility:visible;mso-wrap-style:square">
            <v:imagedata r:id="rId15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5" o:spid="_x0000_i2642" type="#_x0000_t75" style="width:677.2pt;height:429.3pt;visibility:visible;mso-wrap-style:square">
            <v:imagedata r:id="rId16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6" o:spid="_x0000_i2641" type="#_x0000_t75" style="width:677.2pt;height:423.85pt;visibility:visible;mso-wrap-style:square">
            <v:imagedata r:id="rId17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7" o:spid="_x0000_i2640" type="#_x0000_t75" style="width:677.2pt;height:425.9pt;visibility:visible;mso-wrap-style:square">
            <v:imagedata r:id="rId1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8" o:spid="_x0000_i2639" type="#_x0000_t75" style="width:677.2pt;height:429.95pt;visibility:visible;mso-wrap-style:square">
            <v:imagedata r:id="rId19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19" o:spid="_x0000_i2638" type="#_x0000_t75" style="width:677.2pt;height:423.85pt;visibility:visible;mso-wrap-style:square">
            <v:imagedata r:id="rId20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0" o:spid="_x0000_i2637" type="#_x0000_t75" style="width:677.2pt;height:427.25pt;visibility:visible;mso-wrap-style:square">
            <v:imagedata r:id="rId21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1" o:spid="_x0000_i2636" type="#_x0000_t75" style="width:677.2pt;height:428.6pt;visibility:visible;mso-wrap-style:square">
            <v:imagedata r:id="rId22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2" o:spid="_x0000_i2635" type="#_x0000_t75" style="width:677.2pt;height:423.85pt;visibility:visible;mso-wrap-style:square">
            <v:imagedata r:id="rId23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3" o:spid="_x0000_i2634" type="#_x0000_t75" style="width:677.2pt;height:427.25pt;visibility:visible;mso-wrap-style:square">
            <v:imagedata r:id="rId24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4" o:spid="_x0000_i2633" type="#_x0000_t75" style="width:677.2pt;height:423.85pt;visibility:visible;mso-wrap-style:square">
            <v:imagedata r:id="rId25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5" o:spid="_x0000_i2632" type="#_x0000_t75" style="width:677.2pt;height:423.85pt;visibility:visible;mso-wrap-style:square">
            <v:imagedata r:id="rId26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6" o:spid="_x0000_i2631" type="#_x0000_t75" style="width:677.2pt;height:428.6pt;visibility:visible;mso-wrap-style:square">
            <v:imagedata r:id="rId27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7" o:spid="_x0000_i2630" type="#_x0000_t75" style="width:677.2pt;height:423.85pt;visibility:visible;mso-wrap-style:square">
            <v:imagedata r:id="rId2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8" o:spid="_x0000_i2629" type="#_x0000_t75" style="width:677.2pt;height:425.9pt;visibility:visible;mso-wrap-style:square">
            <v:imagedata r:id="rId29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29" o:spid="_x0000_i2628" type="#_x0000_t75" style="width:677.2pt;height:424.55pt;visibility:visible;mso-wrap-style:square">
            <v:imagedata r:id="rId30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0" o:spid="_x0000_i2627" type="#_x0000_t75" style="width:677.2pt;height:427.9pt;visibility:visible;mso-wrap-style:square">
            <v:imagedata r:id="rId31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1" o:spid="_x0000_i2626" type="#_x0000_t75" style="width:677.2pt;height:428.6pt;visibility:visible;mso-wrap-style:square">
            <v:imagedata r:id="rId32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2" o:spid="_x0000_i2625" type="#_x0000_t75" style="width:677.2pt;height:425.9pt;visibility:visible;mso-wrap-style:square">
            <v:imagedata r:id="rId33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3" o:spid="_x0000_i2624" type="#_x0000_t75" style="width:677.2pt;height:424.55pt;visibility:visible;mso-wrap-style:square">
            <v:imagedata r:id="rId34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4" o:spid="_x0000_i2623" type="#_x0000_t75" style="width:677.2pt;height:423.85pt;visibility:visible;mso-wrap-style:square">
            <v:imagedata r:id="rId35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5" o:spid="_x0000_i2622" type="#_x0000_t75" style="width:677.2pt;height:429.95pt;visibility:visible;mso-wrap-style:square">
            <v:imagedata r:id="rId36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6" o:spid="_x0000_i2621" type="#_x0000_t75" style="width:677.2pt;height:427.25pt;visibility:visible;mso-wrap-style:square">
            <v:imagedata r:id="rId37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7" o:spid="_x0000_i2620" type="#_x0000_t75" style="width:677.2pt;height:423.85pt;visibility:visible;mso-wrap-style:square">
            <v:imagedata r:id="rId3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8" o:spid="_x0000_i2619" type="#_x0000_t75" style="width:677.2pt;height:423.85pt;visibility:visible;mso-wrap-style:square">
            <v:imagedata r:id="rId39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39" o:spid="_x0000_i2618" type="#_x0000_t75" style="width:677.2pt;height:417.75pt;visibility:visible;mso-wrap-style:square">
            <v:imagedata r:id="rId40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0" o:spid="_x0000_i2617" type="#_x0000_t75" style="width:677.2pt;height:429.95pt;visibility:visible;mso-wrap-style:square">
            <v:imagedata r:id="rId41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1" o:spid="_x0000_i2616" type="#_x0000_t75" style="width:677.2pt;height:423.15pt;visibility:visible;mso-wrap-style:square">
            <v:imagedata r:id="rId42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2" o:spid="_x0000_i2615" type="#_x0000_t75" style="width:677.2pt;height:422.5pt;visibility:visible;mso-wrap-style:square">
            <v:imagedata r:id="rId43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3" o:spid="_x0000_i2614" type="#_x0000_t75" style="width:677.2pt;height:423.85pt;visibility:visible;mso-wrap-style:square">
            <v:imagedata r:id="rId44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4" o:spid="_x0000_i2613" type="#_x0000_t75" style="width:677.2pt;height:425.9pt;visibility:visible;mso-wrap-style:square">
            <v:imagedata r:id="rId45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5" o:spid="_x0000_i2612" type="#_x0000_t75" style="width:677.2pt;height:423.85pt;visibility:visible;mso-wrap-style:square">
            <v:imagedata r:id="rId46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6" o:spid="_x0000_i2611" type="#_x0000_t75" style="width:677.2pt;height:423.85pt;visibility:visible;mso-wrap-style:square">
            <v:imagedata r:id="rId47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7" o:spid="_x0000_i2610" type="#_x0000_t75" style="width:677.2pt;height:423.15pt;visibility:visible;mso-wrap-style:square">
            <v:imagedata r:id="rId4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8" o:spid="_x0000_i2609" type="#_x0000_t75" style="width:677.2pt;height:429.3pt;visibility:visible;mso-wrap-style:square">
            <v:imagedata r:id="rId49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49" o:spid="_x0000_i2608" type="#_x0000_t75" style="width:677.2pt;height:423.15pt;visibility:visible;mso-wrap-style:square">
            <v:imagedata r:id="rId50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0" o:spid="_x0000_i2607" type="#_x0000_t75" style="width:677.2pt;height:423.15pt;visibility:visible;mso-wrap-style:square">
            <v:imagedata r:id="rId51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1" o:spid="_x0000_i2606" type="#_x0000_t75" style="width:677.2pt;height:424.55pt;visibility:visible;mso-wrap-style:square">
            <v:imagedata r:id="rId52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2" o:spid="_x0000_i2605" type="#_x0000_t75" style="width:677.2pt;height:426.55pt;visibility:visible;mso-wrap-style:square">
            <v:imagedata r:id="rId53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3" o:spid="_x0000_i2604" type="#_x0000_t75" style="width:677.2pt;height:423.85pt;visibility:visible;mso-wrap-style:square">
            <v:imagedata r:id="rId54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4" o:spid="_x0000_i2603" type="#_x0000_t75" style="width:677.2pt;height:428.6pt;visibility:visible;mso-wrap-style:square">
            <v:imagedata r:id="rId55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5" o:spid="_x0000_i2602" type="#_x0000_t75" style="width:677.2pt;height:423.85pt;visibility:visible;mso-wrap-style:square">
            <v:imagedata r:id="rId56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6" o:spid="_x0000_i2601" type="#_x0000_t75" style="width:677.2pt;height:423.15pt;visibility:visible;mso-wrap-style:square">
            <v:imagedata r:id="rId57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7" o:spid="_x0000_i2600" type="#_x0000_t75" style="width:677.2pt;height:425.2pt;visibility:visible;mso-wrap-style:square">
            <v:imagedata r:id="rId5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8" o:spid="_x0000_i2599" type="#_x0000_t75" style="width:677.2pt;height:425.9pt;visibility:visible;mso-wrap-style:square">
            <v:imagedata r:id="rId59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59" o:spid="_x0000_i2598" type="#_x0000_t75" style="width:677.2pt;height:423.85pt;visibility:visible;mso-wrap-style:square">
            <v:imagedata r:id="rId60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0" o:spid="_x0000_i2597" type="#_x0000_t75" style="width:677.2pt;height:423.85pt;visibility:visible;mso-wrap-style:square">
            <v:imagedata r:id="rId61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1" o:spid="_x0000_i2596" type="#_x0000_t75" style="width:677.2pt;height:423.85pt;visibility:visible;mso-wrap-style:square">
            <v:imagedata r:id="rId62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2" o:spid="_x0000_i2595" type="#_x0000_t75" style="width:677.2pt;height:428.6pt;visibility:visible;mso-wrap-style:square">
            <v:imagedata r:id="rId63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3" o:spid="_x0000_i2594" type="#_x0000_t75" style="width:677.2pt;height:429.95pt;visibility:visible;mso-wrap-style:square">
            <v:imagedata r:id="rId64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4" o:spid="_x0000_i2593" type="#_x0000_t75" style="width:677.2pt;height:422.5pt;visibility:visible;mso-wrap-style:square">
            <v:imagedata r:id="rId65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5" o:spid="_x0000_i2592" type="#_x0000_t75" style="width:677.2pt;height:425.2pt;visibility:visible;mso-wrap-style:square">
            <v:imagedata r:id="rId66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6" o:spid="_x0000_i2591" type="#_x0000_t75" style="width:677.2pt;height:423.85pt;visibility:visible;mso-wrap-style:square">
            <v:imagedata r:id="rId67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7" o:spid="_x0000_i2590" type="#_x0000_t75" style="width:677.2pt;height:423.85pt;visibility:visible;mso-wrap-style:square">
            <v:imagedata r:id="rId6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8" o:spid="_x0000_i2589" type="#_x0000_t75" style="width:677.2pt;height:427.9pt;visibility:visible;mso-wrap-style:square">
            <v:imagedata r:id="rId69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69" o:spid="_x0000_i2588" type="#_x0000_t75" style="width:677.2pt;height:427.9pt;visibility:visible;mso-wrap-style:square">
            <v:imagedata r:id="rId70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0" o:spid="_x0000_i2587" type="#_x0000_t75" style="width:677.2pt;height:429.95pt;visibility:visible;mso-wrap-style:square">
            <v:imagedata r:id="rId71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1" o:spid="_x0000_i2586" type="#_x0000_t75" style="width:677.2pt;height:423.85pt;visibility:visible;mso-wrap-style:square">
            <v:imagedata r:id="rId72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2" o:spid="_x0000_i2585" type="#_x0000_t75" style="width:677.2pt;height:426.55pt;visibility:visible;mso-wrap-style:square">
            <v:imagedata r:id="rId73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3" o:spid="_x0000_i2584" type="#_x0000_t75" style="width:677.2pt;height:424.55pt;visibility:visible;mso-wrap-style:square">
            <v:imagedata r:id="rId74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4" o:spid="_x0000_i2583" type="#_x0000_t75" style="width:677.2pt;height:424.55pt;visibility:visible;mso-wrap-style:square">
            <v:imagedata r:id="rId75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5" o:spid="_x0000_i2582" type="#_x0000_t75" style="width:677.2pt;height:423.85pt;visibility:visible;mso-wrap-style:square">
            <v:imagedata r:id="rId76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6" o:spid="_x0000_i2581" type="#_x0000_t75" style="width:677.2pt;height:417.05pt;visibility:visible;mso-wrap-style:square">
            <v:imagedata r:id="rId77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7" o:spid="_x0000_i2580" type="#_x0000_t75" style="width:677.2pt;height:423.15pt;visibility:visible;mso-wrap-style:square">
            <v:imagedata r:id="rId7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8" o:spid="_x0000_i2579" type="#_x0000_t75" style="width:677.2pt;height:427.25pt;visibility:visible;mso-wrap-style:square">
            <v:imagedata r:id="rId79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79" o:spid="_x0000_i2578" type="#_x0000_t75" style="width:677.2pt;height:424.55pt;visibility:visible;mso-wrap-style:square">
            <v:imagedata r:id="rId80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0" o:spid="_x0000_i2577" type="#_x0000_t75" style="width:677.2pt;height:423.85pt;visibility:visible;mso-wrap-style:square">
            <v:imagedata r:id="rId81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1" o:spid="_x0000_i2576" type="#_x0000_t75" style="width:677.2pt;height:423.85pt;visibility:visible;mso-wrap-style:square">
            <v:imagedata r:id="rId82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2" o:spid="_x0000_i2575" type="#_x0000_t75" style="width:677.2pt;height:423.85pt;visibility:visible;mso-wrap-style:square">
            <v:imagedata r:id="rId83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3" o:spid="_x0000_i2574" type="#_x0000_t75" style="width:677.2pt;height:417.05pt;visibility:visible;mso-wrap-style:square">
            <v:imagedata r:id="rId84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4" o:spid="_x0000_i2573" type="#_x0000_t75" style="width:677.2pt;height:428.6pt;visibility:visible;mso-wrap-style:square">
            <v:imagedata r:id="rId85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5" o:spid="_x0000_i2572" type="#_x0000_t75" style="width:677.2pt;height:423.85pt;visibility:visible;mso-wrap-style:square">
            <v:imagedata r:id="rId86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6" o:spid="_x0000_i2571" type="#_x0000_t75" style="width:677.2pt;height:423.85pt;visibility:visible;mso-wrap-style:square">
            <v:imagedata r:id="rId87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7" o:spid="_x0000_i2570" type="#_x0000_t75" style="width:677.2pt;height:426.55pt;visibility:visible;mso-wrap-style:square">
            <v:imagedata r:id="rId8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8" o:spid="_x0000_i2569" type="#_x0000_t75" style="width:677.2pt;height:423.85pt;visibility:visible;mso-wrap-style:square">
            <v:imagedata r:id="rId89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89" o:spid="_x0000_i2568" type="#_x0000_t75" style="width:677.2pt;height:424.55pt;visibility:visible;mso-wrap-style:square">
            <v:imagedata r:id="rId90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0" o:spid="_x0000_i2567" type="#_x0000_t75" style="width:677.2pt;height:429.95pt;visibility:visible;mso-wrap-style:square">
            <v:imagedata r:id="rId91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1" o:spid="_x0000_i2566" type="#_x0000_t75" style="width:677.2pt;height:417.75pt;visibility:visible;mso-wrap-style:square">
            <v:imagedata r:id="rId92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2" o:spid="_x0000_i2565" type="#_x0000_t75" style="width:677.2pt;height:428.6pt;visibility:visible;mso-wrap-style:square">
            <v:imagedata r:id="rId93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3" o:spid="_x0000_i2564" type="#_x0000_t75" style="width:677.2pt;height:424.55pt;visibility:visible;mso-wrap-style:square">
            <v:imagedata r:id="rId94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4" o:spid="_x0000_i2563" type="#_x0000_t75" style="width:677.2pt;height:426.55pt;visibility:visible;mso-wrap-style:square">
            <v:imagedata r:id="rId95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5" o:spid="_x0000_i2562" type="#_x0000_t75" style="width:677.2pt;height:423.85pt;visibility:visible;mso-wrap-style:square">
            <v:imagedata r:id="rId96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6" o:spid="_x0000_i2561" type="#_x0000_t75" style="width:677.2pt;height:417.75pt;visibility:visible;mso-wrap-style:square">
            <v:imagedata r:id="rId97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28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spacing w:before="6"/>
        <w:rPr>
          <w:sz w:val="14"/>
        </w:r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7" o:spid="_x0000_i2560" type="#_x0000_t75" style="width:677.2pt;height:427.25pt;visibility:visible;mso-wrap-style:square">
            <v:imagedata r:id="rId98" o:title=""/>
            <o:lock v:ext="edit" aspectratio="f"/>
          </v:shape>
        </w:pict>
      </w:r>
    </w:p>
    <w:p w:rsidR="00722069" w:rsidRDefault="00722069" w:rsidP="00722069">
      <w:pPr>
        <w:rPr>
          <w:sz w:val="20"/>
        </w:rPr>
        <w:sectPr w:rsidR="00722069" w:rsidSect="00722069">
          <w:pgSz w:w="15710" w:h="12480" w:orient="landscape"/>
          <w:pgMar w:top="1400" w:right="480" w:bottom="280" w:left="1020" w:header="720" w:footer="208" w:gutter="0"/>
          <w:cols w:space="720"/>
        </w:sectPr>
      </w:pPr>
    </w:p>
    <w:p w:rsidR="00722069" w:rsidRDefault="00722069" w:rsidP="00722069">
      <w:pPr>
        <w:pStyle w:val="BodyText"/>
        <w:ind w:left="107"/>
        <w:rPr>
          <w:sz w:val="20"/>
        </w:rPr>
      </w:pPr>
      <w:r w:rsidRPr="00722069">
        <w:rPr>
          <w:noProof/>
          <w:sz w:val="20"/>
          <w:lang w:eastAsia="sr-Latn-RS"/>
        </w:rPr>
        <w:pict>
          <v:shape id="Image 98" o:spid="_x0000_i2559" type="#_x0000_t75" style="width:677.2pt;height:154.2pt;visibility:visible;mso-wrap-style:square">
            <v:imagedata r:id="rId99" o:title=""/>
            <o:lock v:ext="edit" aspectratio="f"/>
          </v:shape>
        </w:pict>
      </w:r>
    </w:p>
    <w:p w:rsidR="00573000" w:rsidRDefault="00573000" w:rsidP="00573000">
      <w:pPr>
        <w:spacing w:after="150"/>
        <w:ind w:firstLine="480"/>
        <w:rPr>
          <w:rFonts w:cs="Arial"/>
        </w:rPr>
      </w:pPr>
    </w:p>
    <w:p w:rsidR="00722069" w:rsidRPr="00722069" w:rsidRDefault="00722069" w:rsidP="00722069">
      <w:pPr>
        <w:spacing w:before="330"/>
        <w:ind w:firstLine="480"/>
        <w:jc w:val="center"/>
        <w:rPr>
          <w:rFonts w:eastAsia="Times New Roman" w:cs="Arial"/>
          <w:noProof w:val="0"/>
          <w:color w:val="000000"/>
          <w:lang w:eastAsia="sr-Latn-RS"/>
        </w:rPr>
      </w:pPr>
      <w:r w:rsidRPr="00722069">
        <w:rPr>
          <w:rFonts w:eastAsia="Times New Roman" w:cs="Arial"/>
          <w:noProof w:val="0"/>
          <w:color w:val="000000"/>
          <w:lang w:eastAsia="sr-Latn-RS"/>
        </w:rPr>
        <w:t>VI. ЗАВРШНИ ДЕО</w:t>
      </w:r>
    </w:p>
    <w:p w:rsidR="00722069" w:rsidRPr="00722069" w:rsidRDefault="00722069" w:rsidP="00722069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722069">
        <w:rPr>
          <w:rFonts w:eastAsia="Times New Roman" w:cs="Arial"/>
          <w:noProof w:val="0"/>
          <w:color w:val="000000"/>
          <w:lang w:eastAsia="sr-Latn-RS"/>
        </w:rPr>
        <w:t>Овај акциони план објавити на Интернет страници Владе, на Порталу „е-Управа” и на Интернет страници Министарства за људска и мањинска права и друштвени дијалог, у року од седам радних дана од дана усвајања.</w:t>
      </w:r>
      <w:bookmarkStart w:id="0" w:name="_GoBack"/>
      <w:bookmarkEnd w:id="0"/>
    </w:p>
    <w:p w:rsidR="00722069" w:rsidRPr="00722069" w:rsidRDefault="00722069" w:rsidP="00722069">
      <w:pPr>
        <w:spacing w:after="150"/>
        <w:ind w:firstLine="480"/>
        <w:rPr>
          <w:rFonts w:eastAsia="Times New Roman" w:cs="Arial"/>
          <w:noProof w:val="0"/>
          <w:color w:val="000000"/>
          <w:lang w:eastAsia="sr-Latn-RS"/>
        </w:rPr>
      </w:pPr>
      <w:r w:rsidRPr="00722069">
        <w:rPr>
          <w:rFonts w:eastAsia="Times New Roman" w:cs="Arial"/>
          <w:noProof w:val="0"/>
          <w:color w:val="000000"/>
          <w:lang w:eastAsia="sr-Latn-RS"/>
        </w:rPr>
        <w:t>Овај акциони план објавити у „Службеном гласнику Републике Србије”.</w:t>
      </w:r>
    </w:p>
    <w:p w:rsidR="00722069" w:rsidRPr="00573000" w:rsidRDefault="00722069" w:rsidP="00573000">
      <w:pPr>
        <w:spacing w:after="150"/>
        <w:ind w:firstLine="480"/>
        <w:rPr>
          <w:rFonts w:cs="Arial"/>
        </w:rPr>
      </w:pPr>
    </w:p>
    <w:sectPr w:rsidR="00722069" w:rsidRPr="00573000" w:rsidSect="00722069">
      <w:footerReference w:type="default" r:id="rId100"/>
      <w:pgSz w:w="15690" w:h="12480" w:orient="landscape"/>
      <w:pgMar w:top="1200" w:right="860" w:bottom="800" w:left="280" w:header="720" w:footer="20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508" w:rsidRDefault="00A56508" w:rsidP="000A612A">
      <w:r>
        <w:separator/>
      </w:r>
    </w:p>
  </w:endnote>
  <w:endnote w:type="continuationSeparator" w:id="0">
    <w:p w:rsidR="00A56508" w:rsidRDefault="00A56508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069" w:rsidRPr="00722069" w:rsidRDefault="00722069">
    <w:pPr>
      <w:pStyle w:val="Footer"/>
      <w:jc w:val="center"/>
      <w:rPr>
        <w:caps/>
        <w:color w:val="5B9BD5"/>
      </w:rPr>
    </w:pPr>
    <w:r w:rsidRPr="00722069">
      <w:rPr>
        <w:caps/>
        <w:noProof w:val="0"/>
        <w:color w:val="5B9BD5"/>
      </w:rPr>
      <w:fldChar w:fldCharType="begin"/>
    </w:r>
    <w:r w:rsidRPr="00722069">
      <w:rPr>
        <w:caps/>
        <w:color w:val="5B9BD5"/>
      </w:rPr>
      <w:instrText xml:space="preserve"> PAGE   \* MERGEFORMAT </w:instrText>
    </w:r>
    <w:r w:rsidRPr="00722069">
      <w:rPr>
        <w:caps/>
        <w:noProof w:val="0"/>
        <w:color w:val="5B9BD5"/>
      </w:rPr>
      <w:fldChar w:fldCharType="separate"/>
    </w:r>
    <w:r w:rsidR="00A56508">
      <w:rPr>
        <w:caps/>
        <w:color w:val="5B9BD5"/>
      </w:rPr>
      <w:t>1</w:t>
    </w:r>
    <w:r w:rsidRPr="00722069">
      <w:rPr>
        <w:caps/>
        <w:color w:val="5B9BD5"/>
      </w:rPr>
      <w:fldChar w:fldCharType="end"/>
    </w:r>
  </w:p>
  <w:p w:rsidR="00722069" w:rsidRDefault="007220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2A" w:rsidRPr="000A612A" w:rsidRDefault="000A612A">
    <w:pPr>
      <w:pStyle w:val="Footer"/>
      <w:jc w:val="center"/>
      <w:rPr>
        <w:caps/>
        <w:color w:val="5B9BD5"/>
      </w:rPr>
    </w:pPr>
    <w:r w:rsidRPr="000A612A">
      <w:rPr>
        <w:caps/>
        <w:noProof w:val="0"/>
        <w:color w:val="5B9BD5"/>
      </w:rPr>
      <w:fldChar w:fldCharType="begin"/>
    </w:r>
    <w:r w:rsidRPr="000A612A">
      <w:rPr>
        <w:caps/>
        <w:color w:val="5B9BD5"/>
      </w:rPr>
      <w:instrText xml:space="preserve"> PAGE   \* MERGEFORMAT </w:instrText>
    </w:r>
    <w:r w:rsidRPr="000A612A">
      <w:rPr>
        <w:caps/>
        <w:noProof w:val="0"/>
        <w:color w:val="5B9BD5"/>
      </w:rPr>
      <w:fldChar w:fldCharType="separate"/>
    </w:r>
    <w:r w:rsidR="00722069">
      <w:rPr>
        <w:caps/>
        <w:color w:val="5B9BD5"/>
      </w:rPr>
      <w:t>96</w:t>
    </w:r>
    <w:r w:rsidRPr="000A612A">
      <w:rPr>
        <w:caps/>
        <w:color w:val="5B9BD5"/>
      </w:rPr>
      <w:fldChar w:fldCharType="end"/>
    </w:r>
  </w:p>
  <w:p w:rsidR="000A612A" w:rsidRDefault="000A6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508" w:rsidRDefault="00A56508" w:rsidP="000A612A">
      <w:r>
        <w:separator/>
      </w:r>
    </w:p>
  </w:footnote>
  <w:footnote w:type="continuationSeparator" w:id="0">
    <w:p w:rsidR="00A56508" w:rsidRDefault="00A56508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241920"/>
    <w:rsid w:val="00251BA3"/>
    <w:rsid w:val="002C4D7B"/>
    <w:rsid w:val="002F0162"/>
    <w:rsid w:val="00497C37"/>
    <w:rsid w:val="004F5E00"/>
    <w:rsid w:val="00573000"/>
    <w:rsid w:val="005732F1"/>
    <w:rsid w:val="006D6D76"/>
    <w:rsid w:val="00722069"/>
    <w:rsid w:val="007B6E54"/>
    <w:rsid w:val="00806E64"/>
    <w:rsid w:val="008579A6"/>
    <w:rsid w:val="008764E4"/>
    <w:rsid w:val="008C664E"/>
    <w:rsid w:val="008D4031"/>
    <w:rsid w:val="00944E3C"/>
    <w:rsid w:val="00A31AF5"/>
    <w:rsid w:val="00A4354E"/>
    <w:rsid w:val="00A56508"/>
    <w:rsid w:val="00BF1386"/>
    <w:rsid w:val="00D13326"/>
    <w:rsid w:val="00DA1749"/>
    <w:rsid w:val="00E216CB"/>
    <w:rsid w:val="00EF557B"/>
    <w:rsid w:val="00F25EBD"/>
    <w:rsid w:val="00F90180"/>
    <w:rsid w:val="00FD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F6D0D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79A6"/>
    <w:pPr>
      <w:spacing w:after="120"/>
    </w:pPr>
    <w:rPr>
      <w:rFonts w:ascii="Arial" w:hAnsi="Arial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573000"/>
    <w:pPr>
      <w:shd w:val="clear" w:color="auto" w:fill="000000"/>
      <w:spacing w:after="0"/>
      <w:jc w:val="center"/>
    </w:pPr>
    <w:rPr>
      <w:rFonts w:eastAsia="Times New Roman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A4354E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A4354E"/>
  </w:style>
  <w:style w:type="character" w:customStyle="1" w:styleId="italik1">
    <w:name w:val="italik1"/>
    <w:rsid w:val="00A4354E"/>
    <w:rPr>
      <w:i/>
      <w:iCs/>
    </w:rPr>
  </w:style>
  <w:style w:type="paragraph" w:customStyle="1" w:styleId="f">
    <w:name w:val="f"/>
    <w:basedOn w:val="Normal"/>
    <w:rsid w:val="00A4354E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A4354E"/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clan1">
    <w:name w:val="clan1"/>
    <w:basedOn w:val="Normal"/>
    <w:rsid w:val="00A4354E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A4354E"/>
  </w:style>
  <w:style w:type="numbering" w:customStyle="1" w:styleId="NoList1">
    <w:name w:val="No List1"/>
    <w:next w:val="NoList"/>
    <w:uiPriority w:val="99"/>
    <w:semiHidden/>
    <w:unhideWhenUsed/>
    <w:rsid w:val="00A4354E"/>
  </w:style>
  <w:style w:type="table" w:customStyle="1" w:styleId="TableGrid1">
    <w:name w:val="Table Grid1"/>
    <w:basedOn w:val="TableNormal"/>
    <w:next w:val="TableGrid"/>
    <w:uiPriority w:val="59"/>
    <w:rsid w:val="00A4354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4354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6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4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9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7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7" Type="http://schemas.openxmlformats.org/officeDocument/2006/relationships/footer" Target="footer1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96</Pages>
  <Words>3121</Words>
  <Characters>17795</Characters>
  <Application>Microsoft Office Word</Application>
  <DocSecurity>0</DocSecurity>
  <Lines>148</Lines>
  <Paragraphs>41</Paragraphs>
  <ScaleCrop>false</ScaleCrop>
  <Company/>
  <LinksUpToDate>false</LinksUpToDate>
  <CharactersWithSpaces>20875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2024-01-26T19:37:00Z</dcterms:created>
  <dcterms:modified xsi:type="dcterms:W3CDTF">2024-01-26T19:55:00Z</dcterms:modified>
</cp:coreProperties>
</file>