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537" w:type="pct"/>
        <w:tblCellSpacing w:w="15" w:type="dxa"/>
        <w:tblInd w:w="-507"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25"/>
        <w:gridCol w:w="10415"/>
      </w:tblGrid>
      <w:tr w:rsidR="00D13326" w:rsidRPr="00EF008E" w:rsidTr="00894F6A">
        <w:trPr>
          <w:tblCellSpacing w:w="15" w:type="dxa"/>
        </w:trPr>
        <w:tc>
          <w:tcPr>
            <w:tcW w:w="388" w:type="pct"/>
            <w:shd w:val="clear" w:color="auto" w:fill="A41E1C"/>
            <w:vAlign w:val="center"/>
          </w:tcPr>
          <w:p w:rsidR="00D13326" w:rsidRPr="00EF008E" w:rsidRDefault="00783CC4" w:rsidP="0041610E">
            <w:pPr>
              <w:pStyle w:val="NASLOVZLATO"/>
              <w:rPr>
                <w:sz w:val="20"/>
                <w:szCs w:val="20"/>
                <w:lang w:val="sr-Cyrl-RS"/>
              </w:rPr>
            </w:pPr>
            <w:r w:rsidRPr="00EF008E">
              <w:rPr>
                <w:sz w:val="20"/>
                <w:szCs w:val="20"/>
                <w:lang w:val="sr-Cyrl-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pt;height:44.35pt;visibility:visible;mso-wrap-style:square">
                  <v:imagedata r:id="rId6" o:title="futer logo"/>
                </v:shape>
              </w:pict>
            </w:r>
          </w:p>
        </w:tc>
        <w:tc>
          <w:tcPr>
            <w:tcW w:w="4572" w:type="pct"/>
            <w:shd w:val="clear" w:color="auto" w:fill="A41E1C"/>
            <w:vAlign w:val="center"/>
            <w:hideMark/>
          </w:tcPr>
          <w:p w:rsidR="00EF008E" w:rsidRPr="00EF008E" w:rsidRDefault="00EF008E" w:rsidP="00EF008E">
            <w:pPr>
              <w:pStyle w:val="NASLOVBELO"/>
              <w:spacing w:line="360" w:lineRule="auto"/>
              <w:rPr>
                <w:color w:val="FFE599"/>
                <w:sz w:val="22"/>
                <w:szCs w:val="22"/>
                <w:lang w:val="sr-Cyrl-RS"/>
              </w:rPr>
            </w:pPr>
            <w:r w:rsidRPr="00EF008E">
              <w:rPr>
                <w:color w:val="FFE599"/>
                <w:sz w:val="22"/>
                <w:szCs w:val="22"/>
                <w:lang w:val="sr-Cyrl-RS"/>
              </w:rPr>
              <w:t>СТРАТЕГИЈА</w:t>
            </w:r>
          </w:p>
          <w:p w:rsidR="00043E6B" w:rsidRPr="00EF008E" w:rsidRDefault="00EF008E" w:rsidP="00EF008E">
            <w:pPr>
              <w:pStyle w:val="NASLOVBELO"/>
              <w:rPr>
                <w:sz w:val="22"/>
                <w:szCs w:val="22"/>
                <w:lang w:val="sr-Cyrl-RS"/>
              </w:rPr>
            </w:pPr>
            <w:r w:rsidRPr="00EF008E">
              <w:rPr>
                <w:sz w:val="22"/>
                <w:szCs w:val="22"/>
                <w:lang w:val="sr-Cyrl-RS"/>
              </w:rPr>
              <w:t>ЗА РОДНУ РАВНОПРАВНОСТ ЗА ПЕРИОД ОД 2021. ДО 2030. ГОДИНЕ</w:t>
            </w:r>
          </w:p>
          <w:p w:rsidR="00D13326" w:rsidRPr="00EF008E" w:rsidRDefault="007A5A6D" w:rsidP="00EF008E">
            <w:pPr>
              <w:pStyle w:val="podnaslovpropisa"/>
              <w:rPr>
                <w:noProof/>
                <w:sz w:val="18"/>
                <w:szCs w:val="18"/>
                <w:lang w:val="sr-Cyrl-RS"/>
              </w:rPr>
            </w:pPr>
            <w:r w:rsidRPr="00EF008E">
              <w:rPr>
                <w:noProof/>
                <w:lang w:val="sr-Cyrl-RS"/>
              </w:rPr>
              <w:t xml:space="preserve">("Сл. гласник РС", бр. </w:t>
            </w:r>
            <w:r w:rsidR="009C5050" w:rsidRPr="00EF008E">
              <w:rPr>
                <w:noProof/>
                <w:lang w:val="sr-Cyrl-RS"/>
              </w:rPr>
              <w:t>10</w:t>
            </w:r>
            <w:r w:rsidR="00EF008E" w:rsidRPr="00EF008E">
              <w:rPr>
                <w:noProof/>
                <w:lang w:val="sr-Cyrl-RS"/>
              </w:rPr>
              <w:t>3</w:t>
            </w:r>
            <w:r w:rsidRPr="00EF008E">
              <w:rPr>
                <w:noProof/>
                <w:lang w:val="sr-Cyrl-RS"/>
              </w:rPr>
              <w:t>/202</w:t>
            </w:r>
            <w:r w:rsidR="0077193D" w:rsidRPr="00EF008E">
              <w:rPr>
                <w:noProof/>
                <w:lang w:val="sr-Cyrl-RS"/>
              </w:rPr>
              <w:t>1</w:t>
            </w:r>
            <w:r w:rsidRPr="00EF008E">
              <w:rPr>
                <w:noProof/>
                <w:lang w:val="sr-Cyrl-RS"/>
              </w:rPr>
              <w:t>)</w:t>
            </w:r>
          </w:p>
        </w:tc>
      </w:tr>
    </w:tbl>
    <w:p w:rsidR="00894F6A" w:rsidRDefault="00894F6A" w:rsidP="00894F6A">
      <w:pPr>
        <w:spacing w:before="6" w:after="1"/>
        <w:rPr>
          <w:rFonts w:ascii="Arial" w:hAnsi="Arial" w:cs="Arial"/>
          <w:sz w:val="10"/>
          <w:lang w:val="sr-Cyrl-RS"/>
        </w:rPr>
      </w:pPr>
    </w:p>
    <w:p w:rsidR="00EF008E" w:rsidRPr="00EF008E" w:rsidRDefault="00EF008E" w:rsidP="00894F6A">
      <w:pPr>
        <w:spacing w:before="6" w:after="1"/>
        <w:rPr>
          <w:rFonts w:ascii="Arial" w:hAnsi="Arial" w:cs="Arial"/>
          <w:sz w:val="10"/>
          <w:lang w:val="sr-Cyrl-RS"/>
        </w:rPr>
      </w:pPr>
    </w:p>
    <w:p w:rsidR="00EF008E" w:rsidRPr="00EF008E" w:rsidRDefault="00EF008E" w:rsidP="00EF008E">
      <w:pPr>
        <w:spacing w:after="120" w:line="276" w:lineRule="auto"/>
        <w:contextualSpacing w:val="0"/>
        <w:jc w:val="center"/>
        <w:rPr>
          <w:rFonts w:ascii="Arial" w:hAnsi="Arial" w:cs="Arial"/>
          <w:b/>
          <w:sz w:val="22"/>
          <w:szCs w:val="22"/>
          <w:lang w:val="sr-Cyrl-RS"/>
        </w:rPr>
      </w:pPr>
      <w:r w:rsidRPr="00EF008E">
        <w:rPr>
          <w:rFonts w:ascii="Arial" w:hAnsi="Arial" w:cs="Arial"/>
          <w:b/>
          <w:color w:val="000000"/>
          <w:sz w:val="22"/>
          <w:szCs w:val="22"/>
          <w:lang w:val="sr-Cyrl-RS"/>
        </w:rPr>
        <w:t>УВОД</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Стратегијом за родну равноправност (у даљем тексту: Стратегија) утврђене су свеобухватне мере за унапређење родне равноправности као чиниоца који подстиче развој друштва у Републици Србији. На такав приступ упућује Закон о ратификацији Конвенције о елиминисању свих облика дискриминације жена (у даљем тексту: CEDAW конвенција).</w:t>
      </w:r>
      <w:r w:rsidRPr="00EF008E">
        <w:rPr>
          <w:rFonts w:ascii="Arial" w:hAnsi="Arial" w:cs="Arial"/>
          <w:color w:val="000000"/>
          <w:sz w:val="22"/>
          <w:szCs w:val="22"/>
          <w:vertAlign w:val="superscript"/>
          <w:lang w:val="sr-Cyrl-RS"/>
        </w:rPr>
        <w:t>1</w:t>
      </w:r>
      <w:r w:rsidRPr="00EF008E">
        <w:rPr>
          <w:rFonts w:ascii="Arial" w:hAnsi="Arial" w:cs="Arial"/>
          <w:color w:val="000000"/>
          <w:sz w:val="22"/>
          <w:szCs w:val="22"/>
          <w:lang w:val="sr-Cyrl-RS"/>
        </w:rPr>
        <w:t xml:space="preserve"> Прихватањем ове конвенције она је, према одредбама Устава, постала део правног поретка Републике Србије и њене одредбе се непосредно примењују (члан 16. став 2. и члан 18. став 2. Устава). У правном систему Републике Србије CEDAW конвенција, као потврђени међународни уговор има виши статус у односу на националну легислативу, која мора бити у складу са потврђеним међународним уговорима (члан 167. став 1. тачка 1) Устава). Стратегија се ослања и на Опште препоруке Комитета за елиминисање свих облика дискриминације жена</w:t>
      </w:r>
      <w:r w:rsidRPr="00EF008E">
        <w:rPr>
          <w:rFonts w:ascii="Arial" w:hAnsi="Arial" w:cs="Arial"/>
          <w:color w:val="000000"/>
          <w:sz w:val="22"/>
          <w:szCs w:val="22"/>
          <w:vertAlign w:val="superscript"/>
          <w:lang w:val="sr-Cyrl-RS"/>
        </w:rPr>
        <w:t>2</w:t>
      </w:r>
      <w:r w:rsidRPr="00EF008E">
        <w:rPr>
          <w:rFonts w:ascii="Arial" w:hAnsi="Arial" w:cs="Arial"/>
          <w:color w:val="000000"/>
          <w:sz w:val="22"/>
          <w:szCs w:val="22"/>
          <w:lang w:val="sr-Cyrl-RS"/>
        </w:rPr>
        <w:t xml:space="preserve"> (у даљем тексту: CEDAW комитет), Закључна запажања CEDAW комитета у вези са Четвртим периодичним извештајем Републике Србије о спровођењу CEDAW</w:t>
      </w:r>
      <w:r w:rsidRPr="00EF008E">
        <w:rPr>
          <w:rFonts w:ascii="Arial" w:hAnsi="Arial" w:cs="Arial"/>
          <w:color w:val="000000"/>
          <w:sz w:val="22"/>
          <w:szCs w:val="22"/>
          <w:vertAlign w:val="superscript"/>
          <w:lang w:val="sr-Cyrl-RS"/>
        </w:rPr>
        <w:t>3</w:t>
      </w:r>
      <w:r w:rsidRPr="00EF008E">
        <w:rPr>
          <w:rFonts w:ascii="Arial" w:hAnsi="Arial" w:cs="Arial"/>
          <w:color w:val="000000"/>
          <w:sz w:val="22"/>
          <w:szCs w:val="22"/>
          <w:lang w:val="sr-Cyrl-RS"/>
        </w:rPr>
        <w:t xml:space="preserve"> конвенције, као и Опште препоруке CEDAW комитета. У правном систему Републике Србије одредбе о људским и мањинским правима тумаче се и сагласно међународним стандардима људских и мањинских права и пракси међународних тела која надзиру њихово спровођење (члан 18. став 3. Устава).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Ова стратегија ослања се и на Агенду Уједињених нација за одрживи развој до 2030. године (у даљем тексту: Агенду 2030), усклађена је са том Агендом и процесом приступања ЕУ, а циљеви постављени у Стратегији одговарају циљевима и потциљевима дефинисаним Агендом 2030 и у складу су са препорукама CEDAW комитета.</w:t>
      </w:r>
      <w:r w:rsidRPr="00EF008E">
        <w:rPr>
          <w:rFonts w:ascii="Arial" w:hAnsi="Arial" w:cs="Arial"/>
          <w:color w:val="000000"/>
          <w:sz w:val="22"/>
          <w:szCs w:val="22"/>
          <w:vertAlign w:val="superscript"/>
          <w:lang w:val="sr-Cyrl-RS"/>
        </w:rPr>
        <w:t>4</w:t>
      </w:r>
      <w:r w:rsidRPr="00EF008E">
        <w:rPr>
          <w:rFonts w:ascii="Arial" w:hAnsi="Arial" w:cs="Arial"/>
          <w:color w:val="000000"/>
          <w:sz w:val="22"/>
          <w:szCs w:val="22"/>
          <w:lang w:val="sr-Cyrl-RS"/>
        </w:rPr>
        <w:t xml:space="preserve"> Поред циља 5. који се односи у целини на родну равноправност као фактор развоја то су и: циљ 1. (Свет без сиромаштва) потциљеви 1.б и 1.4; циљ 2. (Свет без глади) потциљеви 2.3, 2.4 и 2.а; циљ 3. (Добро здравље) 3.4, 3.7, 3.8 и 3.а; циљ 4. (Квалитетно образовање) потциљеви 4.1, 4.2, 4.3, 4.4, 4.5, 4.6 и 4.а; циљ 6. (Чиста вода и санитарни услови) потциљеви 6.1, 6.2 и 6.4; циљ 7.</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(Доступна и обновљива енергија) потциљеви 7.1 и 7.2; циљ 8. (Достојанствен рад и економски раст) потциљеви 8.8 и 8.б; циљ 9. (Индустрија, иновације, инфраструктура) потциљ 9.5; циљ 10. (Смањење неједнакости) потциљеви 10.2, 10.3, 10.4 и 10.7; циљ 11. (Одрживи градови и заједнице) потциљеви 11.1 и 11.7; циљ 12. (Одговорна потрошња и производња) потциљеви 12.8, 12.а и 12.б; циљ 13. (Акција за климу) потциљеви 13.2, 13.3 и 13.а; циљ 15. (Живот на земљи) потциљ 15.9 и циљ 16. (Мир, правда и снажније институције) потциљеви 16.1, 16.3,16.6, 16.7, 16.9, 16.10, 16.а и 16.б.</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Стратегија и Акциони план припремају се у складу са Законом о планском систему Републике Србије</w:t>
      </w:r>
      <w:r w:rsidRPr="00EF008E">
        <w:rPr>
          <w:rFonts w:ascii="Arial" w:hAnsi="Arial" w:cs="Arial"/>
          <w:color w:val="000000"/>
          <w:sz w:val="22"/>
          <w:szCs w:val="22"/>
          <w:vertAlign w:val="superscript"/>
          <w:lang w:val="sr-Cyrl-RS"/>
        </w:rPr>
        <w:t>5</w:t>
      </w:r>
      <w:r w:rsidRPr="00EF008E">
        <w:rPr>
          <w:rFonts w:ascii="Arial" w:hAnsi="Arial" w:cs="Arial"/>
          <w:color w:val="000000"/>
          <w:sz w:val="22"/>
          <w:szCs w:val="22"/>
          <w:lang w:val="sr-Cyrl-RS"/>
        </w:rPr>
        <w:t xml:space="preserve"> и Уредбом о методологији управљањa јавним политикама, анализи ефеката јавних политика и прописа и садржају појединачних докумената јавних политика, са пратећим прилозима.</w:t>
      </w:r>
      <w:r w:rsidRPr="00EF008E">
        <w:rPr>
          <w:rFonts w:ascii="Arial" w:hAnsi="Arial" w:cs="Arial"/>
          <w:color w:val="000000"/>
          <w:sz w:val="22"/>
          <w:szCs w:val="22"/>
          <w:vertAlign w:val="superscript"/>
          <w:lang w:val="sr-Cyrl-RS"/>
        </w:rPr>
        <w:t>6</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Старaтегија је национална и мултисекторска и доноси се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2030. године, а Акциони план за њено спровођење донеће се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2023. године.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Влада је усвојила Националну стратегију за родну равноправност за период од 2016. до 2020. године</w:t>
      </w:r>
      <w:r w:rsidRPr="00EF008E">
        <w:rPr>
          <w:rFonts w:ascii="Arial" w:hAnsi="Arial" w:cs="Arial"/>
          <w:color w:val="000000"/>
          <w:sz w:val="22"/>
          <w:szCs w:val="22"/>
          <w:vertAlign w:val="superscript"/>
          <w:lang w:val="sr-Cyrl-RS"/>
        </w:rPr>
        <w:t>7</w:t>
      </w:r>
      <w:r w:rsidRPr="00EF008E">
        <w:rPr>
          <w:rFonts w:ascii="Arial" w:hAnsi="Arial" w:cs="Arial"/>
          <w:color w:val="000000"/>
          <w:sz w:val="22"/>
          <w:szCs w:val="22"/>
          <w:lang w:val="sr-Cyrl-RS"/>
        </w:rPr>
        <w:t xml:space="preserve"> заједно са АП за период 2016</w:t>
      </w:r>
      <w:r>
        <w:rPr>
          <w:rFonts w:ascii="Arial" w:hAnsi="Arial" w:cs="Arial"/>
          <w:color w:val="000000"/>
          <w:sz w:val="22"/>
          <w:szCs w:val="22"/>
          <w:lang w:val="sr-Cyrl-RS"/>
        </w:rPr>
        <w:t>-</w:t>
      </w:r>
      <w:r w:rsidRPr="00EF008E">
        <w:rPr>
          <w:rFonts w:ascii="Arial" w:hAnsi="Arial" w:cs="Arial"/>
          <w:color w:val="000000"/>
          <w:sz w:val="22"/>
          <w:szCs w:val="22"/>
          <w:lang w:val="sr-Cyrl-RS"/>
        </w:rPr>
        <w:t>2018. године, која је престала да важи 2020. године. Акциони план за њену реализацију за период 2018</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2020. године није усвојен. Због наведеног, као </w:t>
      </w:r>
      <w:r w:rsidRPr="00EF008E">
        <w:rPr>
          <w:rFonts w:ascii="Arial" w:hAnsi="Arial" w:cs="Arial"/>
          <w:color w:val="000000"/>
          <w:sz w:val="22"/>
          <w:szCs w:val="22"/>
          <w:lang w:val="sr-Cyrl-RS"/>
        </w:rPr>
        <w:lastRenderedPageBreak/>
        <w:t>и у складу са препорукама међународних тела за праћење примене CEDAW конвенције, неопходно је усвојити нови стратешки документ.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Решењем Министарства за људска и мањинска права и друштвени дијалог</w:t>
      </w:r>
      <w:r w:rsidRPr="00EF008E">
        <w:rPr>
          <w:rFonts w:ascii="Arial" w:hAnsi="Arial" w:cs="Arial"/>
          <w:color w:val="000000"/>
          <w:sz w:val="22"/>
          <w:szCs w:val="22"/>
          <w:vertAlign w:val="superscript"/>
          <w:lang w:val="sr-Cyrl-RS"/>
        </w:rPr>
        <w:t>8</w:t>
      </w:r>
      <w:r w:rsidRPr="00EF008E">
        <w:rPr>
          <w:rFonts w:ascii="Arial" w:hAnsi="Arial" w:cs="Arial"/>
          <w:color w:val="000000"/>
          <w:sz w:val="22"/>
          <w:szCs w:val="22"/>
          <w:lang w:val="sr-Cyrl-RS"/>
        </w:rPr>
        <w:t xml:space="preserve"> 28. априла 2021. године, образована је Посебна радна група за припрему Предлога Националне стратегије за родну равноправност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2030. и Предлога АП за њено спровођење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2023. године, којом руководи потпредседница Владе и председница Координационог тела за родну равноправност проф. др Зорана Михајловић, а министарка за људска и мањинска права и друштвени дијалог Гордана Чомић је заменица председнице Посебне радне групе. Посебну радну групу чине представници и представнице као и њихови заменици и заменице: Координационог тела за родну равноправност, Министарства за људска и мањинска права и друштвени дијалог, Министарства за европске интеграције, Министарства привреде, Министарства пољопривреде, шумарства и водопривреде, Министарства заштите животне средине, Министарства финансија, Министарства грађевинарства, саобраћаја и инфраструктуре, Министарства за бригу о селу, Министарства трговине, туризма и телекомуникација, Министарства правде, Министарства државне управе и локалне самоуправе, Министарства за рад, запошљавање, борачка и социјална питања, Министарства за бригу о породици и демографију, Министарства омладине и спорта, Министарства културе и информисања, Министарства унутрашњих послова, Министарства спољних послова, Министарства рудардства и енергетике, Републичког секретаријата за јавне политике, Републичког завода за статистику, Министарства одбране</w:t>
      </w:r>
      <w:r w:rsidRPr="00EF008E">
        <w:rPr>
          <w:rFonts w:ascii="Arial" w:hAnsi="Arial" w:cs="Arial"/>
          <w:color w:val="000000"/>
          <w:sz w:val="22"/>
          <w:szCs w:val="22"/>
          <w:vertAlign w:val="superscript"/>
          <w:lang w:val="sr-Cyrl-RS"/>
        </w:rPr>
        <w:t>9</w:t>
      </w:r>
      <w:r w:rsidRPr="00EF008E">
        <w:rPr>
          <w:rFonts w:ascii="Arial" w:hAnsi="Arial" w:cs="Arial"/>
          <w:color w:val="000000"/>
          <w:sz w:val="22"/>
          <w:szCs w:val="22"/>
          <w:lang w:val="sr-Cyrl-RS"/>
        </w:rPr>
        <w:t>, Тима за социјално укључивање и смањење сиромаштва, Српске академије наука и уметности, Сталне конференције градова и општина, као и удружења: Фондација Ана и Владе Дивац, Фондација социјалне и демократске иницијативе (ФОСДИ), Иницијатива за равноправност, иновативност и друштвени ангажман.</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складу са Решењем о образовању Радне групе, формиран је експертски тим за израду Полазних основа за израду текста Стратегије коју чини осам експерткиња. Координационо тело за родну равноправност одредило је две особе за помоћ у раду експертског тима, а Министарство за људска и мањинска права и друштвени дијалог једну. Поред чланова и чланица Радне групе која припрема ову стратегију, чланова и чланица експертског тима и особа именованих од стране Координационог тела за родну равноправност и Министарства за људска и мањинска права за пружање помоћи експертском тиму, у процес рада укључени су и представници ОЦД који су у саставу Радне групе за припрему Стратегије, као и ОЦД и други заинтересовани субјекти који учествују у консултативним састанцима, који су организовани у току израде овог документа. Консултације су се одвијале у два паралелна процеса. Министарство за људска и мањинска права и друштвени дијалог организовало је и водило консултативни процес са органима јавне власти, а сугестије које су стигле достављене су експертском тиму. Експертски тим је водио пет консултативних састанака које је организвало Удружење грађанки FemPlatz. На састанцима који су одржани у периоду од 26. до 30. августа 2021. године преко ZOOM платформе присуствовали су представници/це државних институција на националном и локалном нивоу, међународних организација, представници/це академске заједнице, представници/це бројних ОЦД који се баве људским правима, правима одређених група, као и положајем и правима вишеструко дискриминисаних група (жене, жене жртве родно заснованог насиља, младе и старије жене, националне мањине, жене са инвалидитетом и др.), као и други појединци и појединке, активисти и активисткиње изнети коментари и сугестије на текст Полазних основа за израду Предлога националне стратегије за родну равноправност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2030. године, са Акционим планом за њено спровођење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2023. године од којих су многи унети у документ.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Израда Стратегије подржана је кроз пројекат </w:t>
      </w:r>
      <w:r>
        <w:rPr>
          <w:rFonts w:ascii="Arial" w:hAnsi="Arial" w:cs="Arial"/>
          <w:color w:val="000000"/>
          <w:sz w:val="22"/>
          <w:szCs w:val="22"/>
          <w:lang w:val="sr-Cyrl-RS"/>
        </w:rPr>
        <w:t>"</w:t>
      </w:r>
      <w:r w:rsidRPr="00EF008E">
        <w:rPr>
          <w:rFonts w:ascii="Arial" w:hAnsi="Arial" w:cs="Arial"/>
          <w:color w:val="000000"/>
          <w:sz w:val="22"/>
          <w:szCs w:val="22"/>
          <w:lang w:val="sr-Cyrl-RS"/>
        </w:rPr>
        <w:t>Кључни кораци ка родној равноправности (фаза 2)</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који спроводи Агенција Уједињених нација за родну равноправност и оснаживање жена (UN Women) у сарадњи са Координационим телом за родну равноправност, а уз финансијску подршку ЕУ.</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лист СФРЈ</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11/81.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 Доступно на: https://www.rodnaravnopravnost.gov.rs/sites/default/files/2017-02/Op%C5%A1te-preporuke-Komiteta-za-ukidanje-svih-oblika-diskriminacije.pdf, приступљено 7. маја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 Усвојена у марту 2019. године, доступно на: http://socijalnoukljucivanje.gov.rs/sr/, приступљено 7. маја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 Закључна запажања CEDAW комитета у вези са четвртим периодичним извештајем тачка ц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циљеви одрживог развоја.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30/18.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 Решење број 021-01-00013/2021/1 од 28.4.2021. године.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 Измена и допуна решења од 17.5.2021. године</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1. ПЛАНСКИ ДОКУМЕНТИ И ПРАВНИ ОКВИР РЕЛЕВАНТАН ЗА СТРАТЕГИЈУ О РОДНОЈ РАВНОПРАВНОСТИ</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1.1. Стратегије и акциони планови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Стратегија је садржински повезана са више секторских стратегија које се односе на различите области, а које и CEDAW конвенција издваја као области од приоритетног значаја за остваривање родне равноправности. Садржинска повезаност ове стратегије са стратегијама које се односе на поједине области друштвеног живота или на посебне субјекте, проистиче из мултисекторске природе родне равноправности. Мултисекторска природа родне равноправности налаже да се одреди однос Стратегије за родну равноправност према секторским јавним политикама. Смисао и циљ стратешких докумената је развој друштва, а специфичности се односе на област, питање или субјекте на које се конкретна стратегија односи. То се односи и на ову стратегију за родну равноправност као стратешког документа у коме се при одређивању циљева који доприносе развоју друштва приступа из родне перспективе. Родна равноправност као предуслов развоја друштва је окосница и суштинска одредница садржаја ове стратегије и повезана је са Агендом 2030</w:t>
      </w:r>
      <w:r w:rsidRPr="00EF008E">
        <w:rPr>
          <w:rFonts w:ascii="Arial" w:hAnsi="Arial" w:cs="Arial"/>
          <w:color w:val="000000"/>
          <w:sz w:val="22"/>
          <w:szCs w:val="22"/>
          <w:vertAlign w:val="superscript"/>
          <w:lang w:val="sr-Cyrl-RS"/>
        </w:rPr>
        <w:t>10</w:t>
      </w:r>
      <w:r w:rsidRPr="00EF008E">
        <w:rPr>
          <w:rFonts w:ascii="Arial" w:hAnsi="Arial" w:cs="Arial"/>
          <w:color w:val="000000"/>
          <w:sz w:val="22"/>
          <w:szCs w:val="22"/>
          <w:lang w:val="sr-Cyrl-RS"/>
        </w:rPr>
        <w:t xml:space="preserve">, као универзалном стратегијом која укључује три димензије одрживог развоја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економски раст, социјалну инклузију и заштиту животне средине Републике Србије. Република Србија је овај документ прихватила. Очекује се да кроз холистички и међусекторски приступ мобилишу сви ресурси ради остваривања 17 циљева одрживог развоја (ЦОР), до 2030. године.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Плански документи релевантни за ову стратегију груписани су према областима које су обухваћене овим планским документом.</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Плански документи који се односе на економију, образовање и науку као чиниоце који подстичу развој, обухватају следеће документе: Стратегију за примену Конвенције о доступности информација, учешћу јавности у доношењу одлука и праву на правну заштиту у питањима животне средине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Архуска конвенција</w:t>
      </w:r>
      <w:r w:rsidRPr="00EF008E">
        <w:rPr>
          <w:rFonts w:ascii="Arial" w:hAnsi="Arial" w:cs="Arial"/>
          <w:color w:val="000000"/>
          <w:sz w:val="22"/>
          <w:szCs w:val="22"/>
          <w:vertAlign w:val="superscript"/>
          <w:lang w:val="sr-Cyrl-RS"/>
        </w:rPr>
        <w:t>11</w:t>
      </w:r>
      <w:r w:rsidRPr="00EF008E">
        <w:rPr>
          <w:rFonts w:ascii="Arial" w:hAnsi="Arial" w:cs="Arial"/>
          <w:color w:val="000000"/>
          <w:sz w:val="22"/>
          <w:szCs w:val="22"/>
          <w:lang w:val="sr-Cyrl-RS"/>
        </w:rPr>
        <w:t>; Стратегију развоја енергетике Републике Србије до 2025. године са пројекцијама до 2030. године</w:t>
      </w:r>
      <w:r w:rsidRPr="00EF008E">
        <w:rPr>
          <w:rFonts w:ascii="Arial" w:hAnsi="Arial" w:cs="Arial"/>
          <w:color w:val="000000"/>
          <w:sz w:val="22"/>
          <w:szCs w:val="22"/>
          <w:vertAlign w:val="superscript"/>
          <w:lang w:val="sr-Cyrl-RS"/>
        </w:rPr>
        <w:t>12</w:t>
      </w:r>
      <w:r w:rsidRPr="00EF008E">
        <w:rPr>
          <w:rFonts w:ascii="Arial" w:hAnsi="Arial" w:cs="Arial"/>
          <w:color w:val="000000"/>
          <w:sz w:val="22"/>
          <w:szCs w:val="22"/>
          <w:lang w:val="sr-Cyrl-RS"/>
        </w:rPr>
        <w:t>; Стратегију одрживог урбаног развоја Републике Србије до 2030. године</w:t>
      </w:r>
      <w:r w:rsidRPr="00EF008E">
        <w:rPr>
          <w:rFonts w:ascii="Arial" w:hAnsi="Arial" w:cs="Arial"/>
          <w:color w:val="000000"/>
          <w:sz w:val="22"/>
          <w:szCs w:val="22"/>
          <w:vertAlign w:val="superscript"/>
          <w:lang w:val="sr-Cyrl-RS"/>
        </w:rPr>
        <w:t>13</w:t>
      </w:r>
      <w:r w:rsidRPr="00EF008E">
        <w:rPr>
          <w:rFonts w:ascii="Arial" w:hAnsi="Arial" w:cs="Arial"/>
          <w:color w:val="000000"/>
          <w:sz w:val="22"/>
          <w:szCs w:val="22"/>
          <w:lang w:val="sr-Cyrl-RS"/>
        </w:rPr>
        <w:t xml:space="preserve"> и АП (2020</w:t>
      </w:r>
      <w:r>
        <w:rPr>
          <w:rFonts w:ascii="Arial" w:hAnsi="Arial" w:cs="Arial"/>
          <w:color w:val="000000"/>
          <w:sz w:val="22"/>
          <w:szCs w:val="22"/>
          <w:lang w:val="sr-Cyrl-RS"/>
        </w:rPr>
        <w:t>-</w:t>
      </w:r>
      <w:r w:rsidRPr="00EF008E">
        <w:rPr>
          <w:rFonts w:ascii="Arial" w:hAnsi="Arial" w:cs="Arial"/>
          <w:color w:val="000000"/>
          <w:sz w:val="22"/>
          <w:szCs w:val="22"/>
          <w:lang w:val="sr-Cyrl-RS"/>
        </w:rPr>
        <w:t>2022); Стратегију пољопривреде и руралног развоја Републике Србије 2014</w:t>
      </w:r>
      <w:r>
        <w:rPr>
          <w:rFonts w:ascii="Arial" w:hAnsi="Arial" w:cs="Arial"/>
          <w:color w:val="000000"/>
          <w:sz w:val="22"/>
          <w:szCs w:val="22"/>
          <w:lang w:val="sr-Cyrl-RS"/>
        </w:rPr>
        <w:t>-</w:t>
      </w:r>
      <w:r w:rsidRPr="00EF008E">
        <w:rPr>
          <w:rFonts w:ascii="Arial" w:hAnsi="Arial" w:cs="Arial"/>
          <w:color w:val="000000"/>
          <w:sz w:val="22"/>
          <w:szCs w:val="22"/>
          <w:lang w:val="sr-Cyrl-RS"/>
        </w:rPr>
        <w:t>2024. године</w:t>
      </w:r>
      <w:r w:rsidRPr="00EF008E">
        <w:rPr>
          <w:rFonts w:ascii="Arial" w:hAnsi="Arial" w:cs="Arial"/>
          <w:color w:val="000000"/>
          <w:sz w:val="22"/>
          <w:szCs w:val="22"/>
          <w:vertAlign w:val="superscript"/>
          <w:lang w:val="sr-Cyrl-RS"/>
        </w:rPr>
        <w:t>14</w:t>
      </w:r>
      <w:r w:rsidRPr="00EF008E">
        <w:rPr>
          <w:rFonts w:ascii="Arial" w:hAnsi="Arial" w:cs="Arial"/>
          <w:color w:val="000000"/>
          <w:sz w:val="22"/>
          <w:szCs w:val="22"/>
          <w:lang w:val="sr-Cyrl-RS"/>
        </w:rPr>
        <w:t>; Стратегију индустријске политике Републике Србије од 2021</w:t>
      </w:r>
      <w:r>
        <w:rPr>
          <w:rFonts w:ascii="Arial" w:hAnsi="Arial" w:cs="Arial"/>
          <w:color w:val="000000"/>
          <w:sz w:val="22"/>
          <w:szCs w:val="22"/>
          <w:lang w:val="sr-Cyrl-RS"/>
        </w:rPr>
        <w:t>-</w:t>
      </w:r>
      <w:r w:rsidRPr="00EF008E">
        <w:rPr>
          <w:rFonts w:ascii="Arial" w:hAnsi="Arial" w:cs="Arial"/>
          <w:color w:val="000000"/>
          <w:sz w:val="22"/>
          <w:szCs w:val="22"/>
          <w:lang w:val="sr-Cyrl-RS"/>
        </w:rPr>
        <w:t>2030. године</w:t>
      </w:r>
      <w:r w:rsidRPr="00EF008E">
        <w:rPr>
          <w:rFonts w:ascii="Arial" w:hAnsi="Arial" w:cs="Arial"/>
          <w:color w:val="000000"/>
          <w:sz w:val="22"/>
          <w:szCs w:val="22"/>
          <w:vertAlign w:val="superscript"/>
          <w:lang w:val="sr-Cyrl-RS"/>
        </w:rPr>
        <w:t>15</w:t>
      </w:r>
      <w:r w:rsidRPr="00EF008E">
        <w:rPr>
          <w:rFonts w:ascii="Arial" w:hAnsi="Arial" w:cs="Arial"/>
          <w:color w:val="000000"/>
          <w:sz w:val="22"/>
          <w:szCs w:val="22"/>
          <w:lang w:val="sr-Cyrl-RS"/>
        </w:rPr>
        <w:t>; Стратегију о економским миграцијама Републике Србије 2021</w:t>
      </w:r>
      <w:r>
        <w:rPr>
          <w:rFonts w:ascii="Arial" w:hAnsi="Arial" w:cs="Arial"/>
          <w:color w:val="000000"/>
          <w:sz w:val="22"/>
          <w:szCs w:val="22"/>
          <w:lang w:val="sr-Cyrl-RS"/>
        </w:rPr>
        <w:t>-</w:t>
      </w:r>
      <w:r w:rsidRPr="00EF008E">
        <w:rPr>
          <w:rFonts w:ascii="Arial" w:hAnsi="Arial" w:cs="Arial"/>
          <w:color w:val="000000"/>
          <w:sz w:val="22"/>
          <w:szCs w:val="22"/>
          <w:lang w:val="sr-Cyrl-RS"/>
        </w:rPr>
        <w:t>2027. године</w:t>
      </w:r>
      <w:r w:rsidRPr="00EF008E">
        <w:rPr>
          <w:rFonts w:ascii="Arial" w:hAnsi="Arial" w:cs="Arial"/>
          <w:color w:val="000000"/>
          <w:sz w:val="22"/>
          <w:szCs w:val="22"/>
          <w:vertAlign w:val="superscript"/>
          <w:lang w:val="sr-Cyrl-RS"/>
        </w:rPr>
        <w:t>16</w:t>
      </w:r>
      <w:r w:rsidRPr="00EF008E">
        <w:rPr>
          <w:rFonts w:ascii="Arial" w:hAnsi="Arial" w:cs="Arial"/>
          <w:color w:val="000000"/>
          <w:sz w:val="22"/>
          <w:szCs w:val="22"/>
          <w:lang w:val="sr-Cyrl-RS"/>
        </w:rPr>
        <w:t>; Стратегију развоја дигиталних вештина у Републике Србије (2020</w:t>
      </w:r>
      <w:r>
        <w:rPr>
          <w:rFonts w:ascii="Arial" w:hAnsi="Arial" w:cs="Arial"/>
          <w:color w:val="000000"/>
          <w:sz w:val="22"/>
          <w:szCs w:val="22"/>
          <w:lang w:val="sr-Cyrl-RS"/>
        </w:rPr>
        <w:t>-</w:t>
      </w:r>
      <w:r w:rsidRPr="00EF008E">
        <w:rPr>
          <w:rFonts w:ascii="Arial" w:hAnsi="Arial" w:cs="Arial"/>
          <w:color w:val="000000"/>
          <w:sz w:val="22"/>
          <w:szCs w:val="22"/>
          <w:lang w:val="sr-Cyrl-RS"/>
        </w:rPr>
        <w:t>2024)</w:t>
      </w:r>
      <w:r w:rsidRPr="00EF008E">
        <w:rPr>
          <w:rFonts w:ascii="Arial" w:hAnsi="Arial" w:cs="Arial"/>
          <w:color w:val="000000"/>
          <w:sz w:val="22"/>
          <w:szCs w:val="22"/>
          <w:vertAlign w:val="superscript"/>
          <w:lang w:val="sr-Cyrl-RS"/>
        </w:rPr>
        <w:t>17</w:t>
      </w:r>
      <w:r w:rsidRPr="00EF008E">
        <w:rPr>
          <w:rFonts w:ascii="Arial" w:hAnsi="Arial" w:cs="Arial"/>
          <w:color w:val="000000"/>
          <w:sz w:val="22"/>
          <w:szCs w:val="22"/>
          <w:lang w:val="sr-Cyrl-RS"/>
        </w:rPr>
        <w:t xml:space="preserve">; Стратегију научног и технолошког развоја РС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моћ знања (2021</w:t>
      </w:r>
      <w:r>
        <w:rPr>
          <w:rFonts w:ascii="Arial" w:hAnsi="Arial" w:cs="Arial"/>
          <w:color w:val="000000"/>
          <w:sz w:val="22"/>
          <w:szCs w:val="22"/>
          <w:lang w:val="sr-Cyrl-RS"/>
        </w:rPr>
        <w:t>-</w:t>
      </w:r>
      <w:r w:rsidRPr="00EF008E">
        <w:rPr>
          <w:rFonts w:ascii="Arial" w:hAnsi="Arial" w:cs="Arial"/>
          <w:color w:val="000000"/>
          <w:sz w:val="22"/>
          <w:szCs w:val="22"/>
          <w:lang w:val="sr-Cyrl-RS"/>
        </w:rPr>
        <w:t>2025) и АП (2021</w:t>
      </w:r>
      <w:r>
        <w:rPr>
          <w:rFonts w:ascii="Arial" w:hAnsi="Arial" w:cs="Arial"/>
          <w:color w:val="000000"/>
          <w:sz w:val="22"/>
          <w:szCs w:val="22"/>
          <w:lang w:val="sr-Cyrl-RS"/>
        </w:rPr>
        <w:t>-</w:t>
      </w:r>
      <w:r w:rsidRPr="00EF008E">
        <w:rPr>
          <w:rFonts w:ascii="Arial" w:hAnsi="Arial" w:cs="Arial"/>
          <w:color w:val="000000"/>
          <w:sz w:val="22"/>
          <w:szCs w:val="22"/>
          <w:lang w:val="sr-Cyrl-RS"/>
        </w:rPr>
        <w:t>2023)</w:t>
      </w:r>
      <w:r w:rsidRPr="00EF008E">
        <w:rPr>
          <w:rFonts w:ascii="Arial" w:hAnsi="Arial" w:cs="Arial"/>
          <w:color w:val="000000"/>
          <w:sz w:val="22"/>
          <w:szCs w:val="22"/>
          <w:vertAlign w:val="superscript"/>
          <w:lang w:val="sr-Cyrl-RS"/>
        </w:rPr>
        <w:t>18</w:t>
      </w:r>
      <w:r w:rsidRPr="00EF008E">
        <w:rPr>
          <w:rFonts w:ascii="Arial" w:hAnsi="Arial" w:cs="Arial"/>
          <w:color w:val="000000"/>
          <w:sz w:val="22"/>
          <w:szCs w:val="22"/>
          <w:lang w:val="sr-Cyrl-RS"/>
        </w:rPr>
        <w:t>, Стратегију паметне специјализације у Републике Србије (2020</w:t>
      </w:r>
      <w:r>
        <w:rPr>
          <w:rFonts w:ascii="Arial" w:hAnsi="Arial" w:cs="Arial"/>
          <w:color w:val="000000"/>
          <w:sz w:val="22"/>
          <w:szCs w:val="22"/>
          <w:lang w:val="sr-Cyrl-RS"/>
        </w:rPr>
        <w:t>-</w:t>
      </w:r>
      <w:r w:rsidRPr="00EF008E">
        <w:rPr>
          <w:rFonts w:ascii="Arial" w:hAnsi="Arial" w:cs="Arial"/>
          <w:color w:val="000000"/>
          <w:sz w:val="22"/>
          <w:szCs w:val="22"/>
          <w:lang w:val="sr-Cyrl-RS"/>
        </w:rPr>
        <w:t>2027)</w:t>
      </w:r>
      <w:r w:rsidRPr="00EF008E">
        <w:rPr>
          <w:rFonts w:ascii="Arial" w:hAnsi="Arial" w:cs="Arial"/>
          <w:color w:val="000000"/>
          <w:sz w:val="22"/>
          <w:szCs w:val="22"/>
          <w:vertAlign w:val="superscript"/>
          <w:lang w:val="sr-Cyrl-RS"/>
        </w:rPr>
        <w:t>19</w:t>
      </w:r>
      <w:r w:rsidRPr="00EF008E">
        <w:rPr>
          <w:rFonts w:ascii="Arial" w:hAnsi="Arial" w:cs="Arial"/>
          <w:color w:val="000000"/>
          <w:sz w:val="22"/>
          <w:szCs w:val="22"/>
          <w:lang w:val="sr-Cyrl-RS"/>
        </w:rPr>
        <w:t>; Стратегију запошљавања (2021</w:t>
      </w:r>
      <w:r>
        <w:rPr>
          <w:rFonts w:ascii="Arial" w:hAnsi="Arial" w:cs="Arial"/>
          <w:color w:val="000000"/>
          <w:sz w:val="22"/>
          <w:szCs w:val="22"/>
          <w:lang w:val="sr-Cyrl-RS"/>
        </w:rPr>
        <w:t>-</w:t>
      </w:r>
      <w:r w:rsidRPr="00EF008E">
        <w:rPr>
          <w:rFonts w:ascii="Arial" w:hAnsi="Arial" w:cs="Arial"/>
          <w:color w:val="000000"/>
          <w:sz w:val="22"/>
          <w:szCs w:val="22"/>
          <w:lang w:val="sr-Cyrl-RS"/>
        </w:rPr>
        <w:t>2026)</w:t>
      </w:r>
      <w:r w:rsidRPr="00EF008E">
        <w:rPr>
          <w:rFonts w:ascii="Arial" w:hAnsi="Arial" w:cs="Arial"/>
          <w:color w:val="000000"/>
          <w:sz w:val="22"/>
          <w:szCs w:val="22"/>
          <w:vertAlign w:val="superscript"/>
          <w:lang w:val="sr-Cyrl-RS"/>
        </w:rPr>
        <w:t>20</w:t>
      </w:r>
      <w:r w:rsidRPr="00EF008E">
        <w:rPr>
          <w:rFonts w:ascii="Arial" w:hAnsi="Arial" w:cs="Arial"/>
          <w:color w:val="000000"/>
          <w:sz w:val="22"/>
          <w:szCs w:val="22"/>
          <w:lang w:val="sr-Cyrl-RS"/>
        </w:rPr>
        <w:t>; Стратегију развоја образовања и васпитања до 2030. године.</w:t>
      </w:r>
      <w:r w:rsidRPr="00EF008E">
        <w:rPr>
          <w:rFonts w:ascii="Arial" w:hAnsi="Arial" w:cs="Arial"/>
          <w:color w:val="000000"/>
          <w:sz w:val="22"/>
          <w:szCs w:val="22"/>
          <w:vertAlign w:val="superscript"/>
          <w:lang w:val="sr-Cyrl-RS"/>
        </w:rPr>
        <w:t>21</w:t>
      </w:r>
      <w:r w:rsidRPr="00EF008E">
        <w:rPr>
          <w:rFonts w:ascii="Arial" w:hAnsi="Arial" w:cs="Arial"/>
          <w:color w:val="000000"/>
          <w:sz w:val="22"/>
          <w:szCs w:val="22"/>
          <w:lang w:val="sr-Cyrl-RS"/>
        </w:rPr>
        <w:t xml:space="preserve"> Неке стратегије престале су да важе, а значајне су за овај приоритет. То су: Национална стратегија одрживог развоја</w:t>
      </w:r>
      <w:r w:rsidRPr="00EF008E">
        <w:rPr>
          <w:rFonts w:ascii="Arial" w:hAnsi="Arial" w:cs="Arial"/>
          <w:color w:val="000000"/>
          <w:sz w:val="22"/>
          <w:szCs w:val="22"/>
          <w:vertAlign w:val="superscript"/>
          <w:lang w:val="sr-Cyrl-RS"/>
        </w:rPr>
        <w:t>22</w:t>
      </w:r>
      <w:r w:rsidRPr="00EF008E">
        <w:rPr>
          <w:rFonts w:ascii="Arial" w:hAnsi="Arial" w:cs="Arial"/>
          <w:color w:val="000000"/>
          <w:sz w:val="22"/>
          <w:szCs w:val="22"/>
          <w:lang w:val="sr-Cyrl-RS"/>
        </w:rPr>
        <w:t>; Стратегија за подршку развоја малих и средњих предузећа, предузетништва и конкурентности 2015</w:t>
      </w:r>
      <w:r>
        <w:rPr>
          <w:rFonts w:ascii="Arial" w:hAnsi="Arial" w:cs="Arial"/>
          <w:color w:val="000000"/>
          <w:sz w:val="22"/>
          <w:szCs w:val="22"/>
          <w:lang w:val="sr-Cyrl-RS"/>
        </w:rPr>
        <w:t>-</w:t>
      </w:r>
      <w:r w:rsidRPr="00EF008E">
        <w:rPr>
          <w:rFonts w:ascii="Arial" w:hAnsi="Arial" w:cs="Arial"/>
          <w:color w:val="000000"/>
          <w:sz w:val="22"/>
          <w:szCs w:val="22"/>
          <w:lang w:val="sr-Cyrl-RS"/>
        </w:rPr>
        <w:t>2020) и АП (2015</w:t>
      </w:r>
      <w:r>
        <w:rPr>
          <w:rFonts w:ascii="Arial" w:hAnsi="Arial" w:cs="Arial"/>
          <w:color w:val="000000"/>
          <w:sz w:val="22"/>
          <w:szCs w:val="22"/>
          <w:lang w:val="sr-Cyrl-RS"/>
        </w:rPr>
        <w:t>-</w:t>
      </w:r>
      <w:r w:rsidRPr="00EF008E">
        <w:rPr>
          <w:rFonts w:ascii="Arial" w:hAnsi="Arial" w:cs="Arial"/>
          <w:color w:val="000000"/>
          <w:sz w:val="22"/>
          <w:szCs w:val="22"/>
          <w:lang w:val="sr-Cyrl-RS"/>
        </w:rPr>
        <w:t>2016)</w:t>
      </w:r>
      <w:r w:rsidRPr="00EF008E">
        <w:rPr>
          <w:rFonts w:ascii="Arial" w:hAnsi="Arial" w:cs="Arial"/>
          <w:color w:val="000000"/>
          <w:sz w:val="22"/>
          <w:szCs w:val="22"/>
          <w:vertAlign w:val="superscript"/>
          <w:lang w:val="sr-Cyrl-RS"/>
        </w:rPr>
        <w:t>23</w:t>
      </w:r>
      <w:r w:rsidRPr="00EF008E">
        <w:rPr>
          <w:rFonts w:ascii="Arial" w:hAnsi="Arial" w:cs="Arial"/>
          <w:color w:val="000000"/>
          <w:sz w:val="22"/>
          <w:szCs w:val="22"/>
          <w:lang w:val="sr-Cyrl-RS"/>
        </w:rPr>
        <w:t>; Стратегија управљања отпадом (2010</w:t>
      </w:r>
      <w:r>
        <w:rPr>
          <w:rFonts w:ascii="Arial" w:hAnsi="Arial" w:cs="Arial"/>
          <w:color w:val="000000"/>
          <w:sz w:val="22"/>
          <w:szCs w:val="22"/>
          <w:lang w:val="sr-Cyrl-RS"/>
        </w:rPr>
        <w:t>-</w:t>
      </w:r>
      <w:r w:rsidRPr="00EF008E">
        <w:rPr>
          <w:rFonts w:ascii="Arial" w:hAnsi="Arial" w:cs="Arial"/>
          <w:color w:val="000000"/>
          <w:sz w:val="22"/>
          <w:szCs w:val="22"/>
          <w:lang w:val="sr-Cyrl-RS"/>
        </w:rPr>
        <w:t>2019)</w:t>
      </w:r>
      <w:r w:rsidRPr="00EF008E">
        <w:rPr>
          <w:rFonts w:ascii="Arial" w:hAnsi="Arial" w:cs="Arial"/>
          <w:color w:val="000000"/>
          <w:sz w:val="22"/>
          <w:szCs w:val="22"/>
          <w:vertAlign w:val="superscript"/>
          <w:lang w:val="sr-Cyrl-RS"/>
        </w:rPr>
        <w:t>24</w:t>
      </w:r>
      <w:r w:rsidRPr="00EF008E">
        <w:rPr>
          <w:rFonts w:ascii="Arial" w:hAnsi="Arial" w:cs="Arial"/>
          <w:color w:val="000000"/>
          <w:sz w:val="22"/>
          <w:szCs w:val="22"/>
          <w:lang w:val="sr-Cyrl-RS"/>
        </w:rPr>
        <w:t>; Интегрисани национални енергетски и климатски план Републике Србије за период од 2021. до 2030. године са визијом до 2050. године и Програм остваривања Стратегије</w:t>
      </w:r>
      <w:r w:rsidRPr="00EF008E">
        <w:rPr>
          <w:rFonts w:ascii="Arial" w:hAnsi="Arial" w:cs="Arial"/>
          <w:color w:val="000000"/>
          <w:sz w:val="22"/>
          <w:szCs w:val="22"/>
          <w:vertAlign w:val="superscript"/>
          <w:lang w:val="sr-Cyrl-RS"/>
        </w:rPr>
        <w:t>25</w:t>
      </w:r>
      <w:r w:rsidRPr="00EF008E">
        <w:rPr>
          <w:rFonts w:ascii="Arial" w:hAnsi="Arial" w:cs="Arial"/>
          <w:color w:val="000000"/>
          <w:sz w:val="22"/>
          <w:szCs w:val="22"/>
          <w:lang w:val="sr-Cyrl-RS"/>
        </w:rPr>
        <w:t>; Програм економских реформи за период од 2021. до 2023. године; Програм заштите природе Републике Србије за период од 2021. до 2023. године</w:t>
      </w:r>
      <w:r w:rsidRPr="00EF008E">
        <w:rPr>
          <w:rFonts w:ascii="Arial" w:hAnsi="Arial" w:cs="Arial"/>
          <w:color w:val="000000"/>
          <w:sz w:val="22"/>
          <w:szCs w:val="22"/>
          <w:vertAlign w:val="superscript"/>
          <w:lang w:val="sr-Cyrl-RS"/>
        </w:rPr>
        <w:t>26</w:t>
      </w:r>
      <w:r w:rsidRPr="00EF008E">
        <w:rPr>
          <w:rFonts w:ascii="Arial" w:hAnsi="Arial" w:cs="Arial"/>
          <w:color w:val="000000"/>
          <w:sz w:val="22"/>
          <w:szCs w:val="22"/>
          <w:lang w:val="sr-Cyrl-RS"/>
        </w:rPr>
        <w:t>.</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Плански документи који се односе на родне аспекте људских права, безбедности и насиља према женама, и политичког живота су: Стратегија за спречавање и борбу против родно заснованог насиља према женама и насиља у породици за период од 2021</w:t>
      </w:r>
      <w:r>
        <w:rPr>
          <w:rFonts w:ascii="Arial" w:hAnsi="Arial" w:cs="Arial"/>
          <w:color w:val="000000"/>
          <w:sz w:val="22"/>
          <w:szCs w:val="22"/>
          <w:lang w:val="sr-Cyrl-RS"/>
        </w:rPr>
        <w:t>-</w:t>
      </w:r>
      <w:r w:rsidRPr="00EF008E">
        <w:rPr>
          <w:rFonts w:ascii="Arial" w:hAnsi="Arial" w:cs="Arial"/>
          <w:color w:val="000000"/>
          <w:sz w:val="22"/>
          <w:szCs w:val="22"/>
          <w:lang w:val="sr-Cyrl-RS"/>
        </w:rPr>
        <w:t>2025. године</w:t>
      </w:r>
      <w:r w:rsidRPr="00EF008E">
        <w:rPr>
          <w:rFonts w:ascii="Arial" w:hAnsi="Arial" w:cs="Arial"/>
          <w:color w:val="000000"/>
          <w:sz w:val="22"/>
          <w:szCs w:val="22"/>
          <w:vertAlign w:val="superscript"/>
          <w:lang w:val="sr-Cyrl-RS"/>
        </w:rPr>
        <w:t>27</w:t>
      </w:r>
      <w:r w:rsidRPr="00EF008E">
        <w:rPr>
          <w:rFonts w:ascii="Arial" w:hAnsi="Arial" w:cs="Arial"/>
          <w:color w:val="000000"/>
          <w:sz w:val="22"/>
          <w:szCs w:val="22"/>
          <w:lang w:val="sr-Cyrl-RS"/>
        </w:rPr>
        <w:t>, Стратегија превенције и сузбијања трговине људима, посебно женама и децом и заштите жртава 2017</w:t>
      </w:r>
      <w:r>
        <w:rPr>
          <w:rFonts w:ascii="Arial" w:hAnsi="Arial" w:cs="Arial"/>
          <w:color w:val="000000"/>
          <w:sz w:val="22"/>
          <w:szCs w:val="22"/>
          <w:lang w:val="sr-Cyrl-RS"/>
        </w:rPr>
        <w:t>-</w:t>
      </w:r>
      <w:r w:rsidRPr="00EF008E">
        <w:rPr>
          <w:rFonts w:ascii="Arial" w:hAnsi="Arial" w:cs="Arial"/>
          <w:color w:val="000000"/>
          <w:sz w:val="22"/>
          <w:szCs w:val="22"/>
          <w:lang w:val="sr-Cyrl-RS"/>
        </w:rPr>
        <w:t>2022</w:t>
      </w:r>
      <w:r w:rsidRPr="00EF008E">
        <w:rPr>
          <w:rFonts w:ascii="Arial" w:hAnsi="Arial" w:cs="Arial"/>
          <w:color w:val="000000"/>
          <w:sz w:val="22"/>
          <w:szCs w:val="22"/>
          <w:vertAlign w:val="superscript"/>
          <w:lang w:val="sr-Cyrl-RS"/>
        </w:rPr>
        <w:t>28</w:t>
      </w:r>
      <w:r w:rsidRPr="00EF008E">
        <w:rPr>
          <w:rFonts w:ascii="Arial" w:hAnsi="Arial" w:cs="Arial"/>
          <w:color w:val="000000"/>
          <w:sz w:val="22"/>
          <w:szCs w:val="22"/>
          <w:lang w:val="sr-Cyrl-RS"/>
        </w:rPr>
        <w:t xml:space="preserve"> и АП (2021</w:t>
      </w:r>
      <w:r>
        <w:rPr>
          <w:rFonts w:ascii="Arial" w:hAnsi="Arial" w:cs="Arial"/>
          <w:color w:val="000000"/>
          <w:sz w:val="22"/>
          <w:szCs w:val="22"/>
          <w:lang w:val="sr-Cyrl-RS"/>
        </w:rPr>
        <w:t>-</w:t>
      </w:r>
      <w:r w:rsidRPr="00EF008E">
        <w:rPr>
          <w:rFonts w:ascii="Arial" w:hAnsi="Arial" w:cs="Arial"/>
          <w:color w:val="000000"/>
          <w:sz w:val="22"/>
          <w:szCs w:val="22"/>
          <w:lang w:val="sr-Cyrl-RS"/>
        </w:rPr>
        <w:t>2022</w:t>
      </w:r>
      <w:r w:rsidRPr="00EF008E">
        <w:rPr>
          <w:rFonts w:ascii="Arial" w:hAnsi="Arial" w:cs="Arial"/>
          <w:color w:val="000000"/>
          <w:sz w:val="22"/>
          <w:szCs w:val="22"/>
          <w:vertAlign w:val="superscript"/>
          <w:lang w:val="sr-Cyrl-RS"/>
        </w:rPr>
        <w:t>29</w:t>
      </w:r>
      <w:r w:rsidRPr="00EF008E">
        <w:rPr>
          <w:rFonts w:ascii="Arial" w:hAnsi="Arial" w:cs="Arial"/>
          <w:color w:val="000000"/>
          <w:sz w:val="22"/>
          <w:szCs w:val="22"/>
          <w:lang w:val="sr-Cyrl-RS"/>
        </w:rPr>
        <w:t>), Стратешка процена јавне безбедности (2017), Национална стратегија за остваривање права жртава и сведока кривичних дела у РС (2020</w:t>
      </w:r>
      <w:r>
        <w:rPr>
          <w:rFonts w:ascii="Arial" w:hAnsi="Arial" w:cs="Arial"/>
          <w:color w:val="000000"/>
          <w:sz w:val="22"/>
          <w:szCs w:val="22"/>
          <w:lang w:val="sr-Cyrl-RS"/>
        </w:rPr>
        <w:t>-</w:t>
      </w:r>
      <w:r w:rsidRPr="00EF008E">
        <w:rPr>
          <w:rFonts w:ascii="Arial" w:hAnsi="Arial" w:cs="Arial"/>
          <w:color w:val="000000"/>
          <w:sz w:val="22"/>
          <w:szCs w:val="22"/>
          <w:lang w:val="sr-Cyrl-RS"/>
        </w:rPr>
        <w:t>2025)</w:t>
      </w:r>
      <w:r w:rsidRPr="00EF008E">
        <w:rPr>
          <w:rFonts w:ascii="Arial" w:hAnsi="Arial" w:cs="Arial"/>
          <w:color w:val="000000"/>
          <w:sz w:val="22"/>
          <w:szCs w:val="22"/>
          <w:vertAlign w:val="superscript"/>
          <w:lang w:val="sr-Cyrl-RS"/>
        </w:rPr>
        <w:t>30</w:t>
      </w:r>
      <w:r w:rsidRPr="00EF008E">
        <w:rPr>
          <w:rFonts w:ascii="Arial" w:hAnsi="Arial" w:cs="Arial"/>
          <w:color w:val="000000"/>
          <w:sz w:val="22"/>
          <w:szCs w:val="22"/>
          <w:lang w:val="sr-Cyrl-RS"/>
        </w:rPr>
        <w:t xml:space="preserve"> и АП (2020</w:t>
      </w:r>
      <w:r>
        <w:rPr>
          <w:rFonts w:ascii="Arial" w:hAnsi="Arial" w:cs="Arial"/>
          <w:color w:val="000000"/>
          <w:sz w:val="22"/>
          <w:szCs w:val="22"/>
          <w:lang w:val="sr-Cyrl-RS"/>
        </w:rPr>
        <w:t>-</w:t>
      </w:r>
      <w:r w:rsidRPr="00EF008E">
        <w:rPr>
          <w:rFonts w:ascii="Arial" w:hAnsi="Arial" w:cs="Arial"/>
          <w:color w:val="000000"/>
          <w:sz w:val="22"/>
          <w:szCs w:val="22"/>
          <w:lang w:val="sr-Cyrl-RS"/>
        </w:rPr>
        <w:t>2025)</w:t>
      </w:r>
      <w:r w:rsidRPr="00EF008E">
        <w:rPr>
          <w:rFonts w:ascii="Arial" w:hAnsi="Arial" w:cs="Arial"/>
          <w:color w:val="000000"/>
          <w:sz w:val="22"/>
          <w:szCs w:val="22"/>
          <w:vertAlign w:val="superscript"/>
          <w:lang w:val="sr-Cyrl-RS"/>
        </w:rPr>
        <w:t>31</w:t>
      </w:r>
      <w:r w:rsidRPr="00EF008E">
        <w:rPr>
          <w:rFonts w:ascii="Arial" w:hAnsi="Arial" w:cs="Arial"/>
          <w:color w:val="000000"/>
          <w:sz w:val="22"/>
          <w:szCs w:val="22"/>
          <w:lang w:val="sr-Cyrl-RS"/>
        </w:rPr>
        <w:t>, Национална стратегија за спречавање и борбу против тероризма (2017</w:t>
      </w:r>
      <w:r>
        <w:rPr>
          <w:rFonts w:ascii="Arial" w:hAnsi="Arial" w:cs="Arial"/>
          <w:color w:val="000000"/>
          <w:sz w:val="22"/>
          <w:szCs w:val="22"/>
          <w:lang w:val="sr-Cyrl-RS"/>
        </w:rPr>
        <w:t>-</w:t>
      </w:r>
      <w:r w:rsidRPr="00EF008E">
        <w:rPr>
          <w:rFonts w:ascii="Arial" w:hAnsi="Arial" w:cs="Arial"/>
          <w:color w:val="000000"/>
          <w:sz w:val="22"/>
          <w:szCs w:val="22"/>
          <w:lang w:val="sr-Cyrl-RS"/>
        </w:rPr>
        <w:t>2021)</w:t>
      </w:r>
      <w:r w:rsidRPr="00EF008E">
        <w:rPr>
          <w:rFonts w:ascii="Arial" w:hAnsi="Arial" w:cs="Arial"/>
          <w:color w:val="000000"/>
          <w:sz w:val="22"/>
          <w:szCs w:val="22"/>
          <w:vertAlign w:val="superscript"/>
          <w:lang w:val="sr-Cyrl-RS"/>
        </w:rPr>
        <w:t>32</w:t>
      </w:r>
      <w:r w:rsidRPr="00EF008E">
        <w:rPr>
          <w:rFonts w:ascii="Arial" w:hAnsi="Arial" w:cs="Arial"/>
          <w:color w:val="000000"/>
          <w:sz w:val="22"/>
          <w:szCs w:val="22"/>
          <w:lang w:val="sr-Cyrl-RS"/>
        </w:rPr>
        <w:t>, Национални АП за примену Резолуције 1325 СБ УН</w:t>
      </w:r>
      <w:r w:rsidRPr="00EF008E">
        <w:rPr>
          <w:rFonts w:ascii="Arial" w:hAnsi="Arial" w:cs="Arial"/>
          <w:color w:val="000000"/>
          <w:sz w:val="22"/>
          <w:szCs w:val="22"/>
          <w:vertAlign w:val="superscript"/>
          <w:lang w:val="sr-Cyrl-RS"/>
        </w:rPr>
        <w:t>33</w:t>
      </w:r>
      <w:r w:rsidRPr="00EF008E">
        <w:rPr>
          <w:rFonts w:ascii="Arial" w:hAnsi="Arial" w:cs="Arial"/>
          <w:color w:val="000000"/>
          <w:sz w:val="22"/>
          <w:szCs w:val="22"/>
          <w:lang w:val="sr-Cyrl-RS"/>
        </w:rPr>
        <w:t>, АП за поглавље 24</w:t>
      </w:r>
      <w:r>
        <w:rPr>
          <w:rFonts w:ascii="Arial" w:hAnsi="Arial" w:cs="Arial"/>
          <w:color w:val="000000"/>
          <w:sz w:val="22"/>
          <w:szCs w:val="22"/>
          <w:lang w:val="sr-Cyrl-RS"/>
        </w:rPr>
        <w:t>-</w:t>
      </w:r>
      <w:r w:rsidRPr="00EF008E">
        <w:rPr>
          <w:rFonts w:ascii="Arial" w:hAnsi="Arial" w:cs="Arial"/>
          <w:color w:val="000000"/>
          <w:sz w:val="22"/>
          <w:szCs w:val="22"/>
          <w:lang w:val="sr-Cyrl-RS"/>
        </w:rPr>
        <w:t>Правда, слобода, безбедност</w:t>
      </w:r>
      <w:r w:rsidRPr="00EF008E">
        <w:rPr>
          <w:rFonts w:ascii="Arial" w:hAnsi="Arial" w:cs="Arial"/>
          <w:color w:val="000000"/>
          <w:sz w:val="22"/>
          <w:szCs w:val="22"/>
          <w:vertAlign w:val="superscript"/>
          <w:lang w:val="sr-Cyrl-RS"/>
        </w:rPr>
        <w:t>34</w:t>
      </w:r>
      <w:r w:rsidRPr="00EF008E">
        <w:rPr>
          <w:rFonts w:ascii="Arial" w:hAnsi="Arial" w:cs="Arial"/>
          <w:color w:val="000000"/>
          <w:sz w:val="22"/>
          <w:szCs w:val="22"/>
          <w:lang w:val="sr-Cyrl-RS"/>
        </w:rPr>
        <w:t>, Стратегија националне безбедности (2019)</w:t>
      </w:r>
      <w:r w:rsidRPr="00EF008E">
        <w:rPr>
          <w:rFonts w:ascii="Arial" w:hAnsi="Arial" w:cs="Arial"/>
          <w:color w:val="000000"/>
          <w:sz w:val="22"/>
          <w:szCs w:val="22"/>
          <w:vertAlign w:val="superscript"/>
          <w:lang w:val="sr-Cyrl-RS"/>
        </w:rPr>
        <w:t>35</w:t>
      </w:r>
      <w:r w:rsidRPr="00EF008E">
        <w:rPr>
          <w:rFonts w:ascii="Arial" w:hAnsi="Arial" w:cs="Arial"/>
          <w:color w:val="000000"/>
          <w:sz w:val="22"/>
          <w:szCs w:val="22"/>
          <w:lang w:val="sr-Cyrl-RS"/>
        </w:rPr>
        <w:t>, Стратегија одбране РС (2019)</w:t>
      </w:r>
      <w:r w:rsidRPr="00EF008E">
        <w:rPr>
          <w:rFonts w:ascii="Arial" w:hAnsi="Arial" w:cs="Arial"/>
          <w:color w:val="000000"/>
          <w:sz w:val="22"/>
          <w:szCs w:val="22"/>
          <w:vertAlign w:val="superscript"/>
          <w:lang w:val="sr-Cyrl-RS"/>
        </w:rPr>
        <w:t>36</w:t>
      </w:r>
      <w:r w:rsidRPr="00EF008E">
        <w:rPr>
          <w:rFonts w:ascii="Arial" w:hAnsi="Arial" w:cs="Arial"/>
          <w:color w:val="000000"/>
          <w:sz w:val="22"/>
          <w:szCs w:val="22"/>
          <w:lang w:val="sr-Cyrl-RS"/>
        </w:rPr>
        <w:t>, Стратегија за борбу против високотехничког криминала (2019</w:t>
      </w:r>
      <w:r>
        <w:rPr>
          <w:rFonts w:ascii="Arial" w:hAnsi="Arial" w:cs="Arial"/>
          <w:color w:val="000000"/>
          <w:sz w:val="22"/>
          <w:szCs w:val="22"/>
          <w:lang w:val="sr-Cyrl-RS"/>
        </w:rPr>
        <w:t>-</w:t>
      </w:r>
      <w:r w:rsidRPr="00EF008E">
        <w:rPr>
          <w:rFonts w:ascii="Arial" w:hAnsi="Arial" w:cs="Arial"/>
          <w:color w:val="000000"/>
          <w:sz w:val="22"/>
          <w:szCs w:val="22"/>
          <w:lang w:val="sr-Cyrl-RS"/>
        </w:rPr>
        <w:t>2023)</w:t>
      </w:r>
      <w:r w:rsidRPr="00EF008E">
        <w:rPr>
          <w:rFonts w:ascii="Arial" w:hAnsi="Arial" w:cs="Arial"/>
          <w:color w:val="000000"/>
          <w:sz w:val="22"/>
          <w:szCs w:val="22"/>
          <w:vertAlign w:val="superscript"/>
          <w:lang w:val="sr-Cyrl-RS"/>
        </w:rPr>
        <w:t>37</w:t>
      </w:r>
      <w:r w:rsidRPr="00EF008E">
        <w:rPr>
          <w:rFonts w:ascii="Arial" w:hAnsi="Arial" w:cs="Arial"/>
          <w:color w:val="000000"/>
          <w:sz w:val="22"/>
          <w:szCs w:val="22"/>
          <w:lang w:val="sr-Cyrl-RS"/>
        </w:rPr>
        <w:t xml:space="preserve"> са Акционим планом (2019</w:t>
      </w:r>
      <w:r>
        <w:rPr>
          <w:rFonts w:ascii="Arial" w:hAnsi="Arial" w:cs="Arial"/>
          <w:color w:val="000000"/>
          <w:sz w:val="22"/>
          <w:szCs w:val="22"/>
          <w:lang w:val="sr-Cyrl-RS"/>
        </w:rPr>
        <w:t>-</w:t>
      </w:r>
      <w:r w:rsidRPr="00EF008E">
        <w:rPr>
          <w:rFonts w:ascii="Arial" w:hAnsi="Arial" w:cs="Arial"/>
          <w:color w:val="000000"/>
          <w:sz w:val="22"/>
          <w:szCs w:val="22"/>
          <w:lang w:val="sr-Cyrl-RS"/>
        </w:rPr>
        <w:t>2020)</w:t>
      </w:r>
      <w:r w:rsidRPr="00EF008E">
        <w:rPr>
          <w:rFonts w:ascii="Arial" w:hAnsi="Arial" w:cs="Arial"/>
          <w:color w:val="000000"/>
          <w:sz w:val="22"/>
          <w:szCs w:val="22"/>
          <w:vertAlign w:val="superscript"/>
          <w:lang w:val="sr-Cyrl-RS"/>
        </w:rPr>
        <w:t>38</w:t>
      </w:r>
      <w:r w:rsidRPr="00EF008E">
        <w:rPr>
          <w:rFonts w:ascii="Arial" w:hAnsi="Arial" w:cs="Arial"/>
          <w:color w:val="000000"/>
          <w:sz w:val="22"/>
          <w:szCs w:val="22"/>
          <w:lang w:val="sr-Cyrl-RS"/>
        </w:rPr>
        <w:t>, Стратегија развоја МУП (2018</w:t>
      </w:r>
      <w:r>
        <w:rPr>
          <w:rFonts w:ascii="Arial" w:hAnsi="Arial" w:cs="Arial"/>
          <w:color w:val="000000"/>
          <w:sz w:val="22"/>
          <w:szCs w:val="22"/>
          <w:lang w:val="sr-Cyrl-RS"/>
        </w:rPr>
        <w:t>-</w:t>
      </w:r>
      <w:r w:rsidRPr="00EF008E">
        <w:rPr>
          <w:rFonts w:ascii="Arial" w:hAnsi="Arial" w:cs="Arial"/>
          <w:color w:val="000000"/>
          <w:sz w:val="22"/>
          <w:szCs w:val="22"/>
          <w:lang w:val="sr-Cyrl-RS"/>
        </w:rPr>
        <w:t>2023)</w:t>
      </w:r>
      <w:r w:rsidRPr="00EF008E">
        <w:rPr>
          <w:rFonts w:ascii="Arial" w:hAnsi="Arial" w:cs="Arial"/>
          <w:color w:val="000000"/>
          <w:sz w:val="22"/>
          <w:szCs w:val="22"/>
          <w:vertAlign w:val="superscript"/>
          <w:lang w:val="sr-Cyrl-RS"/>
        </w:rPr>
        <w:t>39</w:t>
      </w:r>
      <w:r w:rsidRPr="00EF008E">
        <w:rPr>
          <w:rFonts w:ascii="Arial" w:hAnsi="Arial" w:cs="Arial"/>
          <w:color w:val="000000"/>
          <w:sz w:val="22"/>
          <w:szCs w:val="22"/>
          <w:lang w:val="sr-Cyrl-RS"/>
        </w:rPr>
        <w:t xml:space="preserve"> и АП (2018</w:t>
      </w:r>
      <w:r>
        <w:rPr>
          <w:rFonts w:ascii="Arial" w:hAnsi="Arial" w:cs="Arial"/>
          <w:color w:val="000000"/>
          <w:sz w:val="22"/>
          <w:szCs w:val="22"/>
          <w:lang w:val="sr-Cyrl-RS"/>
        </w:rPr>
        <w:t>-</w:t>
      </w:r>
      <w:r w:rsidRPr="00EF008E">
        <w:rPr>
          <w:rFonts w:ascii="Arial" w:hAnsi="Arial" w:cs="Arial"/>
          <w:color w:val="000000"/>
          <w:sz w:val="22"/>
          <w:szCs w:val="22"/>
          <w:lang w:val="sr-Cyrl-RS"/>
        </w:rPr>
        <w:t>2019)</w:t>
      </w:r>
      <w:r w:rsidRPr="00EF008E">
        <w:rPr>
          <w:rFonts w:ascii="Arial" w:hAnsi="Arial" w:cs="Arial"/>
          <w:color w:val="000000"/>
          <w:sz w:val="22"/>
          <w:szCs w:val="22"/>
          <w:vertAlign w:val="superscript"/>
          <w:lang w:val="sr-Cyrl-RS"/>
        </w:rPr>
        <w:t>40</w:t>
      </w:r>
      <w:r w:rsidRPr="00EF008E">
        <w:rPr>
          <w:rFonts w:ascii="Arial" w:hAnsi="Arial" w:cs="Arial"/>
          <w:color w:val="000000"/>
          <w:sz w:val="22"/>
          <w:szCs w:val="22"/>
          <w:lang w:val="sr-Cyrl-RS"/>
        </w:rPr>
        <w:t>, Стратегија контроле малог и лаког оружја Републике Србије за период 2019</w:t>
      </w:r>
      <w:r>
        <w:rPr>
          <w:rFonts w:ascii="Arial" w:hAnsi="Arial" w:cs="Arial"/>
          <w:color w:val="000000"/>
          <w:sz w:val="22"/>
          <w:szCs w:val="22"/>
          <w:lang w:val="sr-Cyrl-RS"/>
        </w:rPr>
        <w:t>-</w:t>
      </w:r>
      <w:r w:rsidRPr="00EF008E">
        <w:rPr>
          <w:rFonts w:ascii="Arial" w:hAnsi="Arial" w:cs="Arial"/>
          <w:color w:val="000000"/>
          <w:sz w:val="22"/>
          <w:szCs w:val="22"/>
          <w:lang w:val="sr-Cyrl-RS"/>
        </w:rPr>
        <w:t>2024</w:t>
      </w:r>
      <w:r w:rsidRPr="00EF008E">
        <w:rPr>
          <w:rFonts w:ascii="Arial" w:hAnsi="Arial" w:cs="Arial"/>
          <w:color w:val="000000"/>
          <w:sz w:val="22"/>
          <w:szCs w:val="22"/>
          <w:vertAlign w:val="superscript"/>
          <w:lang w:val="sr-Cyrl-RS"/>
        </w:rPr>
        <w:t>41</w:t>
      </w:r>
      <w:r w:rsidRPr="00EF008E">
        <w:rPr>
          <w:rFonts w:ascii="Arial" w:hAnsi="Arial" w:cs="Arial"/>
          <w:color w:val="000000"/>
          <w:sz w:val="22"/>
          <w:szCs w:val="22"/>
          <w:lang w:val="sr-Cyrl-RS"/>
        </w:rPr>
        <w:t xml:space="preserve"> са Акционим планом (2019</w:t>
      </w:r>
      <w:r>
        <w:rPr>
          <w:rFonts w:ascii="Arial" w:hAnsi="Arial" w:cs="Arial"/>
          <w:color w:val="000000"/>
          <w:sz w:val="22"/>
          <w:szCs w:val="22"/>
          <w:lang w:val="sr-Cyrl-RS"/>
        </w:rPr>
        <w:t>-</w:t>
      </w:r>
      <w:r w:rsidRPr="00EF008E">
        <w:rPr>
          <w:rFonts w:ascii="Arial" w:hAnsi="Arial" w:cs="Arial"/>
          <w:color w:val="000000"/>
          <w:sz w:val="22"/>
          <w:szCs w:val="22"/>
          <w:lang w:val="sr-Cyrl-RS"/>
        </w:rPr>
        <w:t>2020)</w:t>
      </w:r>
      <w:r w:rsidRPr="00EF008E">
        <w:rPr>
          <w:rFonts w:ascii="Arial" w:hAnsi="Arial" w:cs="Arial"/>
          <w:color w:val="000000"/>
          <w:sz w:val="22"/>
          <w:szCs w:val="22"/>
          <w:vertAlign w:val="superscript"/>
          <w:lang w:val="sr-Cyrl-RS"/>
        </w:rPr>
        <w:t>42</w:t>
      </w:r>
      <w:r w:rsidRPr="00EF008E">
        <w:rPr>
          <w:rFonts w:ascii="Arial" w:hAnsi="Arial" w:cs="Arial"/>
          <w:color w:val="000000"/>
          <w:sz w:val="22"/>
          <w:szCs w:val="22"/>
          <w:lang w:val="sr-Cyrl-RS"/>
        </w:rPr>
        <w:t>, Стратешки план полиције (2018</w:t>
      </w:r>
      <w:r>
        <w:rPr>
          <w:rFonts w:ascii="Arial" w:hAnsi="Arial" w:cs="Arial"/>
          <w:color w:val="000000"/>
          <w:sz w:val="22"/>
          <w:szCs w:val="22"/>
          <w:lang w:val="sr-Cyrl-RS"/>
        </w:rPr>
        <w:t>-</w:t>
      </w:r>
      <w:r w:rsidRPr="00EF008E">
        <w:rPr>
          <w:rFonts w:ascii="Arial" w:hAnsi="Arial" w:cs="Arial"/>
          <w:color w:val="000000"/>
          <w:sz w:val="22"/>
          <w:szCs w:val="22"/>
          <w:lang w:val="sr-Cyrl-RS"/>
        </w:rPr>
        <w:t>2021)</w:t>
      </w:r>
      <w:r w:rsidRPr="00EF008E">
        <w:rPr>
          <w:rFonts w:ascii="Arial" w:hAnsi="Arial" w:cs="Arial"/>
          <w:color w:val="000000"/>
          <w:sz w:val="22"/>
          <w:szCs w:val="22"/>
          <w:vertAlign w:val="superscript"/>
          <w:lang w:val="sr-Cyrl-RS"/>
        </w:rPr>
        <w:t>43</w:t>
      </w:r>
      <w:r w:rsidRPr="00EF008E">
        <w:rPr>
          <w:rFonts w:ascii="Arial" w:hAnsi="Arial" w:cs="Arial"/>
          <w:color w:val="000000"/>
          <w:sz w:val="22"/>
          <w:szCs w:val="22"/>
          <w:lang w:val="sr-Cyrl-RS"/>
        </w:rPr>
        <w:t>, Стратегија развоја система извршења кривичних санкција 2021</w:t>
      </w:r>
      <w:r>
        <w:rPr>
          <w:rFonts w:ascii="Arial" w:hAnsi="Arial" w:cs="Arial"/>
          <w:color w:val="000000"/>
          <w:sz w:val="22"/>
          <w:szCs w:val="22"/>
          <w:lang w:val="sr-Cyrl-RS"/>
        </w:rPr>
        <w:t>-</w:t>
      </w:r>
      <w:r w:rsidRPr="00EF008E">
        <w:rPr>
          <w:rFonts w:ascii="Arial" w:hAnsi="Arial" w:cs="Arial"/>
          <w:color w:val="000000"/>
          <w:sz w:val="22"/>
          <w:szCs w:val="22"/>
          <w:lang w:val="sr-Cyrl-RS"/>
        </w:rPr>
        <w:t>2027</w:t>
      </w:r>
      <w:r w:rsidRPr="00EF008E">
        <w:rPr>
          <w:rFonts w:ascii="Arial" w:hAnsi="Arial" w:cs="Arial"/>
          <w:color w:val="000000"/>
          <w:sz w:val="22"/>
          <w:szCs w:val="22"/>
          <w:vertAlign w:val="superscript"/>
          <w:lang w:val="sr-Cyrl-RS"/>
        </w:rPr>
        <w:t>44</w:t>
      </w:r>
      <w:r w:rsidRPr="00EF008E">
        <w:rPr>
          <w:rFonts w:ascii="Arial" w:hAnsi="Arial" w:cs="Arial"/>
          <w:color w:val="000000"/>
          <w:sz w:val="22"/>
          <w:szCs w:val="22"/>
          <w:lang w:val="sr-Cyrl-RS"/>
        </w:rPr>
        <w:t>, Национална стратегија реформе правосуђа (2020</w:t>
      </w:r>
      <w:r>
        <w:rPr>
          <w:rFonts w:ascii="Arial" w:hAnsi="Arial" w:cs="Arial"/>
          <w:color w:val="000000"/>
          <w:sz w:val="22"/>
          <w:szCs w:val="22"/>
          <w:lang w:val="sr-Cyrl-RS"/>
        </w:rPr>
        <w:t>-</w:t>
      </w:r>
      <w:r w:rsidRPr="00EF008E">
        <w:rPr>
          <w:rFonts w:ascii="Arial" w:hAnsi="Arial" w:cs="Arial"/>
          <w:color w:val="000000"/>
          <w:sz w:val="22"/>
          <w:szCs w:val="22"/>
          <w:lang w:val="sr-Cyrl-RS"/>
        </w:rPr>
        <w:t>2025)</w:t>
      </w:r>
      <w:r w:rsidRPr="00EF008E">
        <w:rPr>
          <w:rFonts w:ascii="Arial" w:hAnsi="Arial" w:cs="Arial"/>
          <w:color w:val="000000"/>
          <w:sz w:val="22"/>
          <w:szCs w:val="22"/>
          <w:vertAlign w:val="superscript"/>
          <w:lang w:val="sr-Cyrl-RS"/>
        </w:rPr>
        <w:t>45</w:t>
      </w:r>
      <w:r w:rsidRPr="00EF008E">
        <w:rPr>
          <w:rFonts w:ascii="Arial" w:hAnsi="Arial" w:cs="Arial"/>
          <w:color w:val="000000"/>
          <w:sz w:val="22"/>
          <w:szCs w:val="22"/>
          <w:lang w:val="sr-Cyrl-RS"/>
        </w:rPr>
        <w:t xml:space="preserve"> и АП</w:t>
      </w:r>
      <w:r w:rsidRPr="00EF008E">
        <w:rPr>
          <w:rFonts w:ascii="Arial" w:hAnsi="Arial" w:cs="Arial"/>
          <w:color w:val="000000"/>
          <w:sz w:val="22"/>
          <w:szCs w:val="22"/>
          <w:vertAlign w:val="superscript"/>
          <w:lang w:val="sr-Cyrl-RS"/>
        </w:rPr>
        <w:t>46</w:t>
      </w:r>
      <w:r w:rsidRPr="00EF008E">
        <w:rPr>
          <w:rFonts w:ascii="Arial" w:hAnsi="Arial" w:cs="Arial"/>
          <w:color w:val="000000"/>
          <w:sz w:val="22"/>
          <w:szCs w:val="22"/>
          <w:lang w:val="sr-Cyrl-RS"/>
        </w:rPr>
        <w:t>, Стратегија развоја система јавног информисања у Републике Србије за период од 2020. до 2025. године и АП (2020</w:t>
      </w:r>
      <w:r>
        <w:rPr>
          <w:rFonts w:ascii="Arial" w:hAnsi="Arial" w:cs="Arial"/>
          <w:color w:val="000000"/>
          <w:sz w:val="22"/>
          <w:szCs w:val="22"/>
          <w:lang w:val="sr-Cyrl-RS"/>
        </w:rPr>
        <w:t>-</w:t>
      </w:r>
      <w:r w:rsidRPr="00EF008E">
        <w:rPr>
          <w:rFonts w:ascii="Arial" w:hAnsi="Arial" w:cs="Arial"/>
          <w:color w:val="000000"/>
          <w:sz w:val="22"/>
          <w:szCs w:val="22"/>
          <w:lang w:val="sr-Cyrl-RS"/>
        </w:rPr>
        <w:t>2022).</w:t>
      </w:r>
      <w:r w:rsidRPr="00EF008E">
        <w:rPr>
          <w:rFonts w:ascii="Arial" w:hAnsi="Arial" w:cs="Arial"/>
          <w:color w:val="000000"/>
          <w:sz w:val="22"/>
          <w:szCs w:val="22"/>
          <w:vertAlign w:val="superscript"/>
          <w:lang w:val="sr-Cyrl-RS"/>
        </w:rPr>
        <w:t>47</w:t>
      </w:r>
      <w:r w:rsidRPr="00EF008E">
        <w:rPr>
          <w:rFonts w:ascii="Arial" w:hAnsi="Arial" w:cs="Arial"/>
          <w:color w:val="000000"/>
          <w:sz w:val="22"/>
          <w:szCs w:val="22"/>
          <w:lang w:val="sr-Cyrl-RS"/>
        </w:rPr>
        <w:t xml:space="preserve"> Неке стратегије престале су да важе, а значајне су за ове области: Стратегија супротстављања ирегуларним миграцијама у Републике Србије (2018</w:t>
      </w:r>
      <w:r>
        <w:rPr>
          <w:rFonts w:ascii="Arial" w:hAnsi="Arial" w:cs="Arial"/>
          <w:color w:val="000000"/>
          <w:sz w:val="22"/>
          <w:szCs w:val="22"/>
          <w:lang w:val="sr-Cyrl-RS"/>
        </w:rPr>
        <w:t>-</w:t>
      </w:r>
      <w:r w:rsidRPr="00EF008E">
        <w:rPr>
          <w:rFonts w:ascii="Arial" w:hAnsi="Arial" w:cs="Arial"/>
          <w:color w:val="000000"/>
          <w:sz w:val="22"/>
          <w:szCs w:val="22"/>
          <w:lang w:val="sr-Cyrl-RS"/>
        </w:rPr>
        <w:t>2020),</w:t>
      </w:r>
      <w:r w:rsidRPr="00EF008E">
        <w:rPr>
          <w:rFonts w:ascii="Arial" w:hAnsi="Arial" w:cs="Arial"/>
          <w:color w:val="000000"/>
          <w:sz w:val="22"/>
          <w:szCs w:val="22"/>
          <w:vertAlign w:val="superscript"/>
          <w:lang w:val="sr-Cyrl-RS"/>
        </w:rPr>
        <w:t>48</w:t>
      </w:r>
      <w:r w:rsidRPr="00EF008E">
        <w:rPr>
          <w:rFonts w:ascii="Arial" w:hAnsi="Arial" w:cs="Arial"/>
          <w:color w:val="000000"/>
          <w:sz w:val="22"/>
          <w:szCs w:val="22"/>
          <w:lang w:val="sr-Cyrl-RS"/>
        </w:rPr>
        <w:t xml:space="preserve"> Стратегија интегрисаног управљања границом у Републици Србији (2017</w:t>
      </w:r>
      <w:r>
        <w:rPr>
          <w:rFonts w:ascii="Arial" w:hAnsi="Arial" w:cs="Arial"/>
          <w:color w:val="000000"/>
          <w:sz w:val="22"/>
          <w:szCs w:val="22"/>
          <w:lang w:val="sr-Cyrl-RS"/>
        </w:rPr>
        <w:t>-</w:t>
      </w:r>
      <w:r w:rsidRPr="00EF008E">
        <w:rPr>
          <w:rFonts w:ascii="Arial" w:hAnsi="Arial" w:cs="Arial"/>
          <w:color w:val="000000"/>
          <w:sz w:val="22"/>
          <w:szCs w:val="22"/>
          <w:lang w:val="sr-Cyrl-RS"/>
        </w:rPr>
        <w:t>2020),</w:t>
      </w:r>
      <w:r w:rsidRPr="00EF008E">
        <w:rPr>
          <w:rFonts w:ascii="Arial" w:hAnsi="Arial" w:cs="Arial"/>
          <w:color w:val="000000"/>
          <w:sz w:val="22"/>
          <w:szCs w:val="22"/>
          <w:vertAlign w:val="superscript"/>
          <w:lang w:val="sr-Cyrl-RS"/>
        </w:rPr>
        <w:t>49</w:t>
      </w:r>
      <w:r w:rsidRPr="00EF008E">
        <w:rPr>
          <w:rFonts w:ascii="Arial" w:hAnsi="Arial" w:cs="Arial"/>
          <w:color w:val="000000"/>
          <w:sz w:val="22"/>
          <w:szCs w:val="22"/>
          <w:lang w:val="sr-Cyrl-RS"/>
        </w:rPr>
        <w:t xml:space="preserve"> Национална стратегија за решавање питања избеглица и интерно расељених лица за период од 2015. до 2020. године</w:t>
      </w:r>
      <w:r w:rsidRPr="00EF008E">
        <w:rPr>
          <w:rFonts w:ascii="Arial" w:hAnsi="Arial" w:cs="Arial"/>
          <w:color w:val="000000"/>
          <w:sz w:val="22"/>
          <w:szCs w:val="22"/>
          <w:vertAlign w:val="superscript"/>
          <w:lang w:val="sr-Cyrl-RS"/>
        </w:rPr>
        <w:t>50</w:t>
      </w:r>
      <w:r w:rsidRPr="00EF008E">
        <w:rPr>
          <w:rFonts w:ascii="Arial" w:hAnsi="Arial" w:cs="Arial"/>
          <w:color w:val="000000"/>
          <w:sz w:val="22"/>
          <w:szCs w:val="22"/>
          <w:lang w:val="sr-Cyrl-RS"/>
        </w:rPr>
        <w:t>, Стратегија развоја система бесплатне правне помоћи у Републици Србији</w:t>
      </w:r>
      <w:r w:rsidRPr="00EF008E">
        <w:rPr>
          <w:rFonts w:ascii="Arial" w:hAnsi="Arial" w:cs="Arial"/>
          <w:color w:val="000000"/>
          <w:sz w:val="22"/>
          <w:szCs w:val="22"/>
          <w:vertAlign w:val="superscript"/>
          <w:lang w:val="sr-Cyrl-RS"/>
        </w:rPr>
        <w:t>51</w:t>
      </w:r>
      <w:r w:rsidRPr="00EF008E">
        <w:rPr>
          <w:rFonts w:ascii="Arial" w:hAnsi="Arial" w:cs="Arial"/>
          <w:color w:val="000000"/>
          <w:sz w:val="22"/>
          <w:szCs w:val="22"/>
          <w:lang w:val="sr-Cyrl-RS"/>
        </w:rPr>
        <w:t>, Стратегија заштите података о личности</w:t>
      </w:r>
      <w:r w:rsidRPr="00EF008E">
        <w:rPr>
          <w:rFonts w:ascii="Arial" w:hAnsi="Arial" w:cs="Arial"/>
          <w:color w:val="000000"/>
          <w:sz w:val="22"/>
          <w:szCs w:val="22"/>
          <w:vertAlign w:val="superscript"/>
          <w:lang w:val="sr-Cyrl-RS"/>
        </w:rPr>
        <w:t>52</w:t>
      </w:r>
      <w:r w:rsidRPr="00EF008E">
        <w:rPr>
          <w:rFonts w:ascii="Arial" w:hAnsi="Arial" w:cs="Arial"/>
          <w:color w:val="000000"/>
          <w:sz w:val="22"/>
          <w:szCs w:val="22"/>
          <w:lang w:val="sr-Cyrl-RS"/>
        </w:rPr>
        <w:t>, Национална стратегија заштите и спасавања у ванредним ситуацијама (2011)</w:t>
      </w:r>
      <w:r w:rsidRPr="00EF008E">
        <w:rPr>
          <w:rFonts w:ascii="Arial" w:hAnsi="Arial" w:cs="Arial"/>
          <w:color w:val="000000"/>
          <w:sz w:val="22"/>
          <w:szCs w:val="22"/>
          <w:vertAlign w:val="superscript"/>
          <w:lang w:val="sr-Cyrl-RS"/>
        </w:rPr>
        <w:t>53</w:t>
      </w:r>
      <w:r w:rsidRPr="00EF008E">
        <w:rPr>
          <w:rFonts w:ascii="Arial" w:hAnsi="Arial" w:cs="Arial"/>
          <w:color w:val="000000"/>
          <w:sz w:val="22"/>
          <w:szCs w:val="22"/>
          <w:lang w:val="sr-Cyrl-RS"/>
        </w:rPr>
        <w:t>, Национална стратегија о старењу (2006</w:t>
      </w:r>
      <w:r>
        <w:rPr>
          <w:rFonts w:ascii="Arial" w:hAnsi="Arial" w:cs="Arial"/>
          <w:color w:val="000000"/>
          <w:sz w:val="22"/>
          <w:szCs w:val="22"/>
          <w:lang w:val="sr-Cyrl-RS"/>
        </w:rPr>
        <w:t>-</w:t>
      </w:r>
      <w:r w:rsidRPr="00EF008E">
        <w:rPr>
          <w:rFonts w:ascii="Arial" w:hAnsi="Arial" w:cs="Arial"/>
          <w:color w:val="000000"/>
          <w:sz w:val="22"/>
          <w:szCs w:val="22"/>
          <w:lang w:val="sr-Cyrl-RS"/>
        </w:rPr>
        <w:t>2015).</w:t>
      </w:r>
      <w:r w:rsidRPr="00EF008E">
        <w:rPr>
          <w:rFonts w:ascii="Arial" w:hAnsi="Arial" w:cs="Arial"/>
          <w:color w:val="000000"/>
          <w:sz w:val="22"/>
          <w:szCs w:val="22"/>
          <w:vertAlign w:val="superscript"/>
          <w:lang w:val="sr-Cyrl-RS"/>
        </w:rPr>
        <w:t>54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Плански документи који се односе на родне аспекте у областима здравствене заштите и социјалне сигурности су: Национална стратегија социјалног становања</w:t>
      </w:r>
      <w:r w:rsidRPr="00EF008E">
        <w:rPr>
          <w:rFonts w:ascii="Arial" w:hAnsi="Arial" w:cs="Arial"/>
          <w:color w:val="000000"/>
          <w:sz w:val="22"/>
          <w:szCs w:val="22"/>
          <w:vertAlign w:val="superscript"/>
          <w:lang w:val="sr-Cyrl-RS"/>
        </w:rPr>
        <w:t>55</w:t>
      </w:r>
      <w:r w:rsidRPr="00EF008E">
        <w:rPr>
          <w:rFonts w:ascii="Arial" w:hAnsi="Arial" w:cs="Arial"/>
          <w:color w:val="000000"/>
          <w:sz w:val="22"/>
          <w:szCs w:val="22"/>
          <w:lang w:val="sr-Cyrl-RS"/>
        </w:rPr>
        <w:t>, Стратегија подстицања рађања</w:t>
      </w:r>
      <w:r w:rsidRPr="00EF008E">
        <w:rPr>
          <w:rFonts w:ascii="Arial" w:hAnsi="Arial" w:cs="Arial"/>
          <w:color w:val="000000"/>
          <w:sz w:val="22"/>
          <w:szCs w:val="22"/>
          <w:vertAlign w:val="superscript"/>
          <w:lang w:val="sr-Cyrl-RS"/>
        </w:rPr>
        <w:t>56</w:t>
      </w:r>
      <w:r w:rsidRPr="00EF008E">
        <w:rPr>
          <w:rFonts w:ascii="Arial" w:hAnsi="Arial" w:cs="Arial"/>
          <w:color w:val="000000"/>
          <w:sz w:val="22"/>
          <w:szCs w:val="22"/>
          <w:lang w:val="sr-Cyrl-RS"/>
        </w:rPr>
        <w:t>, Стратегија безбедности и здравља на раду (2018</w:t>
      </w:r>
      <w:r>
        <w:rPr>
          <w:rFonts w:ascii="Arial" w:hAnsi="Arial" w:cs="Arial"/>
          <w:color w:val="000000"/>
          <w:sz w:val="22"/>
          <w:szCs w:val="22"/>
          <w:lang w:val="sr-Cyrl-RS"/>
        </w:rPr>
        <w:t>-</w:t>
      </w:r>
      <w:r w:rsidRPr="00EF008E">
        <w:rPr>
          <w:rFonts w:ascii="Arial" w:hAnsi="Arial" w:cs="Arial"/>
          <w:color w:val="000000"/>
          <w:sz w:val="22"/>
          <w:szCs w:val="22"/>
          <w:lang w:val="sr-Cyrl-RS"/>
        </w:rPr>
        <w:t>2022) и АП (2018</w:t>
      </w:r>
      <w:r>
        <w:rPr>
          <w:rFonts w:ascii="Arial" w:hAnsi="Arial" w:cs="Arial"/>
          <w:color w:val="000000"/>
          <w:sz w:val="22"/>
          <w:szCs w:val="22"/>
          <w:lang w:val="sr-Cyrl-RS"/>
        </w:rPr>
        <w:t>-</w:t>
      </w:r>
      <w:r w:rsidRPr="00EF008E">
        <w:rPr>
          <w:rFonts w:ascii="Arial" w:hAnsi="Arial" w:cs="Arial"/>
          <w:color w:val="000000"/>
          <w:sz w:val="22"/>
          <w:szCs w:val="22"/>
          <w:lang w:val="sr-Cyrl-RS"/>
        </w:rPr>
        <w:t>2022)</w:t>
      </w:r>
      <w:r w:rsidRPr="00EF008E">
        <w:rPr>
          <w:rFonts w:ascii="Arial" w:hAnsi="Arial" w:cs="Arial"/>
          <w:color w:val="000000"/>
          <w:sz w:val="22"/>
          <w:szCs w:val="22"/>
          <w:vertAlign w:val="superscript"/>
          <w:lang w:val="sr-Cyrl-RS"/>
        </w:rPr>
        <w:t>57</w:t>
      </w:r>
      <w:r w:rsidRPr="00EF008E">
        <w:rPr>
          <w:rFonts w:ascii="Arial" w:hAnsi="Arial" w:cs="Arial"/>
          <w:color w:val="000000"/>
          <w:sz w:val="22"/>
          <w:szCs w:val="22"/>
          <w:lang w:val="sr-Cyrl-RS"/>
        </w:rPr>
        <w:t>, Стратегија јавног здравља у Републици Србији (2018</w:t>
      </w:r>
      <w:r>
        <w:rPr>
          <w:rFonts w:ascii="Arial" w:hAnsi="Arial" w:cs="Arial"/>
          <w:color w:val="000000"/>
          <w:sz w:val="22"/>
          <w:szCs w:val="22"/>
          <w:lang w:val="sr-Cyrl-RS"/>
        </w:rPr>
        <w:t>-</w:t>
      </w:r>
      <w:r w:rsidRPr="00EF008E">
        <w:rPr>
          <w:rFonts w:ascii="Arial" w:hAnsi="Arial" w:cs="Arial"/>
          <w:color w:val="000000"/>
          <w:sz w:val="22"/>
          <w:szCs w:val="22"/>
          <w:lang w:val="sr-Cyrl-RS"/>
        </w:rPr>
        <w:t>2026. године)</w:t>
      </w:r>
      <w:r w:rsidRPr="00EF008E">
        <w:rPr>
          <w:rFonts w:ascii="Arial" w:hAnsi="Arial" w:cs="Arial"/>
          <w:color w:val="000000"/>
          <w:sz w:val="22"/>
          <w:szCs w:val="22"/>
          <w:vertAlign w:val="superscript"/>
          <w:lang w:val="sr-Cyrl-RS"/>
        </w:rPr>
        <w:t>58</w:t>
      </w:r>
      <w:r w:rsidRPr="00EF008E">
        <w:rPr>
          <w:rFonts w:ascii="Arial" w:hAnsi="Arial" w:cs="Arial"/>
          <w:color w:val="000000"/>
          <w:sz w:val="22"/>
          <w:szCs w:val="22"/>
          <w:lang w:val="sr-Cyrl-RS"/>
        </w:rPr>
        <w:t>, Уредба о Националном програму за очување и унапређење сексуалног и репродуктивног здравља грађана Републике Србије</w:t>
      </w:r>
      <w:r w:rsidRPr="00EF008E">
        <w:rPr>
          <w:rFonts w:ascii="Arial" w:hAnsi="Arial" w:cs="Arial"/>
          <w:color w:val="000000"/>
          <w:sz w:val="22"/>
          <w:szCs w:val="22"/>
          <w:vertAlign w:val="superscript"/>
          <w:lang w:val="sr-Cyrl-RS"/>
        </w:rPr>
        <w:t>59</w:t>
      </w:r>
      <w:r w:rsidRPr="00EF008E">
        <w:rPr>
          <w:rFonts w:ascii="Arial" w:hAnsi="Arial" w:cs="Arial"/>
          <w:color w:val="000000"/>
          <w:sz w:val="22"/>
          <w:szCs w:val="22"/>
          <w:lang w:val="sr-Cyrl-RS"/>
        </w:rPr>
        <w:t>, Стратегија за превенцију и контролу хроничних незаразних болести</w:t>
      </w:r>
      <w:r w:rsidRPr="00EF008E">
        <w:rPr>
          <w:rFonts w:ascii="Arial" w:hAnsi="Arial" w:cs="Arial"/>
          <w:color w:val="000000"/>
          <w:sz w:val="22"/>
          <w:szCs w:val="22"/>
          <w:vertAlign w:val="superscript"/>
          <w:lang w:val="sr-Cyrl-RS"/>
        </w:rPr>
        <w:t>60</w:t>
      </w:r>
      <w:r w:rsidRPr="00EF008E">
        <w:rPr>
          <w:rFonts w:ascii="Arial" w:hAnsi="Arial" w:cs="Arial"/>
          <w:color w:val="000000"/>
          <w:sz w:val="22"/>
          <w:szCs w:val="22"/>
          <w:lang w:val="sr-Cyrl-RS"/>
        </w:rPr>
        <w:t>, Стратегија за превенцију и контролу ХИВ и АИДС у Републици Србији, 2018</w:t>
      </w:r>
      <w:r>
        <w:rPr>
          <w:rFonts w:ascii="Arial" w:hAnsi="Arial" w:cs="Arial"/>
          <w:color w:val="000000"/>
          <w:sz w:val="22"/>
          <w:szCs w:val="22"/>
          <w:lang w:val="sr-Cyrl-RS"/>
        </w:rPr>
        <w:t>-</w:t>
      </w:r>
      <w:r w:rsidRPr="00EF008E">
        <w:rPr>
          <w:rFonts w:ascii="Arial" w:hAnsi="Arial" w:cs="Arial"/>
          <w:color w:val="000000"/>
          <w:sz w:val="22"/>
          <w:szCs w:val="22"/>
          <w:lang w:val="sr-Cyrl-RS"/>
        </w:rPr>
        <w:t>2025</w:t>
      </w:r>
      <w:r w:rsidRPr="00EF008E">
        <w:rPr>
          <w:rFonts w:ascii="Arial" w:hAnsi="Arial" w:cs="Arial"/>
          <w:color w:val="000000"/>
          <w:sz w:val="22"/>
          <w:szCs w:val="22"/>
          <w:vertAlign w:val="superscript"/>
          <w:lang w:val="sr-Cyrl-RS"/>
        </w:rPr>
        <w:t>61</w:t>
      </w:r>
      <w:r w:rsidRPr="00EF008E">
        <w:rPr>
          <w:rFonts w:ascii="Arial" w:hAnsi="Arial" w:cs="Arial"/>
          <w:color w:val="000000"/>
          <w:sz w:val="22"/>
          <w:szCs w:val="22"/>
          <w:lang w:val="sr-Cyrl-RS"/>
        </w:rPr>
        <w:t>, Програм за ретке болести у Републици Србији за период 2020</w:t>
      </w:r>
      <w:r>
        <w:rPr>
          <w:rFonts w:ascii="Arial" w:hAnsi="Arial" w:cs="Arial"/>
          <w:color w:val="000000"/>
          <w:sz w:val="22"/>
          <w:szCs w:val="22"/>
          <w:lang w:val="sr-Cyrl-RS"/>
        </w:rPr>
        <w:t>-</w:t>
      </w:r>
      <w:r w:rsidRPr="00EF008E">
        <w:rPr>
          <w:rFonts w:ascii="Arial" w:hAnsi="Arial" w:cs="Arial"/>
          <w:color w:val="000000"/>
          <w:sz w:val="22"/>
          <w:szCs w:val="22"/>
          <w:lang w:val="sr-Cyrl-RS"/>
        </w:rPr>
        <w:t>2022. године са АП</w:t>
      </w:r>
      <w:r w:rsidRPr="00EF008E">
        <w:rPr>
          <w:rFonts w:ascii="Arial" w:hAnsi="Arial" w:cs="Arial"/>
          <w:color w:val="000000"/>
          <w:sz w:val="22"/>
          <w:szCs w:val="22"/>
          <w:vertAlign w:val="superscript"/>
          <w:lang w:val="sr-Cyrl-RS"/>
        </w:rPr>
        <w:t>62</w:t>
      </w:r>
      <w:r w:rsidRPr="00EF008E">
        <w:rPr>
          <w:rFonts w:ascii="Arial" w:hAnsi="Arial" w:cs="Arial"/>
          <w:color w:val="000000"/>
          <w:sz w:val="22"/>
          <w:szCs w:val="22"/>
          <w:lang w:val="sr-Cyrl-RS"/>
        </w:rPr>
        <w:t>, Уредба о Националном програму превенције штетне употребе алкохола и алкохолом узрокованих поремећаја у Републици Србији</w:t>
      </w:r>
      <w:r w:rsidRPr="00EF008E">
        <w:rPr>
          <w:rFonts w:ascii="Arial" w:hAnsi="Arial" w:cs="Arial"/>
          <w:color w:val="000000"/>
          <w:sz w:val="22"/>
          <w:szCs w:val="22"/>
          <w:vertAlign w:val="superscript"/>
          <w:lang w:val="sr-Cyrl-RS"/>
        </w:rPr>
        <w:t>63</w:t>
      </w:r>
      <w:r w:rsidRPr="00EF008E">
        <w:rPr>
          <w:rFonts w:ascii="Arial" w:hAnsi="Arial" w:cs="Arial"/>
          <w:color w:val="000000"/>
          <w:sz w:val="22"/>
          <w:szCs w:val="22"/>
          <w:lang w:val="sr-Cyrl-RS"/>
        </w:rPr>
        <w:t>, Уредба о Националном програму за превенцију гојазности код деце и одраслих</w:t>
      </w:r>
      <w:r w:rsidRPr="00EF008E">
        <w:rPr>
          <w:rFonts w:ascii="Arial" w:hAnsi="Arial" w:cs="Arial"/>
          <w:color w:val="000000"/>
          <w:sz w:val="22"/>
          <w:szCs w:val="22"/>
          <w:vertAlign w:val="superscript"/>
          <w:lang w:val="sr-Cyrl-RS"/>
        </w:rPr>
        <w:t>64</w:t>
      </w:r>
      <w:r w:rsidRPr="00EF008E">
        <w:rPr>
          <w:rFonts w:ascii="Arial" w:hAnsi="Arial" w:cs="Arial"/>
          <w:color w:val="000000"/>
          <w:sz w:val="22"/>
          <w:szCs w:val="22"/>
          <w:lang w:val="sr-Cyrl-RS"/>
        </w:rPr>
        <w:t>, Уредба о Националном програму подршке дојењу, породичној и развојној нези новорођенчета</w:t>
      </w:r>
      <w:r w:rsidRPr="00EF008E">
        <w:rPr>
          <w:rFonts w:ascii="Arial" w:hAnsi="Arial" w:cs="Arial"/>
          <w:color w:val="000000"/>
          <w:sz w:val="22"/>
          <w:szCs w:val="22"/>
          <w:vertAlign w:val="superscript"/>
          <w:lang w:val="sr-Cyrl-RS"/>
        </w:rPr>
        <w:t>65</w:t>
      </w:r>
      <w:r w:rsidRPr="00EF008E">
        <w:rPr>
          <w:rFonts w:ascii="Arial" w:hAnsi="Arial" w:cs="Arial"/>
          <w:color w:val="000000"/>
          <w:sz w:val="22"/>
          <w:szCs w:val="22"/>
          <w:lang w:val="sr-Cyrl-RS"/>
        </w:rPr>
        <w:t xml:space="preserve"> Програм о заштити менталног здравља у Републици Србији за период од 2019. до 2026. године</w:t>
      </w:r>
      <w:r w:rsidRPr="00EF008E">
        <w:rPr>
          <w:rFonts w:ascii="Arial" w:hAnsi="Arial" w:cs="Arial"/>
          <w:color w:val="000000"/>
          <w:sz w:val="22"/>
          <w:szCs w:val="22"/>
          <w:vertAlign w:val="superscript"/>
          <w:lang w:val="sr-Cyrl-RS"/>
        </w:rPr>
        <w:t>66</w:t>
      </w:r>
      <w:r w:rsidRPr="00EF008E">
        <w:rPr>
          <w:rFonts w:ascii="Arial" w:hAnsi="Arial" w:cs="Arial"/>
          <w:color w:val="000000"/>
          <w:sz w:val="22"/>
          <w:szCs w:val="22"/>
          <w:lang w:val="sr-Cyrl-RS"/>
        </w:rPr>
        <w:t>, Програм унапређења контроле рака у Републици Србији (2020</w:t>
      </w:r>
      <w:r>
        <w:rPr>
          <w:rFonts w:ascii="Arial" w:hAnsi="Arial" w:cs="Arial"/>
          <w:color w:val="000000"/>
          <w:sz w:val="22"/>
          <w:szCs w:val="22"/>
          <w:lang w:val="sr-Cyrl-RS"/>
        </w:rPr>
        <w:t>-</w:t>
      </w:r>
      <w:r w:rsidRPr="00EF008E">
        <w:rPr>
          <w:rFonts w:ascii="Arial" w:hAnsi="Arial" w:cs="Arial"/>
          <w:color w:val="000000"/>
          <w:sz w:val="22"/>
          <w:szCs w:val="22"/>
          <w:lang w:val="sr-Cyrl-RS"/>
        </w:rPr>
        <w:t>2022. године)</w:t>
      </w:r>
      <w:r w:rsidRPr="00EF008E">
        <w:rPr>
          <w:rFonts w:ascii="Arial" w:hAnsi="Arial" w:cs="Arial"/>
          <w:color w:val="000000"/>
          <w:sz w:val="22"/>
          <w:szCs w:val="22"/>
          <w:vertAlign w:val="superscript"/>
          <w:lang w:val="sr-Cyrl-RS"/>
        </w:rPr>
        <w:t>67</w:t>
      </w:r>
      <w:r w:rsidRPr="00EF008E">
        <w:rPr>
          <w:rFonts w:ascii="Arial" w:hAnsi="Arial" w:cs="Arial"/>
          <w:color w:val="000000"/>
          <w:sz w:val="22"/>
          <w:szCs w:val="22"/>
          <w:lang w:val="sr-Cyrl-RS"/>
        </w:rPr>
        <w:t xml:space="preserve">, Програм заштите и спасавања у ванредним ситуацијама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одговор здравственог сектора</w:t>
      </w:r>
      <w:r w:rsidRPr="00EF008E">
        <w:rPr>
          <w:rFonts w:ascii="Arial" w:hAnsi="Arial" w:cs="Arial"/>
          <w:color w:val="000000"/>
          <w:sz w:val="22"/>
          <w:szCs w:val="22"/>
          <w:vertAlign w:val="superscript"/>
          <w:lang w:val="sr-Cyrl-RS"/>
        </w:rPr>
        <w:t>68</w:t>
      </w:r>
      <w:r w:rsidRPr="00EF008E">
        <w:rPr>
          <w:rFonts w:ascii="Arial" w:hAnsi="Arial" w:cs="Arial"/>
          <w:color w:val="000000"/>
          <w:sz w:val="22"/>
          <w:szCs w:val="22"/>
          <w:lang w:val="sr-Cyrl-RS"/>
        </w:rPr>
        <w:t>. Неки плански документи више не важе, а значајни су за ове области: Национална стратегија о старењу (2006</w:t>
      </w:r>
      <w:r>
        <w:rPr>
          <w:rFonts w:ascii="Arial" w:hAnsi="Arial" w:cs="Arial"/>
          <w:color w:val="000000"/>
          <w:sz w:val="22"/>
          <w:szCs w:val="22"/>
          <w:lang w:val="sr-Cyrl-RS"/>
        </w:rPr>
        <w:t>-</w:t>
      </w:r>
      <w:r w:rsidRPr="00EF008E">
        <w:rPr>
          <w:rFonts w:ascii="Arial" w:hAnsi="Arial" w:cs="Arial"/>
          <w:color w:val="000000"/>
          <w:sz w:val="22"/>
          <w:szCs w:val="22"/>
          <w:lang w:val="sr-Cyrl-RS"/>
        </w:rPr>
        <w:t>2015)</w:t>
      </w:r>
      <w:r w:rsidRPr="00EF008E">
        <w:rPr>
          <w:rFonts w:ascii="Arial" w:hAnsi="Arial" w:cs="Arial"/>
          <w:color w:val="000000"/>
          <w:sz w:val="22"/>
          <w:szCs w:val="22"/>
          <w:vertAlign w:val="superscript"/>
          <w:lang w:val="sr-Cyrl-RS"/>
        </w:rPr>
        <w:t>69</w:t>
      </w:r>
      <w:r w:rsidRPr="00EF008E">
        <w:rPr>
          <w:rFonts w:ascii="Arial" w:hAnsi="Arial" w:cs="Arial"/>
          <w:color w:val="000000"/>
          <w:sz w:val="22"/>
          <w:szCs w:val="22"/>
          <w:lang w:val="sr-Cyrl-RS"/>
        </w:rPr>
        <w:t>, Стратегија за палијативно збрињавање</w:t>
      </w:r>
      <w:r w:rsidRPr="00EF008E">
        <w:rPr>
          <w:rFonts w:ascii="Arial" w:hAnsi="Arial" w:cs="Arial"/>
          <w:color w:val="000000"/>
          <w:sz w:val="22"/>
          <w:szCs w:val="22"/>
          <w:vertAlign w:val="superscript"/>
          <w:lang w:val="sr-Cyrl-RS"/>
        </w:rPr>
        <w:t>70</w:t>
      </w:r>
      <w:r w:rsidRPr="00EF008E">
        <w:rPr>
          <w:rFonts w:ascii="Arial" w:hAnsi="Arial" w:cs="Arial"/>
          <w:color w:val="000000"/>
          <w:sz w:val="22"/>
          <w:szCs w:val="22"/>
          <w:lang w:val="sr-Cyrl-RS"/>
        </w:rPr>
        <w:t>, Национални програм здравствене заштите жена, деце и омладине (2009)</w:t>
      </w:r>
      <w:r w:rsidRPr="00EF008E">
        <w:rPr>
          <w:rFonts w:ascii="Arial" w:hAnsi="Arial" w:cs="Arial"/>
          <w:color w:val="000000"/>
          <w:sz w:val="22"/>
          <w:szCs w:val="22"/>
          <w:vertAlign w:val="superscript"/>
          <w:lang w:val="sr-Cyrl-RS"/>
        </w:rPr>
        <w:t>71</w:t>
      </w:r>
      <w:r w:rsidRPr="00EF008E">
        <w:rPr>
          <w:rFonts w:ascii="Arial" w:hAnsi="Arial" w:cs="Arial"/>
          <w:color w:val="000000"/>
          <w:sz w:val="22"/>
          <w:szCs w:val="22"/>
          <w:lang w:val="sr-Cyrl-RS"/>
        </w:rPr>
        <w:t>, Стратегија за стално унапређење квалитета здравствене заштите и безбедности пацијената.</w:t>
      </w:r>
      <w:r w:rsidRPr="00EF008E">
        <w:rPr>
          <w:rFonts w:ascii="Arial" w:hAnsi="Arial" w:cs="Arial"/>
          <w:color w:val="000000"/>
          <w:sz w:val="22"/>
          <w:szCs w:val="22"/>
          <w:vertAlign w:val="superscript"/>
          <w:lang w:val="sr-Cyrl-RS"/>
        </w:rPr>
        <w:t>72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Плански документи релевантни за институционални оквир, систем и алате за креирање родно одговорних јавних политика и буџета су: Стратегија реформе јавне управе у Републици Србији за период од 2020. до 2030. године</w:t>
      </w:r>
      <w:r w:rsidRPr="00EF008E">
        <w:rPr>
          <w:rFonts w:ascii="Arial" w:hAnsi="Arial" w:cs="Arial"/>
          <w:color w:val="000000"/>
          <w:sz w:val="22"/>
          <w:szCs w:val="22"/>
          <w:vertAlign w:val="superscript"/>
          <w:lang w:val="sr-Cyrl-RS"/>
        </w:rPr>
        <w:t>73</w:t>
      </w:r>
      <w:r w:rsidRPr="00EF008E">
        <w:rPr>
          <w:rFonts w:ascii="Arial" w:hAnsi="Arial" w:cs="Arial"/>
          <w:color w:val="000000"/>
          <w:sz w:val="22"/>
          <w:szCs w:val="22"/>
          <w:lang w:val="sr-Cyrl-RS"/>
        </w:rPr>
        <w:t>, Програм развоја електронске управе у Републици Србији у периоду од 2020. до 2022. године и АП (2020</w:t>
      </w:r>
      <w:r>
        <w:rPr>
          <w:rFonts w:ascii="Arial" w:hAnsi="Arial" w:cs="Arial"/>
          <w:color w:val="000000"/>
          <w:sz w:val="22"/>
          <w:szCs w:val="22"/>
          <w:lang w:val="sr-Cyrl-RS"/>
        </w:rPr>
        <w:t>-</w:t>
      </w:r>
      <w:r w:rsidRPr="00EF008E">
        <w:rPr>
          <w:rFonts w:ascii="Arial" w:hAnsi="Arial" w:cs="Arial"/>
          <w:color w:val="000000"/>
          <w:sz w:val="22"/>
          <w:szCs w:val="22"/>
          <w:lang w:val="sr-Cyrl-RS"/>
        </w:rPr>
        <w:t>2022)</w:t>
      </w:r>
      <w:r w:rsidRPr="00EF008E">
        <w:rPr>
          <w:rFonts w:ascii="Arial" w:hAnsi="Arial" w:cs="Arial"/>
          <w:color w:val="000000"/>
          <w:sz w:val="22"/>
          <w:szCs w:val="22"/>
          <w:vertAlign w:val="superscript"/>
          <w:lang w:val="sr-Cyrl-RS"/>
        </w:rPr>
        <w:t>74</w:t>
      </w:r>
      <w:r w:rsidRPr="00EF008E">
        <w:rPr>
          <w:rFonts w:ascii="Arial" w:hAnsi="Arial" w:cs="Arial"/>
          <w:color w:val="000000"/>
          <w:sz w:val="22"/>
          <w:szCs w:val="22"/>
          <w:lang w:val="sr-Cyrl-RS"/>
        </w:rPr>
        <w:t>, Програм реформе управљања јавним финансијама за период од 2021</w:t>
      </w:r>
      <w:r>
        <w:rPr>
          <w:rFonts w:ascii="Arial" w:hAnsi="Arial" w:cs="Arial"/>
          <w:color w:val="000000"/>
          <w:sz w:val="22"/>
          <w:szCs w:val="22"/>
          <w:lang w:val="sr-Cyrl-RS"/>
        </w:rPr>
        <w:t>-</w:t>
      </w:r>
      <w:r w:rsidRPr="00EF008E">
        <w:rPr>
          <w:rFonts w:ascii="Arial" w:hAnsi="Arial" w:cs="Arial"/>
          <w:color w:val="000000"/>
          <w:sz w:val="22"/>
          <w:szCs w:val="22"/>
          <w:lang w:val="sr-Cyrl-RS"/>
        </w:rPr>
        <w:t>2025.</w:t>
      </w:r>
      <w:r w:rsidRPr="00EF008E">
        <w:rPr>
          <w:rFonts w:ascii="Arial" w:hAnsi="Arial" w:cs="Arial"/>
          <w:color w:val="000000"/>
          <w:sz w:val="22"/>
          <w:szCs w:val="22"/>
          <w:vertAlign w:val="superscript"/>
          <w:lang w:val="sr-Cyrl-RS"/>
        </w:rPr>
        <w:t>75</w:t>
      </w:r>
      <w:r w:rsidRPr="00EF008E">
        <w:rPr>
          <w:rFonts w:ascii="Arial" w:hAnsi="Arial" w:cs="Arial"/>
          <w:color w:val="000000"/>
          <w:sz w:val="22"/>
          <w:szCs w:val="22"/>
          <w:lang w:val="sr-Cyrl-RS"/>
        </w:rPr>
        <w:t xml:space="preserve"> године, Фискална стратегија за 2022. годину са пројекцијама за 2023. и 2024. годину.</w:t>
      </w:r>
      <w:r w:rsidRPr="00EF008E">
        <w:rPr>
          <w:rFonts w:ascii="Arial" w:hAnsi="Arial" w:cs="Arial"/>
          <w:color w:val="000000"/>
          <w:sz w:val="22"/>
          <w:szCs w:val="22"/>
          <w:vertAlign w:val="superscript"/>
          <w:lang w:val="sr-Cyrl-RS"/>
        </w:rPr>
        <w:t>76</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Плански документи који се односе на особе које припадају рањивим групама издвојени су посебно јер се у оквиру сваке од области које обухвата ова стратегија сагледавају и узимају у обзир статус и потребе особа које припадају рањивим групама. То су: Стратегија за унапређење положаја особа са инвалидитетом у Републици Србији од 2020. до 2024. године</w:t>
      </w:r>
      <w:r w:rsidRPr="00EF008E">
        <w:rPr>
          <w:rFonts w:ascii="Arial" w:hAnsi="Arial" w:cs="Arial"/>
          <w:color w:val="000000"/>
          <w:sz w:val="22"/>
          <w:szCs w:val="22"/>
          <w:vertAlign w:val="superscript"/>
          <w:lang w:val="sr-Cyrl-RS"/>
        </w:rPr>
        <w:t>77</w:t>
      </w:r>
      <w:r w:rsidRPr="00EF008E">
        <w:rPr>
          <w:rFonts w:ascii="Arial" w:hAnsi="Arial" w:cs="Arial"/>
          <w:color w:val="000000"/>
          <w:sz w:val="22"/>
          <w:szCs w:val="22"/>
          <w:lang w:val="sr-Cyrl-RS"/>
        </w:rPr>
        <w:t xml:space="preserve"> и АП (2021</w:t>
      </w:r>
      <w:r>
        <w:rPr>
          <w:rFonts w:ascii="Arial" w:hAnsi="Arial" w:cs="Arial"/>
          <w:color w:val="000000"/>
          <w:sz w:val="22"/>
          <w:szCs w:val="22"/>
          <w:lang w:val="sr-Cyrl-RS"/>
        </w:rPr>
        <w:t>-</w:t>
      </w:r>
      <w:r w:rsidRPr="00EF008E">
        <w:rPr>
          <w:rFonts w:ascii="Arial" w:hAnsi="Arial" w:cs="Arial"/>
          <w:color w:val="000000"/>
          <w:sz w:val="22"/>
          <w:szCs w:val="22"/>
          <w:lang w:val="sr-Cyrl-RS"/>
        </w:rPr>
        <w:t>2022), Стратегија за социјално укључивање Рома и Ромкиња у Републици Србији за период од 2016. до 2025. године</w:t>
      </w:r>
      <w:r w:rsidRPr="00EF008E">
        <w:rPr>
          <w:rFonts w:ascii="Arial" w:hAnsi="Arial" w:cs="Arial"/>
          <w:color w:val="000000"/>
          <w:sz w:val="22"/>
          <w:szCs w:val="22"/>
          <w:vertAlign w:val="superscript"/>
          <w:lang w:val="sr-Cyrl-RS"/>
        </w:rPr>
        <w:t>78</w:t>
      </w:r>
      <w:r w:rsidRPr="00EF008E">
        <w:rPr>
          <w:rFonts w:ascii="Arial" w:hAnsi="Arial" w:cs="Arial"/>
          <w:color w:val="000000"/>
          <w:sz w:val="22"/>
          <w:szCs w:val="22"/>
          <w:lang w:val="sr-Cyrl-RS"/>
        </w:rPr>
        <w:t xml:space="preserve"> и АП (2017</w:t>
      </w:r>
      <w:r>
        <w:rPr>
          <w:rFonts w:ascii="Arial" w:hAnsi="Arial" w:cs="Arial"/>
          <w:color w:val="000000"/>
          <w:sz w:val="22"/>
          <w:szCs w:val="22"/>
          <w:lang w:val="sr-Cyrl-RS"/>
        </w:rPr>
        <w:t>-</w:t>
      </w:r>
      <w:r w:rsidRPr="00EF008E">
        <w:rPr>
          <w:rFonts w:ascii="Arial" w:hAnsi="Arial" w:cs="Arial"/>
          <w:color w:val="000000"/>
          <w:sz w:val="22"/>
          <w:szCs w:val="22"/>
          <w:lang w:val="sr-Cyrl-RS"/>
        </w:rPr>
        <w:t>2018), Стратегија за превенцију и заштиту деце од насиља (2020</w:t>
      </w:r>
      <w:r>
        <w:rPr>
          <w:rFonts w:ascii="Arial" w:hAnsi="Arial" w:cs="Arial"/>
          <w:color w:val="000000"/>
          <w:sz w:val="22"/>
          <w:szCs w:val="22"/>
          <w:lang w:val="sr-Cyrl-RS"/>
        </w:rPr>
        <w:t>-</w:t>
      </w:r>
      <w:r w:rsidRPr="00EF008E">
        <w:rPr>
          <w:rFonts w:ascii="Arial" w:hAnsi="Arial" w:cs="Arial"/>
          <w:color w:val="000000"/>
          <w:sz w:val="22"/>
          <w:szCs w:val="22"/>
          <w:lang w:val="sr-Cyrl-RS"/>
        </w:rPr>
        <w:t>2023)</w:t>
      </w:r>
      <w:r w:rsidRPr="00EF008E">
        <w:rPr>
          <w:rFonts w:ascii="Arial" w:hAnsi="Arial" w:cs="Arial"/>
          <w:color w:val="000000"/>
          <w:sz w:val="22"/>
          <w:szCs w:val="22"/>
          <w:vertAlign w:val="superscript"/>
          <w:lang w:val="sr-Cyrl-RS"/>
        </w:rPr>
        <w:t>79</w:t>
      </w:r>
      <w:r w:rsidRPr="00EF008E">
        <w:rPr>
          <w:rFonts w:ascii="Arial" w:hAnsi="Arial" w:cs="Arial"/>
          <w:color w:val="000000"/>
          <w:sz w:val="22"/>
          <w:szCs w:val="22"/>
          <w:lang w:val="sr-Cyrl-RS"/>
        </w:rPr>
        <w:t xml:space="preserve"> и АП (2022</w:t>
      </w:r>
      <w:r>
        <w:rPr>
          <w:rFonts w:ascii="Arial" w:hAnsi="Arial" w:cs="Arial"/>
          <w:color w:val="000000"/>
          <w:sz w:val="22"/>
          <w:szCs w:val="22"/>
          <w:lang w:val="sr-Cyrl-RS"/>
        </w:rPr>
        <w:t>-</w:t>
      </w:r>
      <w:r w:rsidRPr="00EF008E">
        <w:rPr>
          <w:rFonts w:ascii="Arial" w:hAnsi="Arial" w:cs="Arial"/>
          <w:color w:val="000000"/>
          <w:sz w:val="22"/>
          <w:szCs w:val="22"/>
          <w:lang w:val="sr-Cyrl-RS"/>
        </w:rPr>
        <w:t>2023</w:t>
      </w:r>
      <w:r w:rsidRPr="00EF008E">
        <w:rPr>
          <w:rFonts w:ascii="Arial" w:hAnsi="Arial" w:cs="Arial"/>
          <w:color w:val="000000"/>
          <w:sz w:val="22"/>
          <w:szCs w:val="22"/>
          <w:vertAlign w:val="superscript"/>
          <w:lang w:val="sr-Cyrl-RS"/>
        </w:rPr>
        <w:t>80</w:t>
      </w:r>
      <w:r w:rsidRPr="00EF008E">
        <w:rPr>
          <w:rFonts w:ascii="Arial" w:hAnsi="Arial" w:cs="Arial"/>
          <w:color w:val="000000"/>
          <w:sz w:val="22"/>
          <w:szCs w:val="22"/>
          <w:lang w:val="sr-Cyrl-RS"/>
        </w:rPr>
        <w:t>), Национална стратегија за младе (2015</w:t>
      </w:r>
      <w:r>
        <w:rPr>
          <w:rFonts w:ascii="Arial" w:hAnsi="Arial" w:cs="Arial"/>
          <w:color w:val="000000"/>
          <w:sz w:val="22"/>
          <w:szCs w:val="22"/>
          <w:lang w:val="sr-Cyrl-RS"/>
        </w:rPr>
        <w:t>-</w:t>
      </w:r>
      <w:r w:rsidRPr="00EF008E">
        <w:rPr>
          <w:rFonts w:ascii="Arial" w:hAnsi="Arial" w:cs="Arial"/>
          <w:color w:val="000000"/>
          <w:sz w:val="22"/>
          <w:szCs w:val="22"/>
          <w:lang w:val="sr-Cyrl-RS"/>
        </w:rPr>
        <w:t>2025)</w:t>
      </w:r>
      <w:r w:rsidRPr="00EF008E">
        <w:rPr>
          <w:rFonts w:ascii="Arial" w:hAnsi="Arial" w:cs="Arial"/>
          <w:color w:val="000000"/>
          <w:sz w:val="22"/>
          <w:szCs w:val="22"/>
          <w:vertAlign w:val="superscript"/>
          <w:lang w:val="sr-Cyrl-RS"/>
        </w:rPr>
        <w:t>81</w:t>
      </w:r>
      <w:r w:rsidRPr="00EF008E">
        <w:rPr>
          <w:rFonts w:ascii="Arial" w:hAnsi="Arial" w:cs="Arial"/>
          <w:color w:val="000000"/>
          <w:sz w:val="22"/>
          <w:szCs w:val="22"/>
          <w:lang w:val="sr-Cyrl-RS"/>
        </w:rPr>
        <w:t xml:space="preserve"> и АП (2015</w:t>
      </w:r>
      <w:r>
        <w:rPr>
          <w:rFonts w:ascii="Arial" w:hAnsi="Arial" w:cs="Arial"/>
          <w:color w:val="000000"/>
          <w:sz w:val="22"/>
          <w:szCs w:val="22"/>
          <w:lang w:val="sr-Cyrl-RS"/>
        </w:rPr>
        <w:t>-</w:t>
      </w:r>
      <w:r w:rsidRPr="00EF008E">
        <w:rPr>
          <w:rFonts w:ascii="Arial" w:hAnsi="Arial" w:cs="Arial"/>
          <w:color w:val="000000"/>
          <w:sz w:val="22"/>
          <w:szCs w:val="22"/>
          <w:lang w:val="sr-Cyrl-RS"/>
        </w:rPr>
        <w:t>2017) као и АП (2018</w:t>
      </w:r>
      <w:r>
        <w:rPr>
          <w:rFonts w:ascii="Arial" w:hAnsi="Arial" w:cs="Arial"/>
          <w:color w:val="000000"/>
          <w:sz w:val="22"/>
          <w:szCs w:val="22"/>
          <w:lang w:val="sr-Cyrl-RS"/>
        </w:rPr>
        <w:t>-</w:t>
      </w:r>
      <w:r w:rsidRPr="00EF008E">
        <w:rPr>
          <w:rFonts w:ascii="Arial" w:hAnsi="Arial" w:cs="Arial"/>
          <w:color w:val="000000"/>
          <w:sz w:val="22"/>
          <w:szCs w:val="22"/>
          <w:lang w:val="sr-Cyrl-RS"/>
        </w:rPr>
        <w:t>2020).</w:t>
      </w:r>
      <w:r w:rsidRPr="00EF008E">
        <w:rPr>
          <w:rFonts w:ascii="Arial" w:hAnsi="Arial" w:cs="Arial"/>
          <w:color w:val="000000"/>
          <w:sz w:val="22"/>
          <w:szCs w:val="22"/>
          <w:vertAlign w:val="superscript"/>
          <w:lang w:val="sr-Cyrl-RS"/>
        </w:rPr>
        <w:t>82</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 Уједињене нације су на самиту одржаном септембра 2015. године усвојиле резолуцију Transforming our world: the 2030 Agenda for Sustainable Development.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103/11.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101/15. У току је рад на новој Стратегији развоја енергетике до 2040. године са пројекцијама до 2050. године и Програм остваривања Стратегије. Извор сугестије Министарства.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47/19.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10/21 и 85/14.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35/20.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21/20.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21/20.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21/20.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18/21 и 36/21.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21</w:t>
      </w:r>
      <w:r w:rsidRPr="00EF008E">
        <w:rPr>
          <w:rFonts w:ascii="Arial" w:hAnsi="Arial" w:cs="Arial"/>
          <w:i/>
          <w:color w:val="000000"/>
          <w:sz w:val="22"/>
          <w:szCs w:val="22"/>
          <w:lang w:val="sr-Cyrl-RS"/>
        </w:rPr>
        <w:tab/>
        <w:t>Доступно на https://www.srbija.gov.rs/dokument/45678/strategije-programi-planovi-.php, приступљено: 10.5.2021.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63/21.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35/15.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29/10.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25 Документи су у фази израде Извор: Коментари Министарства за енергетику на Националну стратегију родне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53/21.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47/21 рад на припреми АП тече.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77/17.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29 Акциони план припремљен и окончана јавна расправа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извор Сугестије Министарства унутрашњих послова. достављене у процесу консултација.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30 Доступно на: https://www.srbija.gov.rs/dokument/45678/strategije.php, приступ: 12.5.2021.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31 Доступно на: www.mpravde.gov.rs, приступ: 12.5.2021.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94/17.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53/17.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34</w:t>
      </w:r>
      <w:r w:rsidRPr="00EF008E">
        <w:rPr>
          <w:rFonts w:ascii="Arial" w:hAnsi="Arial" w:cs="Arial"/>
          <w:i/>
          <w:color w:val="000000"/>
          <w:sz w:val="22"/>
          <w:szCs w:val="22"/>
          <w:lang w:val="sr-Cyrl-RS"/>
        </w:rPr>
        <w:tab/>
        <w:t>Доступно на: http://www.mup.gov.rs/wps/wcm/connect/a7fbd693-caec-4f3e-b471-187a2be8bcf0/lat-Akcioni+plan+za+P24+-+revidirana+verzija+23+07+2020.pdf?MOD=AJPERES&amp;CVID=ng1k6t5, приступљено: 10.5.2021.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94/19.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94/19.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71/18.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38 Акциони план је припремљен и окончана је јавна расправа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извор сугестије МУП достављене у процесу. консултација. Доступно на: http://www.mup.rs/wps/wcm/connect/3470670e-202a-4e78-b851- приступ: 5.7.2021.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78/18.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40 Доступно на http://www.mup.rs/wps/wcm/connect/3470670e-202a-4e78-b851-940afe5a5e64/AP+za+Strategiju+za+borbu+protiv+VTK+2019-2020.pdf?MOD=AJPERES&amp;CVID=mtm2Egp, приступ: 5. 3.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41 Доступно на. https://www.srbija.gov.rs/dokument/45678/strategije.php, приступ: 5.3.2021.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 Извор сугестије МУП изнете у консултацијама, Доступно на: https://www.srbija.gov.rs/dokument/45678/strategije.php, приступ: 5.3.2021.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94/17.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44 Доступно на: https://www.mpravde.gov.rs/tekst/33173/strategija-razvoja-sistema-izvrsenja-krivicnih-sankcija-u-republici-srbiji-za-period-2021-2027-godina.php рад на припреми стратегије тече, приступ: 12.3.2021.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101/20.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46 Мере из Стратегије реализују се кроз активности из ревидираног Акционог плана за Поглавље 23. Доступно на: https://www.pravno-informacioni-sistem.rs/SlGlasnikPortal/eli/rep/sgrs/vlada/strategija/2020/ 101/1/reg приступ 5.3.2021.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11/20.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105/18.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9/17.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62/15.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74/10.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58/10.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86/11.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54 Доступно на: http://otvorenavlada.rs/strategija-starenje-lat-doc/, приступ: 5.3.2021.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13/12.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25/18.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57</w:t>
      </w:r>
      <w:r w:rsidRPr="00EF008E">
        <w:rPr>
          <w:rFonts w:ascii="Arial" w:hAnsi="Arial" w:cs="Arial"/>
          <w:i/>
          <w:color w:val="000000"/>
          <w:sz w:val="22"/>
          <w:szCs w:val="22"/>
          <w:lang w:val="sr-Cyrl-RS"/>
        </w:rPr>
        <w:tab/>
        <w:t>Доступно на https://www.srbija.gov.rs/dokument/45678/strategije-programi-planovi-.php</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61/18.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120/17.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22/09.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61/18.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86/19.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115/17.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9/18.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53/18.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w:t>
      </w:r>
      <w:r w:rsidRPr="00EF008E">
        <w:rPr>
          <w:rFonts w:ascii="Arial" w:hAnsi="Arial" w:cs="Arial"/>
          <w:i/>
          <w:color w:val="000000"/>
          <w:sz w:val="22"/>
          <w:szCs w:val="22"/>
          <w:lang w:val="sr-Cyrl-RS"/>
        </w:rPr>
        <w:tab/>
        <w:t>Доступно на: https://www.zdravlje.gov.rs/tekst/343487/program-o-zastiti-mentalnog-zdravlja-u-republici-srbiji-za-period-2019-2026-godine-.php, приступ: 12. 5.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67</w:t>
      </w:r>
      <w:r w:rsidRPr="00EF008E">
        <w:rPr>
          <w:rFonts w:ascii="Arial" w:hAnsi="Arial" w:cs="Arial"/>
          <w:i/>
          <w:color w:val="000000"/>
          <w:sz w:val="22"/>
          <w:szCs w:val="22"/>
          <w:lang w:val="sr-Cyrl-RS"/>
        </w:rPr>
        <w:tab/>
        <w:t>Доступно на: https://www.srbija.gov.rs/dokument/45678/strategije-programi-planovi-.php, приступ: 12.5.2021.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68</w:t>
      </w:r>
      <w:r w:rsidRPr="00EF008E">
        <w:rPr>
          <w:rFonts w:ascii="Arial" w:hAnsi="Arial" w:cs="Arial"/>
          <w:i/>
          <w:color w:val="000000"/>
          <w:sz w:val="22"/>
          <w:szCs w:val="22"/>
          <w:lang w:val="sr-Cyrl-RS"/>
        </w:rPr>
        <w:tab/>
        <w:t>Доступно на: https://www.zdravlje.gov.rs/tekst/344842/program-zastite-i-spasavanja-u-vanrednim-situacijama.php</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69 Доступно на: http://otvorenavlada.rs/strategija-starenje-lat-doc/</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17/09.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28/09.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15/09.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42/21.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85/20.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76 Доступно на: https://mfin.gov.rs/sr/dokumenti2-1/fiskalna-strategija-1 https://mfin.gov.rs/sr/dokumenti2-1/fiskalna-strategija-1, приступ: 3.9.2021.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44/20.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26/16.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 Доступно на: https://www.socijalnouključivanje.gov.rs приступ 12.5.2021.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22/15.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82 Национална стратегија за младе је у фази ревизије у складу са Законом о планском систему.</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1.2. Кључни међународни акти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Стратегија се заснива на међународном праву као и националном прописима који се односе на субјекте и области обухваћене Стратегијом у чијем средишту је превазилажење родног јаза и остваривање родне равноправности као предуслов и подстицај развоја друштва. Значај родне компоненте друштвеног развоја и утицај превазилажења родног јаза и унапређења родне равноправности на развој је водећи критеријум на основу кога су селектовани међународни прописи и прописи на националном нивоу, са којима је Стратегија тесно повезана. Међународни извори</w:t>
      </w:r>
      <w:r w:rsidRPr="00EF008E">
        <w:rPr>
          <w:rFonts w:ascii="Arial" w:hAnsi="Arial" w:cs="Arial"/>
          <w:color w:val="000000"/>
          <w:sz w:val="22"/>
          <w:szCs w:val="22"/>
          <w:vertAlign w:val="superscript"/>
          <w:lang w:val="sr-Cyrl-RS"/>
        </w:rPr>
        <w:t>83</w:t>
      </w:r>
      <w:r w:rsidRPr="00EF008E">
        <w:rPr>
          <w:rFonts w:ascii="Arial" w:hAnsi="Arial" w:cs="Arial"/>
          <w:color w:val="000000"/>
          <w:sz w:val="22"/>
          <w:szCs w:val="22"/>
          <w:lang w:val="sr-Cyrl-RS"/>
        </w:rPr>
        <w:t xml:space="preserve"> од којих се полази укључују документе УН, СЕ и ЕУ.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Међународни акти груписани су према областима које су обухваћене овом стратегијом. То су следеће области: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Међународни акти који се односе на економију, образовање и науку као чиниоце који подстичу развој обухватају следеће изворе: Специјална сесија ГС УН: Жене 2000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Родна равноправност, развој и мир за 21. век (2000)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Миленијумска декларација УН A/Res/55/2 (2000)</w:t>
      </w:r>
      <w:r w:rsidRPr="00EF008E">
        <w:rPr>
          <w:rFonts w:ascii="Arial" w:hAnsi="Arial" w:cs="Arial"/>
          <w:color w:val="000000"/>
          <w:sz w:val="22"/>
          <w:szCs w:val="22"/>
          <w:vertAlign w:val="superscript"/>
          <w:lang w:val="sr-Cyrl-RS"/>
        </w:rPr>
        <w:t>84</w:t>
      </w:r>
      <w:r w:rsidRPr="00EF008E">
        <w:rPr>
          <w:rFonts w:ascii="Arial" w:hAnsi="Arial" w:cs="Arial"/>
          <w:color w:val="000000"/>
          <w:sz w:val="22"/>
          <w:szCs w:val="22"/>
          <w:lang w:val="sr-Cyrl-RS"/>
        </w:rPr>
        <w:t xml:space="preserve">; Агенда 2030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ЦОР A/RES/70/1</w:t>
      </w:r>
      <w:r w:rsidRPr="00EF008E">
        <w:rPr>
          <w:rFonts w:ascii="Arial" w:hAnsi="Arial" w:cs="Arial"/>
          <w:color w:val="000000"/>
          <w:sz w:val="22"/>
          <w:szCs w:val="22"/>
          <w:vertAlign w:val="superscript"/>
          <w:lang w:val="sr-Cyrl-RS"/>
        </w:rPr>
        <w:t>85</w:t>
      </w:r>
      <w:r w:rsidRPr="00EF008E">
        <w:rPr>
          <w:rFonts w:ascii="Arial" w:hAnsi="Arial" w:cs="Arial"/>
          <w:color w:val="000000"/>
          <w:sz w:val="22"/>
          <w:szCs w:val="22"/>
          <w:lang w:val="sr-Cyrl-RS"/>
        </w:rPr>
        <w:t>; Програм Акције Међународне конференције о становништву и развоју (1994)</w:t>
      </w:r>
      <w:r w:rsidRPr="00EF008E">
        <w:rPr>
          <w:rFonts w:ascii="Arial" w:hAnsi="Arial" w:cs="Arial"/>
          <w:color w:val="000000"/>
          <w:sz w:val="22"/>
          <w:szCs w:val="22"/>
          <w:vertAlign w:val="superscript"/>
          <w:lang w:val="sr-Cyrl-RS"/>
        </w:rPr>
        <w:t>86</w:t>
      </w:r>
      <w:r w:rsidRPr="00EF008E">
        <w:rPr>
          <w:rFonts w:ascii="Arial" w:hAnsi="Arial" w:cs="Arial"/>
          <w:color w:val="000000"/>
          <w:sz w:val="22"/>
          <w:szCs w:val="22"/>
          <w:lang w:val="sr-Cyrl-RS"/>
        </w:rPr>
        <w:t>; Пекиншка декларација и Платформа за акцију (1995)</w:t>
      </w:r>
      <w:r w:rsidRPr="00EF008E">
        <w:rPr>
          <w:rFonts w:ascii="Arial" w:hAnsi="Arial" w:cs="Arial"/>
          <w:color w:val="000000"/>
          <w:sz w:val="22"/>
          <w:szCs w:val="22"/>
          <w:vertAlign w:val="superscript"/>
          <w:lang w:val="sr-Cyrl-RS"/>
        </w:rPr>
        <w:t>87</w:t>
      </w:r>
      <w:r w:rsidRPr="00EF008E">
        <w:rPr>
          <w:rFonts w:ascii="Arial" w:hAnsi="Arial" w:cs="Arial"/>
          <w:color w:val="000000"/>
          <w:sz w:val="22"/>
          <w:szCs w:val="22"/>
          <w:lang w:val="sr-Cyrl-RS"/>
        </w:rPr>
        <w:t>; Пекинг +15</w:t>
      </w:r>
      <w:r w:rsidRPr="00EF008E">
        <w:rPr>
          <w:rFonts w:ascii="Arial" w:hAnsi="Arial" w:cs="Arial"/>
          <w:color w:val="000000"/>
          <w:sz w:val="22"/>
          <w:szCs w:val="22"/>
          <w:vertAlign w:val="superscript"/>
          <w:lang w:val="sr-Cyrl-RS"/>
        </w:rPr>
        <w:t>88</w:t>
      </w:r>
      <w:r w:rsidRPr="00EF008E">
        <w:rPr>
          <w:rFonts w:ascii="Arial" w:hAnsi="Arial" w:cs="Arial"/>
          <w:color w:val="000000"/>
          <w:sz w:val="22"/>
          <w:szCs w:val="22"/>
          <w:lang w:val="sr-Cyrl-RS"/>
        </w:rPr>
        <w:t xml:space="preserve"> и Пекинг +25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Национални преглед о оствареном напретку у спровођењу Пекиншке декларације и Платформе за акцију</w:t>
      </w:r>
      <w:r w:rsidRPr="00EF008E">
        <w:rPr>
          <w:rFonts w:ascii="Arial" w:hAnsi="Arial" w:cs="Arial"/>
          <w:color w:val="000000"/>
          <w:sz w:val="22"/>
          <w:szCs w:val="22"/>
          <w:vertAlign w:val="superscript"/>
          <w:lang w:val="sr-Cyrl-RS"/>
        </w:rPr>
        <w:t>89</w:t>
      </w:r>
      <w:r w:rsidRPr="00EF008E">
        <w:rPr>
          <w:rFonts w:ascii="Arial" w:hAnsi="Arial" w:cs="Arial"/>
          <w:color w:val="000000"/>
          <w:sz w:val="22"/>
          <w:szCs w:val="22"/>
          <w:lang w:val="sr-Cyrl-RS"/>
        </w:rPr>
        <w:t>; Конвенција против дискриминације у образовању</w:t>
      </w:r>
      <w:r w:rsidRPr="00EF008E">
        <w:rPr>
          <w:rFonts w:ascii="Arial" w:hAnsi="Arial" w:cs="Arial"/>
          <w:color w:val="000000"/>
          <w:sz w:val="22"/>
          <w:szCs w:val="22"/>
          <w:vertAlign w:val="superscript"/>
          <w:lang w:val="sr-Cyrl-RS"/>
        </w:rPr>
        <w:t>90</w:t>
      </w:r>
      <w:r w:rsidRPr="00EF008E">
        <w:rPr>
          <w:rFonts w:ascii="Arial" w:hAnsi="Arial" w:cs="Arial"/>
          <w:color w:val="000000"/>
          <w:sz w:val="22"/>
          <w:szCs w:val="22"/>
          <w:lang w:val="sr-Cyrl-RS"/>
        </w:rPr>
        <w:t>;</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Универзална Декларација о образовању у 21. веку (УНЕСКО) усвојена на светској конференцији посвећеној високом образовању у 21. веку</w:t>
      </w:r>
      <w:r w:rsidRPr="00EF008E">
        <w:rPr>
          <w:rFonts w:ascii="Arial" w:hAnsi="Arial" w:cs="Arial"/>
          <w:color w:val="000000"/>
          <w:sz w:val="22"/>
          <w:szCs w:val="22"/>
          <w:vertAlign w:val="superscript"/>
          <w:lang w:val="sr-Cyrl-RS"/>
        </w:rPr>
        <w:t>91</w:t>
      </w:r>
      <w:r w:rsidRPr="00EF008E">
        <w:rPr>
          <w:rFonts w:ascii="Arial" w:hAnsi="Arial" w:cs="Arial"/>
          <w:color w:val="000000"/>
          <w:sz w:val="22"/>
          <w:szCs w:val="22"/>
          <w:lang w:val="sr-Cyrl-RS"/>
        </w:rPr>
        <w:t>; Светска конференција о високом образовању</w:t>
      </w:r>
      <w:r w:rsidRPr="00EF008E">
        <w:rPr>
          <w:rFonts w:ascii="Arial" w:hAnsi="Arial" w:cs="Arial"/>
          <w:color w:val="000000"/>
          <w:sz w:val="22"/>
          <w:szCs w:val="22"/>
          <w:vertAlign w:val="superscript"/>
          <w:lang w:val="sr-Cyrl-RS"/>
        </w:rPr>
        <w:t>92</w:t>
      </w:r>
      <w:r w:rsidRPr="00EF008E">
        <w:rPr>
          <w:rFonts w:ascii="Arial" w:hAnsi="Arial" w:cs="Arial"/>
          <w:color w:val="000000"/>
          <w:sz w:val="22"/>
          <w:szCs w:val="22"/>
          <w:lang w:val="sr-Cyrl-RS"/>
        </w:rPr>
        <w:t>; Резолуција СЕ о женама у науци</w:t>
      </w:r>
      <w:r w:rsidRPr="00EF008E">
        <w:rPr>
          <w:rFonts w:ascii="Arial" w:hAnsi="Arial" w:cs="Arial"/>
          <w:color w:val="000000"/>
          <w:sz w:val="22"/>
          <w:szCs w:val="22"/>
          <w:vertAlign w:val="superscript"/>
          <w:lang w:val="sr-Cyrl-RS"/>
        </w:rPr>
        <w:t>93</w:t>
      </w:r>
      <w:r w:rsidRPr="00EF008E">
        <w:rPr>
          <w:rFonts w:ascii="Arial" w:hAnsi="Arial" w:cs="Arial"/>
          <w:color w:val="000000"/>
          <w:sz w:val="22"/>
          <w:szCs w:val="22"/>
          <w:lang w:val="sr-Cyrl-RS"/>
        </w:rPr>
        <w:t xml:space="preserve">; Право на образовање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политике и стратегије</w:t>
      </w:r>
      <w:r w:rsidRPr="00EF008E">
        <w:rPr>
          <w:rFonts w:ascii="Arial" w:hAnsi="Arial" w:cs="Arial"/>
          <w:color w:val="000000"/>
          <w:sz w:val="22"/>
          <w:szCs w:val="22"/>
          <w:vertAlign w:val="superscript"/>
          <w:lang w:val="sr-Cyrl-RS"/>
        </w:rPr>
        <w:t>94</w:t>
      </w:r>
      <w:r w:rsidRPr="00EF008E">
        <w:rPr>
          <w:rFonts w:ascii="Arial" w:hAnsi="Arial" w:cs="Arial"/>
          <w:color w:val="000000"/>
          <w:sz w:val="22"/>
          <w:szCs w:val="22"/>
          <w:lang w:val="sr-Cyrl-RS"/>
        </w:rPr>
        <w:t>; Хелсиншки позив за акцију</w:t>
      </w:r>
      <w:r w:rsidRPr="00EF008E">
        <w:rPr>
          <w:rFonts w:ascii="Arial" w:hAnsi="Arial" w:cs="Arial"/>
          <w:color w:val="000000"/>
          <w:sz w:val="22"/>
          <w:szCs w:val="22"/>
          <w:vertAlign w:val="superscript"/>
          <w:lang w:val="sr-Cyrl-RS"/>
        </w:rPr>
        <w:t>95</w:t>
      </w:r>
      <w:r w:rsidRPr="00EF008E">
        <w:rPr>
          <w:rFonts w:ascii="Arial" w:hAnsi="Arial" w:cs="Arial"/>
          <w:color w:val="000000"/>
          <w:sz w:val="22"/>
          <w:szCs w:val="22"/>
          <w:lang w:val="sr-Cyrl-RS"/>
        </w:rPr>
        <w:t xml:space="preserve">; директиве ЕУ које се односе на принцип једнаког третмана жена и мушкараца и забрану родно засноване дискриминације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Директива 75/117/ЕЕЗ (једнаке зараде за мушкарце и жене)</w:t>
      </w:r>
      <w:r w:rsidRPr="00EF008E">
        <w:rPr>
          <w:rFonts w:ascii="Arial" w:hAnsi="Arial" w:cs="Arial"/>
          <w:color w:val="000000"/>
          <w:sz w:val="22"/>
          <w:szCs w:val="22"/>
          <w:vertAlign w:val="superscript"/>
          <w:lang w:val="sr-Cyrl-RS"/>
        </w:rPr>
        <w:t>96</w:t>
      </w:r>
      <w:r w:rsidRPr="00EF008E">
        <w:rPr>
          <w:rFonts w:ascii="Arial" w:hAnsi="Arial" w:cs="Arial"/>
          <w:color w:val="000000"/>
          <w:sz w:val="22"/>
          <w:szCs w:val="22"/>
          <w:lang w:val="sr-Cyrl-RS"/>
        </w:rPr>
        <w:t xml:space="preserve"> и Директива 76/207/EEЗ (доступност запослења, професионална обука, напредовање на радном месту и услови рада)</w:t>
      </w:r>
      <w:r w:rsidRPr="00EF008E">
        <w:rPr>
          <w:rFonts w:ascii="Arial" w:hAnsi="Arial" w:cs="Arial"/>
          <w:color w:val="000000"/>
          <w:sz w:val="22"/>
          <w:szCs w:val="22"/>
          <w:vertAlign w:val="superscript"/>
          <w:lang w:val="sr-Cyrl-RS"/>
        </w:rPr>
        <w:t>97</w:t>
      </w:r>
      <w:r w:rsidRPr="00EF008E">
        <w:rPr>
          <w:rFonts w:ascii="Arial" w:hAnsi="Arial" w:cs="Arial"/>
          <w:color w:val="000000"/>
          <w:sz w:val="22"/>
          <w:szCs w:val="22"/>
          <w:lang w:val="sr-Cyrl-RS"/>
        </w:rPr>
        <w:t>, Препорука Европске комисије о заштити достојанства жена и мушкараца на послу.</w:t>
      </w:r>
      <w:r w:rsidRPr="00EF008E">
        <w:rPr>
          <w:rFonts w:ascii="Arial" w:hAnsi="Arial" w:cs="Arial"/>
          <w:color w:val="000000"/>
          <w:sz w:val="22"/>
          <w:szCs w:val="22"/>
          <w:vertAlign w:val="superscript"/>
          <w:lang w:val="sr-Cyrl-RS"/>
        </w:rPr>
        <w:t>98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Међународни акти који се односе на родне аспекте људских права, безбедности и насиља према женама и политичког живота су: Универзална декларација о људским правима (1948)</w:t>
      </w:r>
      <w:r w:rsidRPr="00EF008E">
        <w:rPr>
          <w:rFonts w:ascii="Arial" w:hAnsi="Arial" w:cs="Arial"/>
          <w:color w:val="000000"/>
          <w:sz w:val="22"/>
          <w:szCs w:val="22"/>
          <w:vertAlign w:val="superscript"/>
          <w:lang w:val="sr-Cyrl-RS"/>
        </w:rPr>
        <w:t>99</w:t>
      </w:r>
      <w:r w:rsidRPr="00EF008E">
        <w:rPr>
          <w:rFonts w:ascii="Arial" w:hAnsi="Arial" w:cs="Arial"/>
          <w:color w:val="000000"/>
          <w:sz w:val="22"/>
          <w:szCs w:val="22"/>
          <w:lang w:val="sr-Cyrl-RS"/>
        </w:rPr>
        <w:t>; Међународни пакт о грађанским и политичким правима (2200 А (XXI) (1966)</w:t>
      </w:r>
      <w:r w:rsidRPr="00EF008E">
        <w:rPr>
          <w:rFonts w:ascii="Arial" w:hAnsi="Arial" w:cs="Arial"/>
          <w:color w:val="000000"/>
          <w:sz w:val="22"/>
          <w:szCs w:val="22"/>
          <w:vertAlign w:val="superscript"/>
          <w:lang w:val="sr-Cyrl-RS"/>
        </w:rPr>
        <w:t>100</w:t>
      </w:r>
      <w:r w:rsidRPr="00EF008E">
        <w:rPr>
          <w:rFonts w:ascii="Arial" w:hAnsi="Arial" w:cs="Arial"/>
          <w:color w:val="000000"/>
          <w:sz w:val="22"/>
          <w:szCs w:val="22"/>
          <w:lang w:val="sr-Cyrl-RS"/>
        </w:rPr>
        <w:t xml:space="preserve"> (у даљем тексту: ПГПП); Опциони протокол уз Пакт</w:t>
      </w:r>
      <w:r w:rsidRPr="00EF008E">
        <w:rPr>
          <w:rFonts w:ascii="Arial" w:hAnsi="Arial" w:cs="Arial"/>
          <w:color w:val="000000"/>
          <w:sz w:val="22"/>
          <w:szCs w:val="22"/>
          <w:vertAlign w:val="superscript"/>
          <w:lang w:val="sr-Cyrl-RS"/>
        </w:rPr>
        <w:t>101</w:t>
      </w:r>
      <w:r w:rsidRPr="00EF008E">
        <w:rPr>
          <w:rFonts w:ascii="Arial" w:hAnsi="Arial" w:cs="Arial"/>
          <w:color w:val="000000"/>
          <w:sz w:val="22"/>
          <w:szCs w:val="22"/>
          <w:lang w:val="sr-Cyrl-RS"/>
        </w:rPr>
        <w:t xml:space="preserve"> и Други опциони протокол уз Пакт</w:t>
      </w:r>
      <w:r w:rsidRPr="00EF008E">
        <w:rPr>
          <w:rFonts w:ascii="Arial" w:hAnsi="Arial" w:cs="Arial"/>
          <w:color w:val="000000"/>
          <w:sz w:val="22"/>
          <w:szCs w:val="22"/>
          <w:vertAlign w:val="superscript"/>
          <w:lang w:val="sr-Cyrl-RS"/>
        </w:rPr>
        <w:t>102</w:t>
      </w:r>
      <w:r w:rsidRPr="00EF008E">
        <w:rPr>
          <w:rFonts w:ascii="Arial" w:hAnsi="Arial" w:cs="Arial"/>
          <w:color w:val="000000"/>
          <w:sz w:val="22"/>
          <w:szCs w:val="22"/>
          <w:lang w:val="sr-Cyrl-RS"/>
        </w:rPr>
        <w:t>; Међународни пакт о економским, социјалним и културним правима (1966)</w:t>
      </w:r>
      <w:r w:rsidRPr="00EF008E">
        <w:rPr>
          <w:rFonts w:ascii="Arial" w:hAnsi="Arial" w:cs="Arial"/>
          <w:color w:val="000000"/>
          <w:sz w:val="22"/>
          <w:szCs w:val="22"/>
          <w:vertAlign w:val="superscript"/>
          <w:lang w:val="sr-Cyrl-RS"/>
        </w:rPr>
        <w:t>103</w:t>
      </w:r>
      <w:r w:rsidRPr="00EF008E">
        <w:rPr>
          <w:rFonts w:ascii="Arial" w:hAnsi="Arial" w:cs="Arial"/>
          <w:color w:val="000000"/>
          <w:sz w:val="22"/>
          <w:szCs w:val="22"/>
          <w:lang w:val="sr-Cyrl-RS"/>
        </w:rPr>
        <w:t xml:space="preserve"> (у даљем тексту: ПЕСП); Резолуција СБ УН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Жене, мир и безбедност 1325 (2000), 1820 (2008), 1888 (2009), 1889 (2009), 1906 (2010), 2016 (2013), 2122 (2013)</w:t>
      </w:r>
      <w:r w:rsidRPr="00EF008E">
        <w:rPr>
          <w:rFonts w:ascii="Arial" w:hAnsi="Arial" w:cs="Arial"/>
          <w:color w:val="000000"/>
          <w:sz w:val="22"/>
          <w:szCs w:val="22"/>
          <w:vertAlign w:val="superscript"/>
          <w:lang w:val="sr-Cyrl-RS"/>
        </w:rPr>
        <w:t>104</w:t>
      </w:r>
      <w:r w:rsidRPr="00EF008E">
        <w:rPr>
          <w:rFonts w:ascii="Arial" w:hAnsi="Arial" w:cs="Arial"/>
          <w:color w:val="000000"/>
          <w:sz w:val="22"/>
          <w:szCs w:val="22"/>
          <w:lang w:val="sr-Cyrl-RS"/>
        </w:rPr>
        <w:t xml:space="preserve">; Резолуција ГС УН 65/69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Жене, разоружање, неширење и контрола оружја</w:t>
      </w:r>
      <w:r w:rsidRPr="00EF008E">
        <w:rPr>
          <w:rFonts w:ascii="Arial" w:hAnsi="Arial" w:cs="Arial"/>
          <w:color w:val="000000"/>
          <w:sz w:val="22"/>
          <w:szCs w:val="22"/>
          <w:vertAlign w:val="superscript"/>
          <w:lang w:val="sr-Cyrl-RS"/>
        </w:rPr>
        <w:t>105</w:t>
      </w:r>
      <w:r w:rsidRPr="00EF008E">
        <w:rPr>
          <w:rFonts w:ascii="Arial" w:hAnsi="Arial" w:cs="Arial"/>
          <w:color w:val="000000"/>
          <w:sz w:val="22"/>
          <w:szCs w:val="22"/>
          <w:lang w:val="sr-Cyrl-RS"/>
        </w:rPr>
        <w:t>; Пекиншка декларација и Платформа за акцију (1995)</w:t>
      </w:r>
      <w:r w:rsidRPr="00EF008E">
        <w:rPr>
          <w:rFonts w:ascii="Arial" w:hAnsi="Arial" w:cs="Arial"/>
          <w:color w:val="000000"/>
          <w:sz w:val="22"/>
          <w:szCs w:val="22"/>
          <w:vertAlign w:val="superscript"/>
          <w:lang w:val="sr-Cyrl-RS"/>
        </w:rPr>
        <w:t>106</w:t>
      </w:r>
      <w:r w:rsidRPr="00EF008E">
        <w:rPr>
          <w:rFonts w:ascii="Arial" w:hAnsi="Arial" w:cs="Arial"/>
          <w:color w:val="000000"/>
          <w:sz w:val="22"/>
          <w:szCs w:val="22"/>
          <w:lang w:val="sr-Cyrl-RS"/>
        </w:rPr>
        <w:t>, Пекинг +15</w:t>
      </w:r>
      <w:r w:rsidRPr="00EF008E">
        <w:rPr>
          <w:rFonts w:ascii="Arial" w:hAnsi="Arial" w:cs="Arial"/>
          <w:color w:val="000000"/>
          <w:sz w:val="22"/>
          <w:szCs w:val="22"/>
          <w:vertAlign w:val="superscript"/>
          <w:lang w:val="sr-Cyrl-RS"/>
        </w:rPr>
        <w:t>107</w:t>
      </w:r>
      <w:r w:rsidRPr="00EF008E">
        <w:rPr>
          <w:rFonts w:ascii="Arial" w:hAnsi="Arial" w:cs="Arial"/>
          <w:color w:val="000000"/>
          <w:sz w:val="22"/>
          <w:szCs w:val="22"/>
          <w:lang w:val="sr-Cyrl-RS"/>
        </w:rPr>
        <w:t xml:space="preserve"> и Пекинг +25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Национални преглед о оствареном напретку у спровођењу Пекиншке декларације и Платформе за акцију</w:t>
      </w:r>
      <w:r w:rsidRPr="00EF008E">
        <w:rPr>
          <w:rFonts w:ascii="Arial" w:hAnsi="Arial" w:cs="Arial"/>
          <w:color w:val="000000"/>
          <w:sz w:val="22"/>
          <w:szCs w:val="22"/>
          <w:vertAlign w:val="superscript"/>
          <w:lang w:val="sr-Cyrl-RS"/>
        </w:rPr>
        <w:t>108</w:t>
      </w:r>
      <w:r w:rsidRPr="00EF008E">
        <w:rPr>
          <w:rFonts w:ascii="Arial" w:hAnsi="Arial" w:cs="Arial"/>
          <w:color w:val="000000"/>
          <w:sz w:val="22"/>
          <w:szCs w:val="22"/>
          <w:lang w:val="sr-Cyrl-RS"/>
        </w:rPr>
        <w:t>; Eвропска конвенција за заштиту људских права и слобода и пратећи протоколи</w:t>
      </w:r>
      <w:r w:rsidRPr="00EF008E">
        <w:rPr>
          <w:rFonts w:ascii="Arial" w:hAnsi="Arial" w:cs="Arial"/>
          <w:color w:val="000000"/>
          <w:sz w:val="22"/>
          <w:szCs w:val="22"/>
          <w:vertAlign w:val="superscript"/>
          <w:lang w:val="sr-Cyrl-RS"/>
        </w:rPr>
        <w:t>109</w:t>
      </w:r>
      <w:r w:rsidRPr="00EF008E">
        <w:rPr>
          <w:rFonts w:ascii="Arial" w:hAnsi="Arial" w:cs="Arial"/>
          <w:color w:val="000000"/>
          <w:sz w:val="22"/>
          <w:szCs w:val="22"/>
          <w:lang w:val="sr-Cyrl-RS"/>
        </w:rPr>
        <w:t>; Повеља ЕУ о основним правима 2016/c 202/02</w:t>
      </w:r>
      <w:r w:rsidRPr="00EF008E">
        <w:rPr>
          <w:rFonts w:ascii="Arial" w:hAnsi="Arial" w:cs="Arial"/>
          <w:color w:val="000000"/>
          <w:sz w:val="22"/>
          <w:szCs w:val="22"/>
          <w:vertAlign w:val="superscript"/>
          <w:lang w:val="sr-Cyrl-RS"/>
        </w:rPr>
        <w:t>110</w:t>
      </w:r>
      <w:r w:rsidRPr="00EF008E">
        <w:rPr>
          <w:rFonts w:ascii="Arial" w:hAnsi="Arial" w:cs="Arial"/>
          <w:color w:val="000000"/>
          <w:sz w:val="22"/>
          <w:szCs w:val="22"/>
          <w:lang w:val="sr-Cyrl-RS"/>
        </w:rPr>
        <w:t>; Закључна запажања CEDAW комитета у вези са Четвртим периодичном извештајем РС о спровођењу CEDAW конвенције</w:t>
      </w:r>
      <w:r w:rsidRPr="00EF008E">
        <w:rPr>
          <w:rFonts w:ascii="Arial" w:hAnsi="Arial" w:cs="Arial"/>
          <w:color w:val="000000"/>
          <w:sz w:val="22"/>
          <w:szCs w:val="22"/>
          <w:vertAlign w:val="superscript"/>
          <w:lang w:val="sr-Cyrl-RS"/>
        </w:rPr>
        <w:t>111</w:t>
      </w:r>
      <w:r w:rsidRPr="00EF008E">
        <w:rPr>
          <w:rFonts w:ascii="Arial" w:hAnsi="Arial" w:cs="Arial"/>
          <w:color w:val="000000"/>
          <w:sz w:val="22"/>
          <w:szCs w:val="22"/>
          <w:lang w:val="sr-Cyrl-RS"/>
        </w:rPr>
        <w:t>; Конвенција СЕ о спречавању и борби против насиља над женама и насиља у породици (2011)</w:t>
      </w:r>
      <w:r w:rsidRPr="00EF008E">
        <w:rPr>
          <w:rFonts w:ascii="Arial" w:hAnsi="Arial" w:cs="Arial"/>
          <w:color w:val="000000"/>
          <w:sz w:val="22"/>
          <w:szCs w:val="22"/>
          <w:vertAlign w:val="superscript"/>
          <w:lang w:val="sr-Cyrl-RS"/>
        </w:rPr>
        <w:t>112</w:t>
      </w:r>
      <w:r w:rsidRPr="00EF008E">
        <w:rPr>
          <w:rFonts w:ascii="Arial" w:hAnsi="Arial" w:cs="Arial"/>
          <w:color w:val="000000"/>
          <w:sz w:val="22"/>
          <w:szCs w:val="22"/>
          <w:lang w:val="sr-Cyrl-RS"/>
        </w:rPr>
        <w:t>; Декларација о једнакости жена и мушкараца као фундаменталном критеријуму демократије</w:t>
      </w:r>
      <w:r w:rsidRPr="00EF008E">
        <w:rPr>
          <w:rFonts w:ascii="Arial" w:hAnsi="Arial" w:cs="Arial"/>
          <w:color w:val="000000"/>
          <w:sz w:val="22"/>
          <w:szCs w:val="22"/>
          <w:vertAlign w:val="superscript"/>
          <w:lang w:val="sr-Cyrl-RS"/>
        </w:rPr>
        <w:t>113</w:t>
      </w:r>
      <w:r w:rsidRPr="00EF008E">
        <w:rPr>
          <w:rFonts w:ascii="Arial" w:hAnsi="Arial" w:cs="Arial"/>
          <w:color w:val="000000"/>
          <w:sz w:val="22"/>
          <w:szCs w:val="22"/>
          <w:lang w:val="sr-Cyrl-RS"/>
        </w:rPr>
        <w:t>; Конвенција СЕ о спречавању и борби против насиља над женама и насиља у породици</w:t>
      </w:r>
      <w:r w:rsidRPr="00EF008E">
        <w:rPr>
          <w:rFonts w:ascii="Arial" w:hAnsi="Arial" w:cs="Arial"/>
          <w:color w:val="000000"/>
          <w:sz w:val="22"/>
          <w:szCs w:val="22"/>
          <w:vertAlign w:val="superscript"/>
          <w:lang w:val="sr-Cyrl-RS"/>
        </w:rPr>
        <w:t>114</w:t>
      </w:r>
      <w:r w:rsidRPr="00EF008E">
        <w:rPr>
          <w:rFonts w:ascii="Arial" w:hAnsi="Arial" w:cs="Arial"/>
          <w:color w:val="000000"/>
          <w:sz w:val="22"/>
          <w:szCs w:val="22"/>
          <w:lang w:val="sr-Cyrl-RS"/>
        </w:rPr>
        <w:t>; Амстердамски споразум (1997) који регулише људска права, начело једнаког третмана жена и мушкараца и забрану дискриминације на основу пола</w:t>
      </w:r>
      <w:r w:rsidRPr="00EF008E">
        <w:rPr>
          <w:rFonts w:ascii="Arial" w:hAnsi="Arial" w:cs="Arial"/>
          <w:color w:val="000000"/>
          <w:sz w:val="22"/>
          <w:szCs w:val="22"/>
          <w:vertAlign w:val="superscript"/>
          <w:lang w:val="sr-Cyrl-RS"/>
        </w:rPr>
        <w:t>115</w:t>
      </w:r>
      <w:r w:rsidRPr="00EF008E">
        <w:rPr>
          <w:rFonts w:ascii="Arial" w:hAnsi="Arial" w:cs="Arial"/>
          <w:color w:val="000000"/>
          <w:sz w:val="22"/>
          <w:szCs w:val="22"/>
          <w:lang w:val="sr-Cyrl-RS"/>
        </w:rPr>
        <w:t>; Резолуција о родној квоти за кандидате за судије ЕСЉП Р 1366 (2004) и 1426 (2005)</w:t>
      </w:r>
      <w:r w:rsidRPr="00EF008E">
        <w:rPr>
          <w:rFonts w:ascii="Arial" w:hAnsi="Arial" w:cs="Arial"/>
          <w:color w:val="000000"/>
          <w:sz w:val="22"/>
          <w:szCs w:val="22"/>
          <w:vertAlign w:val="superscript"/>
          <w:lang w:val="sr-Cyrl-RS"/>
        </w:rPr>
        <w:t>116</w:t>
      </w:r>
      <w:r w:rsidRPr="00EF008E">
        <w:rPr>
          <w:rFonts w:ascii="Arial" w:hAnsi="Arial" w:cs="Arial"/>
          <w:color w:val="000000"/>
          <w:sz w:val="22"/>
          <w:szCs w:val="22"/>
          <w:lang w:val="sr-Cyrl-RS"/>
        </w:rPr>
        <w:t>; Резолуција ЕП о женама у одлучивању</w:t>
      </w:r>
      <w:r w:rsidRPr="00EF008E">
        <w:rPr>
          <w:rFonts w:ascii="Arial" w:hAnsi="Arial" w:cs="Arial"/>
          <w:color w:val="000000"/>
          <w:sz w:val="22"/>
          <w:szCs w:val="22"/>
          <w:vertAlign w:val="superscript"/>
          <w:lang w:val="sr-Cyrl-RS"/>
        </w:rPr>
        <w:t>117</w:t>
      </w:r>
      <w:r w:rsidRPr="00EF008E">
        <w:rPr>
          <w:rFonts w:ascii="Arial" w:hAnsi="Arial" w:cs="Arial"/>
          <w:color w:val="000000"/>
          <w:sz w:val="22"/>
          <w:szCs w:val="22"/>
          <w:lang w:val="sr-Cyrl-RS"/>
        </w:rPr>
        <w:t>; Резолуција ЕП о женама у међународној политици</w:t>
      </w:r>
      <w:r w:rsidRPr="00EF008E">
        <w:rPr>
          <w:rFonts w:ascii="Arial" w:hAnsi="Arial" w:cs="Arial"/>
          <w:color w:val="000000"/>
          <w:sz w:val="22"/>
          <w:szCs w:val="22"/>
          <w:vertAlign w:val="superscript"/>
          <w:lang w:val="sr-Cyrl-RS"/>
        </w:rPr>
        <w:t>118</w:t>
      </w:r>
      <w:r w:rsidRPr="00EF008E">
        <w:rPr>
          <w:rFonts w:ascii="Arial" w:hAnsi="Arial" w:cs="Arial"/>
          <w:color w:val="000000"/>
          <w:sz w:val="22"/>
          <w:szCs w:val="22"/>
          <w:lang w:val="sr-Cyrl-RS"/>
        </w:rPr>
        <w:t>; Директива 97/80/ЕЗ (терет доказивања у случајевима дискриминације по основу пола)</w:t>
      </w:r>
      <w:r w:rsidRPr="00EF008E">
        <w:rPr>
          <w:rFonts w:ascii="Arial" w:hAnsi="Arial" w:cs="Arial"/>
          <w:color w:val="000000"/>
          <w:sz w:val="22"/>
          <w:szCs w:val="22"/>
          <w:vertAlign w:val="superscript"/>
          <w:lang w:val="sr-Cyrl-RS"/>
        </w:rPr>
        <w:t>119</w:t>
      </w:r>
      <w:r w:rsidRPr="00EF008E">
        <w:rPr>
          <w:rFonts w:ascii="Arial" w:hAnsi="Arial" w:cs="Arial"/>
          <w:color w:val="000000"/>
          <w:sz w:val="22"/>
          <w:szCs w:val="22"/>
          <w:lang w:val="sr-Cyrl-RS"/>
        </w:rPr>
        <w:t>; Директива ЕУ о превенцији и супротстављању трговини људима и заштити жртава 2011/36 (2011)</w:t>
      </w:r>
      <w:r w:rsidRPr="00EF008E">
        <w:rPr>
          <w:rFonts w:ascii="Arial" w:hAnsi="Arial" w:cs="Arial"/>
          <w:color w:val="000000"/>
          <w:sz w:val="22"/>
          <w:szCs w:val="22"/>
          <w:vertAlign w:val="superscript"/>
          <w:lang w:val="sr-Cyrl-RS"/>
        </w:rPr>
        <w:t>120</w:t>
      </w:r>
      <w:r w:rsidRPr="00EF008E">
        <w:rPr>
          <w:rFonts w:ascii="Arial" w:hAnsi="Arial" w:cs="Arial"/>
          <w:color w:val="000000"/>
          <w:sz w:val="22"/>
          <w:szCs w:val="22"/>
          <w:lang w:val="sr-Cyrl-RS"/>
        </w:rPr>
        <w:t>; Директива ЕУ о успостављању минималних стандарда о правима, подршци и заштити жртвама криминалитета (2012)</w:t>
      </w:r>
      <w:r w:rsidRPr="00EF008E">
        <w:rPr>
          <w:rFonts w:ascii="Arial" w:hAnsi="Arial" w:cs="Arial"/>
          <w:color w:val="000000"/>
          <w:sz w:val="22"/>
          <w:szCs w:val="22"/>
          <w:vertAlign w:val="superscript"/>
          <w:lang w:val="sr-Cyrl-RS"/>
        </w:rPr>
        <w:t>121</w:t>
      </w:r>
      <w:r w:rsidRPr="00EF008E">
        <w:rPr>
          <w:rFonts w:ascii="Arial" w:hAnsi="Arial" w:cs="Arial"/>
          <w:color w:val="000000"/>
          <w:sz w:val="22"/>
          <w:szCs w:val="22"/>
          <w:lang w:val="sr-Cyrl-RS"/>
        </w:rPr>
        <w:t>; АП за родну равноправност у ЕУ</w:t>
      </w:r>
      <w:r w:rsidRPr="00EF008E">
        <w:rPr>
          <w:rFonts w:ascii="Arial" w:hAnsi="Arial" w:cs="Arial"/>
          <w:color w:val="000000"/>
          <w:sz w:val="22"/>
          <w:szCs w:val="22"/>
          <w:vertAlign w:val="superscript"/>
          <w:lang w:val="sr-Cyrl-RS"/>
        </w:rPr>
        <w:t>122</w:t>
      </w:r>
      <w:r w:rsidRPr="00EF008E">
        <w:rPr>
          <w:rFonts w:ascii="Arial" w:hAnsi="Arial" w:cs="Arial"/>
          <w:color w:val="000000"/>
          <w:sz w:val="22"/>
          <w:szCs w:val="22"/>
          <w:lang w:val="sr-Cyrl-RS"/>
        </w:rPr>
        <w:t>; затим, препоруке Одбора министара СЕ о: елиминисању сексизма у језику</w:t>
      </w:r>
      <w:r w:rsidRPr="00EF008E">
        <w:rPr>
          <w:rFonts w:ascii="Arial" w:hAnsi="Arial" w:cs="Arial"/>
          <w:color w:val="000000"/>
          <w:sz w:val="22"/>
          <w:szCs w:val="22"/>
          <w:vertAlign w:val="superscript"/>
          <w:lang w:val="sr-Cyrl-RS"/>
        </w:rPr>
        <w:t>123</w:t>
      </w:r>
      <w:r w:rsidRPr="00EF008E">
        <w:rPr>
          <w:rFonts w:ascii="Arial" w:hAnsi="Arial" w:cs="Arial"/>
          <w:color w:val="000000"/>
          <w:sz w:val="22"/>
          <w:szCs w:val="22"/>
          <w:lang w:val="sr-Cyrl-RS"/>
        </w:rPr>
        <w:t>, равноправности жена и мушкараца</w:t>
      </w:r>
      <w:r w:rsidRPr="00EF008E">
        <w:rPr>
          <w:rFonts w:ascii="Arial" w:hAnsi="Arial" w:cs="Arial"/>
          <w:color w:val="000000"/>
          <w:sz w:val="22"/>
          <w:szCs w:val="22"/>
          <w:vertAlign w:val="superscript"/>
          <w:lang w:val="sr-Cyrl-RS"/>
        </w:rPr>
        <w:t>124</w:t>
      </w:r>
      <w:r w:rsidRPr="00EF008E">
        <w:rPr>
          <w:rFonts w:ascii="Arial" w:hAnsi="Arial" w:cs="Arial"/>
          <w:color w:val="000000"/>
          <w:sz w:val="22"/>
          <w:szCs w:val="22"/>
          <w:lang w:val="sr-Cyrl-RS"/>
        </w:rPr>
        <w:t>, уравнотеженом учешћу жена и мушкараца у политичком и јавном одлучивању</w:t>
      </w:r>
      <w:r w:rsidRPr="00EF008E">
        <w:rPr>
          <w:rFonts w:ascii="Arial" w:hAnsi="Arial" w:cs="Arial"/>
          <w:color w:val="000000"/>
          <w:sz w:val="22"/>
          <w:szCs w:val="22"/>
          <w:vertAlign w:val="superscript"/>
          <w:lang w:val="sr-Cyrl-RS"/>
        </w:rPr>
        <w:t>125</w:t>
      </w:r>
      <w:r w:rsidRPr="00EF008E">
        <w:rPr>
          <w:rFonts w:ascii="Arial" w:hAnsi="Arial" w:cs="Arial"/>
          <w:color w:val="000000"/>
          <w:sz w:val="22"/>
          <w:szCs w:val="22"/>
          <w:lang w:val="sr-Cyrl-RS"/>
        </w:rPr>
        <w:t>, представљању жена у медијима</w:t>
      </w:r>
      <w:r w:rsidRPr="00EF008E">
        <w:rPr>
          <w:rFonts w:ascii="Arial" w:hAnsi="Arial" w:cs="Arial"/>
          <w:color w:val="000000"/>
          <w:sz w:val="22"/>
          <w:szCs w:val="22"/>
          <w:vertAlign w:val="superscript"/>
          <w:lang w:val="sr-Cyrl-RS"/>
        </w:rPr>
        <w:t>126</w:t>
      </w:r>
      <w:r w:rsidRPr="00EF008E">
        <w:rPr>
          <w:rFonts w:ascii="Arial" w:hAnsi="Arial" w:cs="Arial"/>
          <w:color w:val="000000"/>
          <w:sz w:val="22"/>
          <w:szCs w:val="22"/>
          <w:lang w:val="sr-Cyrl-RS"/>
        </w:rPr>
        <w:t>, репрезентовању жена у изборном систему</w:t>
      </w:r>
      <w:r w:rsidRPr="00EF008E">
        <w:rPr>
          <w:rFonts w:ascii="Arial" w:hAnsi="Arial" w:cs="Arial"/>
          <w:color w:val="000000"/>
          <w:sz w:val="22"/>
          <w:szCs w:val="22"/>
          <w:vertAlign w:val="superscript"/>
          <w:lang w:val="sr-Cyrl-RS"/>
        </w:rPr>
        <w:t>127</w:t>
      </w:r>
      <w:r w:rsidRPr="00EF008E">
        <w:rPr>
          <w:rFonts w:ascii="Arial" w:hAnsi="Arial" w:cs="Arial"/>
          <w:color w:val="000000"/>
          <w:sz w:val="22"/>
          <w:szCs w:val="22"/>
          <w:lang w:val="sr-Cyrl-RS"/>
        </w:rPr>
        <w:t>, учешћу жена у јавном и политичком животу европских регија.</w:t>
      </w:r>
      <w:r w:rsidRPr="00EF008E">
        <w:rPr>
          <w:rFonts w:ascii="Arial" w:hAnsi="Arial" w:cs="Arial"/>
          <w:color w:val="000000"/>
          <w:sz w:val="22"/>
          <w:szCs w:val="22"/>
          <w:vertAlign w:val="superscript"/>
          <w:lang w:val="sr-Cyrl-RS"/>
        </w:rPr>
        <w:t>128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Међународни акти релевантни за родне аспекте у областима здравствене заштите и социјалне сигурности су: Међународни пакт о економским, социјалним и културним правима (1966)</w:t>
      </w:r>
      <w:r w:rsidRPr="00EF008E">
        <w:rPr>
          <w:rFonts w:ascii="Arial" w:hAnsi="Arial" w:cs="Arial"/>
          <w:color w:val="000000"/>
          <w:sz w:val="22"/>
          <w:szCs w:val="22"/>
          <w:vertAlign w:val="superscript"/>
          <w:lang w:val="sr-Cyrl-RS"/>
        </w:rPr>
        <w:t>129</w:t>
      </w:r>
      <w:r w:rsidRPr="00EF008E">
        <w:rPr>
          <w:rFonts w:ascii="Arial" w:hAnsi="Arial" w:cs="Arial"/>
          <w:color w:val="000000"/>
          <w:sz w:val="22"/>
          <w:szCs w:val="22"/>
          <w:lang w:val="sr-Cyrl-RS"/>
        </w:rPr>
        <w:t>; Закључци Европског комитета за социјална права у вези са применом Европске социјалне повеље (март 2020)</w:t>
      </w:r>
      <w:r w:rsidRPr="00EF008E">
        <w:rPr>
          <w:rFonts w:ascii="Arial" w:hAnsi="Arial" w:cs="Arial"/>
          <w:color w:val="000000"/>
          <w:sz w:val="22"/>
          <w:szCs w:val="22"/>
          <w:vertAlign w:val="superscript"/>
          <w:lang w:val="sr-Cyrl-RS"/>
        </w:rPr>
        <w:t>130</w:t>
      </w:r>
      <w:r w:rsidRPr="00EF008E">
        <w:rPr>
          <w:rFonts w:ascii="Arial" w:hAnsi="Arial" w:cs="Arial"/>
          <w:color w:val="000000"/>
          <w:sz w:val="22"/>
          <w:szCs w:val="22"/>
          <w:lang w:val="sr-Cyrl-RS"/>
        </w:rPr>
        <w:t>; Ревидирана Европска социјална повеља</w:t>
      </w:r>
      <w:r w:rsidRPr="00EF008E">
        <w:rPr>
          <w:rFonts w:ascii="Arial" w:hAnsi="Arial" w:cs="Arial"/>
          <w:color w:val="000000"/>
          <w:sz w:val="22"/>
          <w:szCs w:val="22"/>
          <w:vertAlign w:val="superscript"/>
          <w:lang w:val="sr-Cyrl-RS"/>
        </w:rPr>
        <w:t>131</w:t>
      </w:r>
      <w:r w:rsidRPr="00EF008E">
        <w:rPr>
          <w:rFonts w:ascii="Arial" w:hAnsi="Arial" w:cs="Arial"/>
          <w:color w:val="000000"/>
          <w:sz w:val="22"/>
          <w:szCs w:val="22"/>
          <w:lang w:val="sr-Cyrl-RS"/>
        </w:rPr>
        <w:t>; Конвенција о људским правима и биомедицини</w:t>
      </w:r>
      <w:r w:rsidRPr="00EF008E">
        <w:rPr>
          <w:rFonts w:ascii="Arial" w:hAnsi="Arial" w:cs="Arial"/>
          <w:color w:val="000000"/>
          <w:sz w:val="22"/>
          <w:szCs w:val="22"/>
          <w:vertAlign w:val="superscript"/>
          <w:lang w:val="sr-Cyrl-RS"/>
        </w:rPr>
        <w:t>132</w:t>
      </w:r>
      <w:r w:rsidRPr="00EF008E">
        <w:rPr>
          <w:rFonts w:ascii="Arial" w:hAnsi="Arial" w:cs="Arial"/>
          <w:color w:val="000000"/>
          <w:sz w:val="22"/>
          <w:szCs w:val="22"/>
          <w:lang w:val="sr-Cyrl-RS"/>
        </w:rPr>
        <w:t>; Конвенција о безбедности и здрављу у пољопривреди</w:t>
      </w:r>
      <w:r w:rsidRPr="00EF008E">
        <w:rPr>
          <w:rFonts w:ascii="Arial" w:hAnsi="Arial" w:cs="Arial"/>
          <w:color w:val="000000"/>
          <w:sz w:val="22"/>
          <w:szCs w:val="22"/>
          <w:vertAlign w:val="superscript"/>
          <w:lang w:val="sr-Cyrl-RS"/>
        </w:rPr>
        <w:t>133</w:t>
      </w:r>
      <w:r w:rsidRPr="00EF008E">
        <w:rPr>
          <w:rFonts w:ascii="Arial" w:hAnsi="Arial" w:cs="Arial"/>
          <w:color w:val="000000"/>
          <w:sz w:val="22"/>
          <w:szCs w:val="22"/>
          <w:lang w:val="sr-Cyrl-RS"/>
        </w:rPr>
        <w:t>; Резолуција Савета министара рада и социјалне политике о уравнотеженом учешћу жена и мушкараца у породичном и радном животу</w:t>
      </w:r>
      <w:r w:rsidRPr="00EF008E">
        <w:rPr>
          <w:rFonts w:ascii="Arial" w:hAnsi="Arial" w:cs="Arial"/>
          <w:color w:val="000000"/>
          <w:sz w:val="22"/>
          <w:szCs w:val="22"/>
          <w:vertAlign w:val="superscript"/>
          <w:lang w:val="sr-Cyrl-RS"/>
        </w:rPr>
        <w:t>134</w:t>
      </w:r>
      <w:r w:rsidRPr="00EF008E">
        <w:rPr>
          <w:rFonts w:ascii="Arial" w:hAnsi="Arial" w:cs="Arial"/>
          <w:color w:val="000000"/>
          <w:sz w:val="22"/>
          <w:szCs w:val="22"/>
          <w:lang w:val="sr-Cyrl-RS"/>
        </w:rPr>
        <w:t>; Директива 79/7/ЕЕЗ (социјална заштита)</w:t>
      </w:r>
      <w:r w:rsidRPr="00EF008E">
        <w:rPr>
          <w:rFonts w:ascii="Arial" w:hAnsi="Arial" w:cs="Arial"/>
          <w:color w:val="000000"/>
          <w:sz w:val="22"/>
          <w:szCs w:val="22"/>
          <w:vertAlign w:val="superscript"/>
          <w:lang w:val="sr-Cyrl-RS"/>
        </w:rPr>
        <w:t>135</w:t>
      </w:r>
      <w:r w:rsidRPr="00EF008E">
        <w:rPr>
          <w:rFonts w:ascii="Arial" w:hAnsi="Arial" w:cs="Arial"/>
          <w:color w:val="000000"/>
          <w:sz w:val="22"/>
          <w:szCs w:val="22"/>
          <w:lang w:val="sr-Cyrl-RS"/>
        </w:rPr>
        <w:t>; Директива 86/613/ЕЕЗ (самосталне делатности, заштита самозапослених жена током трудноће и материнства)</w:t>
      </w:r>
      <w:r w:rsidRPr="00EF008E">
        <w:rPr>
          <w:rFonts w:ascii="Arial" w:hAnsi="Arial" w:cs="Arial"/>
          <w:color w:val="000000"/>
          <w:sz w:val="22"/>
          <w:szCs w:val="22"/>
          <w:vertAlign w:val="superscript"/>
          <w:lang w:val="sr-Cyrl-RS"/>
        </w:rPr>
        <w:t>136</w:t>
      </w:r>
      <w:r w:rsidRPr="00EF008E">
        <w:rPr>
          <w:rFonts w:ascii="Arial" w:hAnsi="Arial" w:cs="Arial"/>
          <w:color w:val="000000"/>
          <w:sz w:val="22"/>
          <w:szCs w:val="22"/>
          <w:lang w:val="sr-Cyrl-RS"/>
        </w:rPr>
        <w:t>; Директива 2006/54/ЕЗ (запослење и звања)</w:t>
      </w:r>
      <w:r w:rsidRPr="00EF008E">
        <w:rPr>
          <w:rFonts w:ascii="Arial" w:hAnsi="Arial" w:cs="Arial"/>
          <w:color w:val="000000"/>
          <w:sz w:val="22"/>
          <w:szCs w:val="22"/>
          <w:vertAlign w:val="superscript"/>
          <w:lang w:val="sr-Cyrl-RS"/>
        </w:rPr>
        <w:t>137</w:t>
      </w:r>
      <w:r w:rsidRPr="00EF008E">
        <w:rPr>
          <w:rFonts w:ascii="Arial" w:hAnsi="Arial" w:cs="Arial"/>
          <w:color w:val="000000"/>
          <w:sz w:val="22"/>
          <w:szCs w:val="22"/>
          <w:lang w:val="sr-Cyrl-RS"/>
        </w:rPr>
        <w:t>; директиве о заштити трудница, мајки и родитеља међу којима су: Директива 92/85/ЕЕЗ (мере за унапређење сигурности и здравствене заштите на раду трудних радница, радница које су се недавно породиле или су на породиљском одсуству)</w:t>
      </w:r>
      <w:r w:rsidRPr="00EF008E">
        <w:rPr>
          <w:rFonts w:ascii="Arial" w:hAnsi="Arial" w:cs="Arial"/>
          <w:color w:val="000000"/>
          <w:sz w:val="22"/>
          <w:szCs w:val="22"/>
          <w:vertAlign w:val="superscript"/>
          <w:lang w:val="sr-Cyrl-RS"/>
        </w:rPr>
        <w:t>138</w:t>
      </w:r>
      <w:r w:rsidRPr="00EF008E">
        <w:rPr>
          <w:rFonts w:ascii="Arial" w:hAnsi="Arial" w:cs="Arial"/>
          <w:color w:val="000000"/>
          <w:sz w:val="22"/>
          <w:szCs w:val="22"/>
          <w:lang w:val="sr-Cyrl-RS"/>
        </w:rPr>
        <w:t>, Директива 96/34/ЕЗ (одсуство ради бриге о детету)</w:t>
      </w:r>
      <w:r w:rsidRPr="00EF008E">
        <w:rPr>
          <w:rFonts w:ascii="Arial" w:hAnsi="Arial" w:cs="Arial"/>
          <w:color w:val="000000"/>
          <w:sz w:val="22"/>
          <w:szCs w:val="22"/>
          <w:vertAlign w:val="superscript"/>
          <w:lang w:val="sr-Cyrl-RS"/>
        </w:rPr>
        <w:t>139</w:t>
      </w:r>
      <w:r w:rsidRPr="00EF008E">
        <w:rPr>
          <w:rFonts w:ascii="Arial" w:hAnsi="Arial" w:cs="Arial"/>
          <w:color w:val="000000"/>
          <w:sz w:val="22"/>
          <w:szCs w:val="22"/>
          <w:lang w:val="sr-Cyrl-RS"/>
        </w:rPr>
        <w:t>, Директива 2010/18/ЕЗ (родитељско одсуство)</w:t>
      </w:r>
      <w:r w:rsidRPr="00EF008E">
        <w:rPr>
          <w:rFonts w:ascii="Arial" w:hAnsi="Arial" w:cs="Arial"/>
          <w:color w:val="000000"/>
          <w:sz w:val="22"/>
          <w:szCs w:val="22"/>
          <w:vertAlign w:val="superscript"/>
          <w:lang w:val="sr-Cyrl-RS"/>
        </w:rPr>
        <w:t>140</w:t>
      </w:r>
      <w:r w:rsidRPr="00EF008E">
        <w:rPr>
          <w:rFonts w:ascii="Arial" w:hAnsi="Arial" w:cs="Arial"/>
          <w:color w:val="000000"/>
          <w:sz w:val="22"/>
          <w:szCs w:val="22"/>
          <w:lang w:val="sr-Cyrl-RS"/>
        </w:rPr>
        <w:t>; препоруке Одбора министара о: помирeњу породичног и јавног живота</w:t>
      </w:r>
      <w:r w:rsidRPr="00EF008E">
        <w:rPr>
          <w:rFonts w:ascii="Arial" w:hAnsi="Arial" w:cs="Arial"/>
          <w:color w:val="000000"/>
          <w:sz w:val="22"/>
          <w:szCs w:val="22"/>
          <w:vertAlign w:val="superscript"/>
          <w:lang w:val="sr-Cyrl-RS"/>
        </w:rPr>
        <w:t>141</w:t>
      </w:r>
      <w:r w:rsidRPr="00EF008E">
        <w:rPr>
          <w:rFonts w:ascii="Arial" w:hAnsi="Arial" w:cs="Arial"/>
          <w:color w:val="000000"/>
          <w:sz w:val="22"/>
          <w:szCs w:val="22"/>
          <w:lang w:val="sr-Cyrl-RS"/>
        </w:rPr>
        <w:t>, укључивању родних разлика у здравствену политику.</w:t>
      </w:r>
      <w:r w:rsidRPr="00EF008E">
        <w:rPr>
          <w:rFonts w:ascii="Arial" w:hAnsi="Arial" w:cs="Arial"/>
          <w:color w:val="000000"/>
          <w:sz w:val="22"/>
          <w:szCs w:val="22"/>
          <w:vertAlign w:val="superscript"/>
          <w:lang w:val="sr-Cyrl-RS"/>
        </w:rPr>
        <w:t>142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Међународни акти релевантни за институционални оквир и креирање родно одговорних јавних политика и буџета су: Европска повеља о локалној самоуправи</w:t>
      </w:r>
      <w:r w:rsidRPr="00EF008E">
        <w:rPr>
          <w:rFonts w:ascii="Arial" w:hAnsi="Arial" w:cs="Arial"/>
          <w:color w:val="000000"/>
          <w:sz w:val="22"/>
          <w:szCs w:val="22"/>
          <w:vertAlign w:val="superscript"/>
          <w:lang w:val="sr-Cyrl-RS"/>
        </w:rPr>
        <w:t>143</w:t>
      </w:r>
      <w:r w:rsidRPr="00EF008E">
        <w:rPr>
          <w:rFonts w:ascii="Arial" w:hAnsi="Arial" w:cs="Arial"/>
          <w:color w:val="000000"/>
          <w:sz w:val="22"/>
          <w:szCs w:val="22"/>
          <w:lang w:val="sr-Cyrl-RS"/>
        </w:rPr>
        <w:t>; Додатни протокол о праву учешћа у одлучивању о пословима локалних власти</w:t>
      </w:r>
      <w:r w:rsidRPr="00EF008E">
        <w:rPr>
          <w:rFonts w:ascii="Arial" w:hAnsi="Arial" w:cs="Arial"/>
          <w:color w:val="000000"/>
          <w:sz w:val="22"/>
          <w:szCs w:val="22"/>
          <w:vertAlign w:val="superscript"/>
          <w:lang w:val="sr-Cyrl-RS"/>
        </w:rPr>
        <w:t>144</w:t>
      </w:r>
      <w:r w:rsidRPr="00EF008E">
        <w:rPr>
          <w:rFonts w:ascii="Arial" w:hAnsi="Arial" w:cs="Arial"/>
          <w:color w:val="000000"/>
          <w:sz w:val="22"/>
          <w:szCs w:val="22"/>
          <w:lang w:val="sr-Cyrl-RS"/>
        </w:rPr>
        <w:t>; Европска повеља о родној равноправности на локалном нивоу</w:t>
      </w:r>
      <w:r w:rsidRPr="00EF008E">
        <w:rPr>
          <w:rFonts w:ascii="Arial" w:hAnsi="Arial" w:cs="Arial"/>
          <w:color w:val="000000"/>
          <w:sz w:val="22"/>
          <w:szCs w:val="22"/>
          <w:vertAlign w:val="superscript"/>
          <w:lang w:val="sr-Cyrl-RS"/>
        </w:rPr>
        <w:t>145</w:t>
      </w:r>
      <w:r w:rsidRPr="00EF008E">
        <w:rPr>
          <w:rFonts w:ascii="Arial" w:hAnsi="Arial" w:cs="Arial"/>
          <w:color w:val="000000"/>
          <w:sz w:val="22"/>
          <w:szCs w:val="22"/>
          <w:lang w:val="sr-Cyrl-RS"/>
        </w:rPr>
        <w:t>; Резолуција о родној равноправности на локалном и регионалном нивоу</w:t>
      </w:r>
      <w:r w:rsidRPr="00EF008E">
        <w:rPr>
          <w:rFonts w:ascii="Arial" w:hAnsi="Arial" w:cs="Arial"/>
          <w:color w:val="000000"/>
          <w:sz w:val="22"/>
          <w:szCs w:val="22"/>
          <w:vertAlign w:val="superscript"/>
          <w:lang w:val="sr-Cyrl-RS"/>
        </w:rPr>
        <w:t>146</w:t>
      </w:r>
      <w:r w:rsidRPr="00EF008E">
        <w:rPr>
          <w:rFonts w:ascii="Arial" w:hAnsi="Arial" w:cs="Arial"/>
          <w:color w:val="000000"/>
          <w:sz w:val="22"/>
          <w:szCs w:val="22"/>
          <w:lang w:val="sr-Cyrl-RS"/>
        </w:rPr>
        <w:t>; препоруке Одбора министара о: интегрисању родног аспекта у јавне политике</w:t>
      </w:r>
      <w:r w:rsidRPr="00EF008E">
        <w:rPr>
          <w:rFonts w:ascii="Arial" w:hAnsi="Arial" w:cs="Arial"/>
          <w:color w:val="000000"/>
          <w:sz w:val="22"/>
          <w:szCs w:val="22"/>
          <w:vertAlign w:val="superscript"/>
          <w:lang w:val="sr-Cyrl-RS"/>
        </w:rPr>
        <w:t>147</w:t>
      </w:r>
      <w:r w:rsidRPr="00EF008E">
        <w:rPr>
          <w:rFonts w:ascii="Arial" w:hAnsi="Arial" w:cs="Arial"/>
          <w:color w:val="000000"/>
          <w:sz w:val="22"/>
          <w:szCs w:val="22"/>
          <w:lang w:val="sr-Cyrl-RS"/>
        </w:rPr>
        <w:t>, стандардима и механизмима за постизање родне равноправности.</w:t>
      </w:r>
      <w:r w:rsidRPr="00EF008E">
        <w:rPr>
          <w:rFonts w:ascii="Arial" w:hAnsi="Arial" w:cs="Arial"/>
          <w:color w:val="000000"/>
          <w:sz w:val="22"/>
          <w:szCs w:val="22"/>
          <w:vertAlign w:val="superscript"/>
          <w:lang w:val="sr-Cyrl-RS"/>
        </w:rPr>
        <w:t>148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Међународни акти који се односе на особе које припадају рањивим групама а који су релевантни за сваку од области које су обухваћене Стратегијом су: Међународна конвенција о укидању свих облика расне дискриминације (1967)</w:t>
      </w:r>
      <w:r w:rsidRPr="00EF008E">
        <w:rPr>
          <w:rFonts w:ascii="Arial" w:hAnsi="Arial" w:cs="Arial"/>
          <w:color w:val="000000"/>
          <w:sz w:val="22"/>
          <w:szCs w:val="22"/>
          <w:vertAlign w:val="superscript"/>
          <w:lang w:val="sr-Cyrl-RS"/>
        </w:rPr>
        <w:t>149</w:t>
      </w:r>
      <w:r w:rsidRPr="00EF008E">
        <w:rPr>
          <w:rFonts w:ascii="Arial" w:hAnsi="Arial" w:cs="Arial"/>
          <w:color w:val="000000"/>
          <w:sz w:val="22"/>
          <w:szCs w:val="22"/>
          <w:lang w:val="sr-Cyrl-RS"/>
        </w:rPr>
        <w:t>; Конвенција о правима детета (1989)</w:t>
      </w:r>
      <w:r w:rsidRPr="00EF008E">
        <w:rPr>
          <w:rFonts w:ascii="Arial" w:hAnsi="Arial" w:cs="Arial"/>
          <w:color w:val="000000"/>
          <w:sz w:val="22"/>
          <w:szCs w:val="22"/>
          <w:vertAlign w:val="superscript"/>
          <w:lang w:val="sr-Cyrl-RS"/>
        </w:rPr>
        <w:t>150</w:t>
      </w:r>
      <w:r w:rsidRPr="00EF008E">
        <w:rPr>
          <w:rFonts w:ascii="Arial" w:hAnsi="Arial" w:cs="Arial"/>
          <w:color w:val="000000"/>
          <w:sz w:val="22"/>
          <w:szCs w:val="22"/>
          <w:lang w:val="sr-Cyrl-RS"/>
        </w:rPr>
        <w:t>; Конвенција о правима особа са инвалидитетом (2006)</w:t>
      </w:r>
      <w:r w:rsidRPr="00EF008E">
        <w:rPr>
          <w:rFonts w:ascii="Arial" w:hAnsi="Arial" w:cs="Arial"/>
          <w:color w:val="000000"/>
          <w:sz w:val="22"/>
          <w:szCs w:val="22"/>
          <w:vertAlign w:val="superscript"/>
          <w:lang w:val="sr-Cyrl-RS"/>
        </w:rPr>
        <w:t>151</w:t>
      </w:r>
      <w:r w:rsidRPr="00EF008E">
        <w:rPr>
          <w:rFonts w:ascii="Arial" w:hAnsi="Arial" w:cs="Arial"/>
          <w:color w:val="000000"/>
          <w:sz w:val="22"/>
          <w:szCs w:val="22"/>
          <w:lang w:val="sr-Cyrl-RS"/>
        </w:rPr>
        <w:t>; Декларација УН о правима припадника националних, етничких, верских и језичких мањина (1992); Хашке препоруке о праву националних мањина на образовање (1996)</w:t>
      </w:r>
      <w:r w:rsidRPr="00EF008E">
        <w:rPr>
          <w:rFonts w:ascii="Arial" w:hAnsi="Arial" w:cs="Arial"/>
          <w:color w:val="000000"/>
          <w:sz w:val="22"/>
          <w:szCs w:val="22"/>
          <w:vertAlign w:val="superscript"/>
          <w:lang w:val="sr-Cyrl-RS"/>
        </w:rPr>
        <w:t>152</w:t>
      </w:r>
      <w:r w:rsidRPr="00EF008E">
        <w:rPr>
          <w:rFonts w:ascii="Arial" w:hAnsi="Arial" w:cs="Arial"/>
          <w:color w:val="000000"/>
          <w:sz w:val="22"/>
          <w:szCs w:val="22"/>
          <w:lang w:val="sr-Cyrl-RS"/>
        </w:rPr>
        <w:t>; Оквирна конвенција за заштиту националних мањина (1998)</w:t>
      </w:r>
      <w:r w:rsidRPr="00EF008E">
        <w:rPr>
          <w:rFonts w:ascii="Arial" w:hAnsi="Arial" w:cs="Arial"/>
          <w:color w:val="000000"/>
          <w:sz w:val="22"/>
          <w:szCs w:val="22"/>
          <w:vertAlign w:val="superscript"/>
          <w:lang w:val="sr-Cyrl-RS"/>
        </w:rPr>
        <w:t>153</w:t>
      </w:r>
      <w:r w:rsidRPr="00EF008E">
        <w:rPr>
          <w:rFonts w:ascii="Arial" w:hAnsi="Arial" w:cs="Arial"/>
          <w:color w:val="000000"/>
          <w:sz w:val="22"/>
          <w:szCs w:val="22"/>
          <w:lang w:val="sr-Cyrl-RS"/>
        </w:rPr>
        <w:t>; Препоруке из Лунда о делотворном учешћу националних мањина у јавном животу (1999)</w:t>
      </w:r>
      <w:r w:rsidRPr="00EF008E">
        <w:rPr>
          <w:rFonts w:ascii="Arial" w:hAnsi="Arial" w:cs="Arial"/>
          <w:color w:val="000000"/>
          <w:sz w:val="22"/>
          <w:szCs w:val="22"/>
          <w:vertAlign w:val="superscript"/>
          <w:lang w:val="sr-Cyrl-RS"/>
        </w:rPr>
        <w:t>154</w:t>
      </w:r>
      <w:r w:rsidRPr="00EF008E">
        <w:rPr>
          <w:rFonts w:ascii="Arial" w:hAnsi="Arial" w:cs="Arial"/>
          <w:color w:val="000000"/>
          <w:sz w:val="22"/>
          <w:szCs w:val="22"/>
          <w:lang w:val="sr-Cyrl-RS"/>
        </w:rPr>
        <w:t>; Препорука Европске комисије против расизма и нетрпељивости (ECRI) и борби против расизма и нетрпељивости против Рома (1998); Европска конвенција о регионалним или језицима националних мањина</w:t>
      </w:r>
      <w:r w:rsidRPr="00EF008E">
        <w:rPr>
          <w:rFonts w:ascii="Arial" w:hAnsi="Arial" w:cs="Arial"/>
          <w:color w:val="000000"/>
          <w:sz w:val="22"/>
          <w:szCs w:val="22"/>
          <w:vertAlign w:val="superscript"/>
          <w:lang w:val="sr-Cyrl-RS"/>
        </w:rPr>
        <w:t>155</w:t>
      </w:r>
      <w:r w:rsidRPr="00EF008E">
        <w:rPr>
          <w:rFonts w:ascii="Arial" w:hAnsi="Arial" w:cs="Arial"/>
          <w:color w:val="000000"/>
          <w:sz w:val="22"/>
          <w:szCs w:val="22"/>
          <w:lang w:val="sr-Cyrl-RS"/>
        </w:rPr>
        <w:t>; Kонвенција о статусу избеглица</w:t>
      </w:r>
      <w:r w:rsidRPr="00EF008E">
        <w:rPr>
          <w:rFonts w:ascii="Arial" w:hAnsi="Arial" w:cs="Arial"/>
          <w:color w:val="000000"/>
          <w:sz w:val="22"/>
          <w:szCs w:val="22"/>
          <w:vertAlign w:val="superscript"/>
          <w:lang w:val="sr-Cyrl-RS"/>
        </w:rPr>
        <w:t>156</w:t>
      </w:r>
      <w:r w:rsidRPr="00EF008E">
        <w:rPr>
          <w:rFonts w:ascii="Arial" w:hAnsi="Arial" w:cs="Arial"/>
          <w:color w:val="000000"/>
          <w:sz w:val="22"/>
          <w:szCs w:val="22"/>
          <w:lang w:val="sr-Cyrl-RS"/>
        </w:rPr>
        <w:t>; Протокол о статусу избеглица</w:t>
      </w:r>
      <w:r w:rsidRPr="00EF008E">
        <w:rPr>
          <w:rFonts w:ascii="Arial" w:hAnsi="Arial" w:cs="Arial"/>
          <w:color w:val="000000"/>
          <w:sz w:val="22"/>
          <w:szCs w:val="22"/>
          <w:vertAlign w:val="superscript"/>
          <w:lang w:val="sr-Cyrl-RS"/>
        </w:rPr>
        <w:t>157</w:t>
      </w:r>
      <w:r w:rsidRPr="00EF008E">
        <w:rPr>
          <w:rFonts w:ascii="Arial" w:hAnsi="Arial" w:cs="Arial"/>
          <w:color w:val="000000"/>
          <w:sz w:val="22"/>
          <w:szCs w:val="22"/>
          <w:lang w:val="sr-Cyrl-RS"/>
        </w:rPr>
        <w:t xml:space="preserve">; Препорука Одбора министара и СЕ Rec (2000) 4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начелне смернице о образовној политици према ромској деци Европи; Препорука Одбора министара СЕ Rec(2001) 17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побољшање друштвеног положаја и запошљавања Рома и номада у Европи; Препорука о мерама за борбу против дискриминације на основу сексуалне оријентације или родног идентитета CM/Rec(2010); Комитета Савета министара СЕ</w:t>
      </w:r>
      <w:r w:rsidRPr="00EF008E">
        <w:rPr>
          <w:rFonts w:ascii="Arial" w:hAnsi="Arial" w:cs="Arial"/>
          <w:color w:val="000000"/>
          <w:sz w:val="22"/>
          <w:szCs w:val="22"/>
          <w:vertAlign w:val="superscript"/>
          <w:lang w:val="sr-Cyrl-RS"/>
        </w:rPr>
        <w:t>158</w:t>
      </w:r>
      <w:r w:rsidRPr="00EF008E">
        <w:rPr>
          <w:rFonts w:ascii="Arial" w:hAnsi="Arial" w:cs="Arial"/>
          <w:color w:val="000000"/>
          <w:sz w:val="22"/>
          <w:szCs w:val="22"/>
          <w:lang w:val="sr-Cyrl-RS"/>
        </w:rPr>
        <w:t>; као и меморандум објашњења уз ову препоруку</w:t>
      </w:r>
      <w:r w:rsidRPr="00EF008E">
        <w:rPr>
          <w:rFonts w:ascii="Arial" w:hAnsi="Arial" w:cs="Arial"/>
          <w:color w:val="000000"/>
          <w:sz w:val="22"/>
          <w:szCs w:val="22"/>
          <w:vertAlign w:val="superscript"/>
          <w:lang w:val="sr-Cyrl-RS"/>
        </w:rPr>
        <w:t>159</w:t>
      </w:r>
      <w:r w:rsidRPr="00EF008E">
        <w:rPr>
          <w:rFonts w:ascii="Arial" w:hAnsi="Arial" w:cs="Arial"/>
          <w:color w:val="000000"/>
          <w:sz w:val="22"/>
          <w:szCs w:val="22"/>
          <w:lang w:val="sr-Cyrl-RS"/>
        </w:rPr>
        <w:t xml:space="preserve">; Џогџакарта принципи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примене Закона о међународним људским правима везаним за сексуалну оријентацију и родни идентитет</w:t>
      </w:r>
      <w:r w:rsidRPr="00EF008E">
        <w:rPr>
          <w:rFonts w:ascii="Arial" w:hAnsi="Arial" w:cs="Arial"/>
          <w:color w:val="000000"/>
          <w:sz w:val="22"/>
          <w:szCs w:val="22"/>
          <w:vertAlign w:val="superscript"/>
          <w:lang w:val="sr-Cyrl-RS"/>
        </w:rPr>
        <w:t>160</w:t>
      </w:r>
      <w:r w:rsidRPr="00EF008E">
        <w:rPr>
          <w:rFonts w:ascii="Arial" w:hAnsi="Arial" w:cs="Arial"/>
          <w:color w:val="000000"/>
          <w:sz w:val="22"/>
          <w:szCs w:val="22"/>
          <w:lang w:val="sr-Cyrl-RS"/>
        </w:rPr>
        <w:t xml:space="preserve"> и ревидирани Џогџакарта принципи.</w:t>
      </w:r>
      <w:r w:rsidRPr="00EF008E">
        <w:rPr>
          <w:rFonts w:ascii="Arial" w:hAnsi="Arial" w:cs="Arial"/>
          <w:color w:val="000000"/>
          <w:sz w:val="22"/>
          <w:szCs w:val="22"/>
          <w:vertAlign w:val="superscript"/>
          <w:lang w:val="sr-Cyrl-RS"/>
        </w:rPr>
        <w:t>161</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 Међународни документи доступни и на: http://www.stop_vaw.org/Council_of_Europe4-html</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 Доступно на https://www.rodnaravnopravnost.rs/attachments/013_Milenijumska%20deklaracija%20UN.pdf</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85</w:t>
      </w:r>
      <w:r w:rsidRPr="00EF008E">
        <w:rPr>
          <w:rFonts w:ascii="Arial" w:hAnsi="Arial" w:cs="Arial"/>
          <w:i/>
          <w:color w:val="000000"/>
          <w:sz w:val="22"/>
          <w:szCs w:val="22"/>
          <w:lang w:val="sr-Cyrl-RS"/>
        </w:rPr>
        <w:tab/>
        <w:t>Доступно на https://www.rs.undp.org/content/serbia/sr/home/sustainable-development-goals/goal-5-gender-equality.html</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 The International Conference on Population and Development (ICPD) Programme of Action, Kairo 1994 доступно на https://www.unfpa.org/sites/default/files/pub-pdf/programme_of_action_Web%20ENGLISH.pdf, приступ: 24.12.2019.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 Декларација и Платформа за акцију усвојене су 15. IX 1995. године на Четвртој светској конференцији о женама. Доступно на: http://www.e-jednakost.org.rs/kurs/kurs/download/pekinska_deklaracija.pdf</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88</w:t>
      </w:r>
      <w:r w:rsidRPr="00EF008E">
        <w:rPr>
          <w:rFonts w:ascii="Arial" w:hAnsi="Arial" w:cs="Arial"/>
          <w:i/>
          <w:color w:val="000000"/>
          <w:sz w:val="22"/>
          <w:szCs w:val="22"/>
          <w:lang w:val="sr-Cyrl-RS"/>
        </w:rPr>
        <w:tab/>
        <w:t>Доступно на: https://www.womenngo.org.rs/vesti/vesti-arhiva-2006-2011/24-vesti-arhiva-tekstovi/133-peking-15-i-paralelne-aktivnosti-ngo-foruma, приступ: 24.12.2019.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 Доступно на: https://www.rodnaravnopravnost.gov.rs/en/node/533, приступ: 24.12.2019.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90Convention against Discrimination in Education,adopted by the General Conference of UNESCO at its eleventh session (Paris, 14. XII 1960.). Доступно на: http://portal.unesco.org/en/ev.php- URL_ID=12949&amp;URL_DO=DO_TOPIC&amp;URL_SECTION=201.html, приступ: 24.12.2019.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91 World Declaration on Higher Education for the Twenty-first Century, Vision and Action. UNESCO, Paris, 1998. стр. 9</w:t>
      </w:r>
      <w:r>
        <w:rPr>
          <w:rFonts w:ascii="Arial" w:hAnsi="Arial" w:cs="Arial"/>
          <w:i/>
          <w:color w:val="000000"/>
          <w:sz w:val="22"/>
          <w:szCs w:val="22"/>
          <w:lang w:val="sr-Cyrl-RS"/>
        </w:rPr>
        <w:t>-</w:t>
      </w:r>
      <w:r w:rsidRPr="00EF008E">
        <w:rPr>
          <w:rFonts w:ascii="Arial" w:hAnsi="Arial" w:cs="Arial"/>
          <w:i/>
          <w:color w:val="000000"/>
          <w:sz w:val="22"/>
          <w:szCs w:val="22"/>
          <w:lang w:val="sr-Cyrl-RS"/>
        </w:rPr>
        <w:t>12. Доступно на: http://www.unesco.org/education/educprog/wche/declaration_eng.htm или http://www.unesco.org, приступ: 24. 12.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92 Конференција је одржана од 5. до 8.7.2009. године у Паризу. Доступно на: Финални извештај УНЕСКА о активностима и мерама у области високог образовања https://ukznextendedlearning.com/wp-content/uploads/2018/08/unesco-2009.pdf, приступ: 24.12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93 Усвојена 20.5.1999. Исто, стр. 138</w:t>
      </w:r>
      <w:r>
        <w:rPr>
          <w:rFonts w:ascii="Arial" w:hAnsi="Arial" w:cs="Arial"/>
          <w:i/>
          <w:color w:val="000000"/>
          <w:sz w:val="22"/>
          <w:szCs w:val="22"/>
          <w:lang w:val="sr-Cyrl-RS"/>
        </w:rPr>
        <w:t>-</w:t>
      </w:r>
      <w:r w:rsidRPr="00EF008E">
        <w:rPr>
          <w:rFonts w:ascii="Arial" w:hAnsi="Arial" w:cs="Arial"/>
          <w:i/>
          <w:color w:val="000000"/>
          <w:sz w:val="22"/>
          <w:szCs w:val="22"/>
          <w:lang w:val="sr-Cyrl-RS"/>
        </w:rPr>
        <w:t>141.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94 Право на образовање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политике и стратегије Yves Daudet i Kishore Singh, UNESCO, Paris https://www.right-to-education.org/sites/right-to-education.org/files/resource.attachments/UNESCO_RTE_Analysis_of_UNESCO%27s_Standard_Setting_Instruments_2001_En.pdf приступ 24.11.2019.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95 Стратешки документ усвојен 1.11.2019. године од стране сталне радна група Европског комитета за област истраживања и иновација, а у поводу 20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те годишњице од усвајања првог документа Европске комисије о женама у науци. https://ec.europa.eu/research/swafs/index.cfm?pg=policy&amp;lib=gender приступ 25.11.2019.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96 Усвојена 10.2.1975. године Позната као Директива о једнаким могућностима. Извор: Пајванчић, М. Петрушић, Н. и др. Коментар закона о родној равноправности, ФЕС, 2010. стр. 40</w:t>
      </w:r>
      <w:r>
        <w:rPr>
          <w:rFonts w:ascii="Arial" w:hAnsi="Arial" w:cs="Arial"/>
          <w:i/>
          <w:color w:val="000000"/>
          <w:sz w:val="22"/>
          <w:szCs w:val="22"/>
          <w:lang w:val="sr-Cyrl-RS"/>
        </w:rPr>
        <w:t>-</w:t>
      </w:r>
      <w:r w:rsidRPr="00EF008E">
        <w:rPr>
          <w:rFonts w:ascii="Arial" w:hAnsi="Arial" w:cs="Arial"/>
          <w:i/>
          <w:color w:val="000000"/>
          <w:sz w:val="22"/>
          <w:szCs w:val="22"/>
          <w:lang w:val="sr-Cyrl-RS"/>
        </w:rPr>
        <w:t>43.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97 Усвојена 9.2.1976. Допуњује Директиву о једнаким могућностима. И ова Директива је допуњена и измењена Директивом 2002/73/ЕЗ ЕП и СЕ и примењује се на европском простору. Исто. стр. 43</w:t>
      </w:r>
      <w:r>
        <w:rPr>
          <w:rFonts w:ascii="Arial" w:hAnsi="Arial" w:cs="Arial"/>
          <w:i/>
          <w:color w:val="000000"/>
          <w:sz w:val="22"/>
          <w:szCs w:val="22"/>
          <w:lang w:val="sr-Cyrl-RS"/>
        </w:rPr>
        <w:t>-</w:t>
      </w:r>
      <w:r w:rsidRPr="00EF008E">
        <w:rPr>
          <w:rFonts w:ascii="Arial" w:hAnsi="Arial" w:cs="Arial"/>
          <w:i/>
          <w:color w:val="000000"/>
          <w:sz w:val="22"/>
          <w:szCs w:val="22"/>
          <w:lang w:val="sr-Cyrl-RS"/>
        </w:rPr>
        <w:t>48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98 Усвојена 27.11 1991. Исто, стр. 114</w:t>
      </w:r>
      <w:r>
        <w:rPr>
          <w:rFonts w:ascii="Arial" w:hAnsi="Arial" w:cs="Arial"/>
          <w:i/>
          <w:color w:val="000000"/>
          <w:sz w:val="22"/>
          <w:szCs w:val="22"/>
          <w:lang w:val="sr-Cyrl-RS"/>
        </w:rPr>
        <w:t>-</w:t>
      </w:r>
      <w:r w:rsidRPr="00EF008E">
        <w:rPr>
          <w:rFonts w:ascii="Arial" w:hAnsi="Arial" w:cs="Arial"/>
          <w:i/>
          <w:color w:val="000000"/>
          <w:sz w:val="22"/>
          <w:szCs w:val="22"/>
          <w:lang w:val="sr-Cyrl-RS"/>
        </w:rPr>
        <w:t>129.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99</w:t>
      </w:r>
      <w:r w:rsidRPr="00EF008E">
        <w:rPr>
          <w:rFonts w:ascii="Arial" w:hAnsi="Arial" w:cs="Arial"/>
          <w:i/>
          <w:color w:val="000000"/>
          <w:sz w:val="22"/>
          <w:szCs w:val="22"/>
          <w:lang w:val="sr-Cyrl-RS"/>
        </w:rPr>
        <w:tab/>
        <w:t>Доступно на: http://www.unhcr.rs/media/Opsta%20deklaracija%20o%20ljudskim%20pravima%20(1948).pdf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100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СФРЈ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7/71.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101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СФРЈ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4/01.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102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СФРЈ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4/01.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103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Mеђународни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7/71.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104 Report of the third United Nations Conference to Review Progress Made in the Implementation of the Programme of Action to Prevent, Combat and Eradicate the Illicit Trade in Small Arms and Light Weapons in All Its Aspects, УН, 2018. Доступно на http://www.mzprs.org,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105 United Nations Office For Disarmament Affairs Gender Mainstreaming Action Plan, https://www.un.org/disarmament/wp-content/uploads/2016/06/update-gender-action-plan-2016.pdf,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106 Декларација и Платформа за акцију усвојене су 15. IX 1995. године на Четвртој светској конференцији о женама. Доступно на: http://www.e-jednakost.org.rs/kurs/kurs/download/pekinska_deklaracija.pdf,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107 Доступно на: https://www.womenngo.org.rs/vesti/vesti-arhiva-2006-2011/24-vesti-arhiva-tekstovi/133-peking-15-i-paralelne-aktivnosti-ngo-foruma,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108 Доступно на: https://www.rodnaravnopravnost.gov.rs/en/node/533,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109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СЦГ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9/03, 5/05. и 7/05.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и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 12/10 и 10/15.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110</w:t>
      </w:r>
      <w:r w:rsidRPr="00EF008E">
        <w:rPr>
          <w:rFonts w:ascii="Arial" w:hAnsi="Arial" w:cs="Arial"/>
          <w:i/>
          <w:color w:val="000000"/>
          <w:sz w:val="22"/>
          <w:szCs w:val="22"/>
          <w:lang w:val="sr-Cyrl-RS"/>
        </w:rPr>
        <w:tab/>
        <w:t>Доступно на https://eur-lex.europa.eu/legal-content/HR/TXT/?uri=CELEX%3A12016P%2FTXT,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111 Усвојена у марту 2019. године, Доступно на: https://ljudskaprava.gov.rs/sr/node/156,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112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113 Усвојена на Четвртој европској конференцији министара о једнакости жена и мушкараца (1997). Исто. стр. 11</w:t>
      </w:r>
      <w:r>
        <w:rPr>
          <w:rFonts w:ascii="Arial" w:hAnsi="Arial" w:cs="Arial"/>
          <w:i/>
          <w:color w:val="000000"/>
          <w:sz w:val="22"/>
          <w:szCs w:val="22"/>
          <w:lang w:val="sr-Cyrl-RS"/>
        </w:rPr>
        <w:t>-</w:t>
      </w:r>
      <w:r w:rsidRPr="00EF008E">
        <w:rPr>
          <w:rFonts w:ascii="Arial" w:hAnsi="Arial" w:cs="Arial"/>
          <w:i/>
          <w:color w:val="000000"/>
          <w:sz w:val="22"/>
          <w:szCs w:val="22"/>
          <w:lang w:val="sr-Cyrl-RS"/>
        </w:rPr>
        <w:t>28.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114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115 Уговор о оснивању Европске заједнице (измењен и допуњен Амстердамским уговором)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чл. 2, 3, 13, 136, 137, 141 и 251. Извор: Родна равноправност у међународним документима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ЕУ, Канцеларија за равноправност полова Владе Црне Горе, 2005. стр. 7</w:t>
      </w:r>
      <w:r>
        <w:rPr>
          <w:rFonts w:ascii="Arial" w:hAnsi="Arial" w:cs="Arial"/>
          <w:i/>
          <w:color w:val="000000"/>
          <w:sz w:val="22"/>
          <w:szCs w:val="22"/>
          <w:lang w:val="sr-Cyrl-RS"/>
        </w:rPr>
        <w:t>-</w:t>
      </w:r>
      <w:r w:rsidRPr="00EF008E">
        <w:rPr>
          <w:rFonts w:ascii="Arial" w:hAnsi="Arial" w:cs="Arial"/>
          <w:i/>
          <w:color w:val="000000"/>
          <w:sz w:val="22"/>
          <w:szCs w:val="22"/>
          <w:lang w:val="sr-Cyrl-RS"/>
        </w:rPr>
        <w:t>14.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116 http://assembly.coe.int/Main.asp?link=/Documents/AdoptedText/ta04/ERES1366.htm,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117 Исто, стр. 147</w:t>
      </w:r>
      <w:r>
        <w:rPr>
          <w:rFonts w:ascii="Arial" w:hAnsi="Arial" w:cs="Arial"/>
          <w:i/>
          <w:color w:val="000000"/>
          <w:sz w:val="22"/>
          <w:szCs w:val="22"/>
          <w:lang w:val="sr-Cyrl-RS"/>
        </w:rPr>
        <w:t>-</w:t>
      </w:r>
      <w:r w:rsidRPr="00EF008E">
        <w:rPr>
          <w:rFonts w:ascii="Arial" w:hAnsi="Arial" w:cs="Arial"/>
          <w:i/>
          <w:color w:val="000000"/>
          <w:sz w:val="22"/>
          <w:szCs w:val="22"/>
          <w:lang w:val="sr-Cyrl-RS"/>
        </w:rPr>
        <w:t>151.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118 Усвојена 2006. http://www.frauensicherheitsrat.de/data/EP-WIIP-FINAL.pdf,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119 Усвојена 15. 12. 1997. Исто, стр. 92</w:t>
      </w:r>
      <w:r>
        <w:rPr>
          <w:rFonts w:ascii="Arial" w:hAnsi="Arial" w:cs="Arial"/>
          <w:i/>
          <w:color w:val="000000"/>
          <w:sz w:val="22"/>
          <w:szCs w:val="22"/>
          <w:lang w:val="sr-Cyrl-RS"/>
        </w:rPr>
        <w:t>-</w:t>
      </w:r>
      <w:r w:rsidRPr="00EF008E">
        <w:rPr>
          <w:rFonts w:ascii="Arial" w:hAnsi="Arial" w:cs="Arial"/>
          <w:i/>
          <w:color w:val="000000"/>
          <w:sz w:val="22"/>
          <w:szCs w:val="22"/>
          <w:lang w:val="sr-Cyrl-RS"/>
        </w:rPr>
        <w:t>98.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120</w:t>
      </w:r>
      <w:r w:rsidRPr="00EF008E">
        <w:rPr>
          <w:rFonts w:ascii="Arial" w:hAnsi="Arial" w:cs="Arial"/>
          <w:i/>
          <w:color w:val="000000"/>
          <w:sz w:val="22"/>
          <w:szCs w:val="22"/>
          <w:lang w:val="sr-Cyrl-RS"/>
        </w:rPr>
        <w:tab/>
        <w:t>Доступно на: https://eur-lex.europa.eu/legal-content/HR/TXT/?uri=celex%3A32011L0036,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121</w:t>
      </w:r>
      <w:r w:rsidRPr="00EF008E">
        <w:rPr>
          <w:rFonts w:ascii="Arial" w:hAnsi="Arial" w:cs="Arial"/>
          <w:i/>
          <w:color w:val="000000"/>
          <w:sz w:val="22"/>
          <w:szCs w:val="22"/>
          <w:lang w:val="sr-Cyrl-RS"/>
        </w:rPr>
        <w:tab/>
        <w:t>Доступно на: https://www.podrskazrtvama.rs/en/media/medjunarodni/DIREKTIVA-2012-29-EU.pdf,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122</w:t>
      </w:r>
      <w:r w:rsidRPr="00EF008E">
        <w:rPr>
          <w:rFonts w:ascii="Arial" w:hAnsi="Arial" w:cs="Arial"/>
          <w:i/>
          <w:color w:val="000000"/>
          <w:sz w:val="22"/>
          <w:szCs w:val="22"/>
          <w:lang w:val="sr-Cyrl-RS"/>
        </w:rPr>
        <w:tab/>
        <w:t>Доступно на: https://ec.europa.eu/international-partnerships/system/files/swd_2020_284_en_final.pdf,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123 Р (90) 4 усвојена 21. 2. 1990. Исто, стр. 51</w:t>
      </w:r>
      <w:r>
        <w:rPr>
          <w:rFonts w:ascii="Arial" w:hAnsi="Arial" w:cs="Arial"/>
          <w:i/>
          <w:color w:val="000000"/>
          <w:sz w:val="22"/>
          <w:szCs w:val="22"/>
          <w:lang w:val="sr-Cyrl-RS"/>
        </w:rPr>
        <w:t>-</w:t>
      </w:r>
      <w:r w:rsidRPr="00EF008E">
        <w:rPr>
          <w:rFonts w:ascii="Arial" w:hAnsi="Arial" w:cs="Arial"/>
          <w:i/>
          <w:color w:val="000000"/>
          <w:sz w:val="22"/>
          <w:szCs w:val="22"/>
          <w:lang w:val="sr-Cyrl-RS"/>
        </w:rPr>
        <w:t>53.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124 Р (1229) 1994 доступно на: http://assembly.coe.int/Main.asp?link=/Documents/AdoptedText/ta94/EREC1229.htm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125 Р (2003) 3. Исто стр. 96</w:t>
      </w:r>
      <w:r>
        <w:rPr>
          <w:rFonts w:ascii="Arial" w:hAnsi="Arial" w:cs="Arial"/>
          <w:i/>
          <w:color w:val="000000"/>
          <w:sz w:val="22"/>
          <w:szCs w:val="22"/>
          <w:lang w:val="sr-Cyrl-RS"/>
        </w:rPr>
        <w:t>-</w:t>
      </w:r>
      <w:r w:rsidRPr="00EF008E">
        <w:rPr>
          <w:rFonts w:ascii="Arial" w:hAnsi="Arial" w:cs="Arial"/>
          <w:i/>
          <w:color w:val="000000"/>
          <w:sz w:val="22"/>
          <w:szCs w:val="22"/>
          <w:lang w:val="sr-Cyrl-RS"/>
        </w:rPr>
        <w:t>104.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126 Р (2002) 1555 Доступно на: http://assembly.coe.int/main.asp?Link=/documents/workingdocs/doc03/edoc9801.htm,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127 Р (2010) 1899 Доступно на: http://assembly.coe.int/Mainf.asp?link=/Documents/AdoptedText/ta10/EREC1899.htm,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128 Р (68)1999 Доступно на: https://wcd.coe.int/com.instranet.InstraServlet?Index=no&amp;command=com.instranet.CmdBlobGet&amp;InstranetImage=1457647&amp;SecMode=1&amp;DocId=833426&amp;Usage=2,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129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Mеђународни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7/71.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130 Доступно на: https://rm.coe.int/rapport-srb-en/16809cfbe6,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131 Закон о потврђивању ревидиране Европске социјалне повеље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42/09.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132 Закон о потврђивању Конвенције о заштити људских права и достојанства људског бића у погледу примене биологије и медицине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12/10.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133 Закон о потврђивању конвенције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134 Усвојена 29.6.2000. Исто, стр. 141</w:t>
      </w:r>
      <w:r>
        <w:rPr>
          <w:rFonts w:ascii="Arial" w:hAnsi="Arial" w:cs="Arial"/>
          <w:i/>
          <w:color w:val="000000"/>
          <w:sz w:val="22"/>
          <w:szCs w:val="22"/>
          <w:lang w:val="sr-Cyrl-RS"/>
        </w:rPr>
        <w:t>-</w:t>
      </w:r>
      <w:r w:rsidRPr="00EF008E">
        <w:rPr>
          <w:rFonts w:ascii="Arial" w:hAnsi="Arial" w:cs="Arial"/>
          <w:i/>
          <w:color w:val="000000"/>
          <w:sz w:val="22"/>
          <w:szCs w:val="22"/>
          <w:lang w:val="sr-Cyrl-RS"/>
        </w:rPr>
        <w:t>147.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135 Усвојена 19.12.1978. Исто, стр. 48</w:t>
      </w:r>
      <w:r>
        <w:rPr>
          <w:rFonts w:ascii="Arial" w:hAnsi="Arial" w:cs="Arial"/>
          <w:i/>
          <w:color w:val="000000"/>
          <w:sz w:val="22"/>
          <w:szCs w:val="22"/>
          <w:lang w:val="sr-Cyrl-RS"/>
        </w:rPr>
        <w:t>-</w:t>
      </w:r>
      <w:r w:rsidRPr="00EF008E">
        <w:rPr>
          <w:rFonts w:ascii="Arial" w:hAnsi="Arial" w:cs="Arial"/>
          <w:i/>
          <w:color w:val="000000"/>
          <w:sz w:val="22"/>
          <w:szCs w:val="22"/>
          <w:lang w:val="sr-Cyrl-RS"/>
        </w:rPr>
        <w:t>53.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136 Усвојена 11.7.1986. Исто, стр. 52</w:t>
      </w:r>
      <w:r>
        <w:rPr>
          <w:rFonts w:ascii="Arial" w:hAnsi="Arial" w:cs="Arial"/>
          <w:i/>
          <w:color w:val="000000"/>
          <w:sz w:val="22"/>
          <w:szCs w:val="22"/>
          <w:lang w:val="sr-Cyrl-RS"/>
        </w:rPr>
        <w:t>-</w:t>
      </w:r>
      <w:r w:rsidRPr="00EF008E">
        <w:rPr>
          <w:rFonts w:ascii="Arial" w:hAnsi="Arial" w:cs="Arial"/>
          <w:i/>
          <w:color w:val="000000"/>
          <w:sz w:val="22"/>
          <w:szCs w:val="22"/>
          <w:lang w:val="sr-Cyrl-RS"/>
        </w:rPr>
        <w:t>57.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137 Усвојена 5.7.2006. Доступно на: http://www.ured-ravnopravnost.hr/slike/File/Dokumenti/Dir_2006_54_EZ_EP_i_vijeca.pdf,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138 Усвојена 19.10.1992. Исто, стр. 57</w:t>
      </w:r>
      <w:r>
        <w:rPr>
          <w:rFonts w:ascii="Arial" w:hAnsi="Arial" w:cs="Arial"/>
          <w:i/>
          <w:color w:val="000000"/>
          <w:sz w:val="22"/>
          <w:szCs w:val="22"/>
          <w:lang w:val="sr-Cyrl-RS"/>
        </w:rPr>
        <w:t>-</w:t>
      </w:r>
      <w:r w:rsidRPr="00EF008E">
        <w:rPr>
          <w:rFonts w:ascii="Arial" w:hAnsi="Arial" w:cs="Arial"/>
          <w:i/>
          <w:color w:val="000000"/>
          <w:sz w:val="22"/>
          <w:szCs w:val="22"/>
          <w:lang w:val="sr-Cyrl-RS"/>
        </w:rPr>
        <w:t>70.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139 Усвојена 3.6.1996. Исто, стр. 70</w:t>
      </w:r>
      <w:r>
        <w:rPr>
          <w:rFonts w:ascii="Arial" w:hAnsi="Arial" w:cs="Arial"/>
          <w:i/>
          <w:color w:val="000000"/>
          <w:sz w:val="22"/>
          <w:szCs w:val="22"/>
          <w:lang w:val="sr-Cyrl-RS"/>
        </w:rPr>
        <w:t>-</w:t>
      </w:r>
      <w:r w:rsidRPr="00EF008E">
        <w:rPr>
          <w:rFonts w:ascii="Arial" w:hAnsi="Arial" w:cs="Arial"/>
          <w:i/>
          <w:color w:val="000000"/>
          <w:sz w:val="22"/>
          <w:szCs w:val="22"/>
          <w:lang w:val="sr-Cyrl-RS"/>
        </w:rPr>
        <w:t>80.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140 Усвојена 8.3.2010. Доступно на: http://eur-lex.europa.eu/LexUriServ/LexUriServ.do?uri=OJ:L:2010:068:0013:0020:EN:PDF,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 Међународни документи доступни и на: http://www.stop_vaw.org/Council_of_Europe4-html</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 Доступно на https://www.rodnaravnopravnost.rs/attachments/013_Milenijumska%20deklaracija%20UN.pdf</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85</w:t>
      </w:r>
      <w:r w:rsidRPr="00EF008E">
        <w:rPr>
          <w:rFonts w:ascii="Arial" w:hAnsi="Arial" w:cs="Arial"/>
          <w:i/>
          <w:color w:val="000000"/>
          <w:sz w:val="22"/>
          <w:szCs w:val="22"/>
          <w:lang w:val="sr-Cyrl-RS"/>
        </w:rPr>
        <w:tab/>
        <w:t>Доступно на https://www.rs.undp.org/content/serbia/sr/home/sustainable-development-goals/goal-5-gender-equality.html</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 The International Conference on Population and Development (ICPD) Programme of Action, Kairo 1994 доступно на https://www.unfpa.org/sites/default/files/pub-pdf/programme_of_action_Web%20ENGLISH.pdf, приступ: 24.12.2019.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 Декларација и Платформа за акцију усвојене су 15. IX 1995. године на Четвртој светској конференцији о женама. Доступно на: http://www.e-jednakost.org.rs/kurs/kurs/download/pekinska_deklaracija.pdf</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88</w:t>
      </w:r>
      <w:r w:rsidRPr="00EF008E">
        <w:rPr>
          <w:rFonts w:ascii="Arial" w:hAnsi="Arial" w:cs="Arial"/>
          <w:i/>
          <w:color w:val="000000"/>
          <w:sz w:val="22"/>
          <w:szCs w:val="22"/>
          <w:lang w:val="sr-Cyrl-RS"/>
        </w:rPr>
        <w:tab/>
        <w:t>Доступно на: https://www.womenngo.org.rs/vesti/vesti-arhiva-2006-2011/24-vesti-arhiva-tekstovi/133-peking-15-i-paralelne-aktivnosti-ngo-foruma, приступ: 24.12.2019.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 Доступно на: https://www.rodnaravnopravnost.gov.rs/en/node/533, приступ: 24.12.2019.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90Convention against Discrimination in Education,adopted by the General Conference of UNESCO at its eleventh session (Paris, 14. XII 1960.). Доступно на: http://portal.unesco.org/en/ev.php- URL_ID=12949&amp;URL_DO=DO_TOPIC&amp;URL_SECTION=201.html, приступ: 24.12.2019.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91 World Declaration on Higher Education for the Twenty-first Century, Vision and Action. UNESCO, Paris, 1998. стр. 9</w:t>
      </w:r>
      <w:r>
        <w:rPr>
          <w:rFonts w:ascii="Arial" w:hAnsi="Arial" w:cs="Arial"/>
          <w:i/>
          <w:color w:val="000000"/>
          <w:sz w:val="22"/>
          <w:szCs w:val="22"/>
          <w:lang w:val="sr-Cyrl-RS"/>
        </w:rPr>
        <w:t>-</w:t>
      </w:r>
      <w:r w:rsidRPr="00EF008E">
        <w:rPr>
          <w:rFonts w:ascii="Arial" w:hAnsi="Arial" w:cs="Arial"/>
          <w:i/>
          <w:color w:val="000000"/>
          <w:sz w:val="22"/>
          <w:szCs w:val="22"/>
          <w:lang w:val="sr-Cyrl-RS"/>
        </w:rPr>
        <w:t>12. Доступно на: http://www.unesco.org/education/educprog/wche/declaration_eng.htm или http://www.unesco.org, приступ: 24. 12.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92 Конференција је одржана од 5. до 8.7.2009. године у Паризу. Доступно на: Финални извештај УНЕСКА о активностима и мерама у области високог образовања https://ukznextendedlearning.com/wp-content/uploads/2018/08/unesco-2009.pdf, приступ: 24.12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93 Усвојена 20.5.1999. Исто, стр. 138</w:t>
      </w:r>
      <w:r>
        <w:rPr>
          <w:rFonts w:ascii="Arial" w:hAnsi="Arial" w:cs="Arial"/>
          <w:i/>
          <w:color w:val="000000"/>
          <w:sz w:val="22"/>
          <w:szCs w:val="22"/>
          <w:lang w:val="sr-Cyrl-RS"/>
        </w:rPr>
        <w:t>-</w:t>
      </w:r>
      <w:r w:rsidRPr="00EF008E">
        <w:rPr>
          <w:rFonts w:ascii="Arial" w:hAnsi="Arial" w:cs="Arial"/>
          <w:i/>
          <w:color w:val="000000"/>
          <w:sz w:val="22"/>
          <w:szCs w:val="22"/>
          <w:lang w:val="sr-Cyrl-RS"/>
        </w:rPr>
        <w:t>141.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94 Право на образовање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политике и стратегије Yves Daudet i Kishore Singh, UNESCO, Paris https://www.right-to-education.org/sites/right-to-education.org/files/resource.attachments/UNESCO_RTE_Analysis_of_UNESCO%27s_Standard_Setting_Instruments_2001_En.pdf приступ 24.11.2019.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95 Стратешки документ усвојен 1.11.2019. године од стране сталне радна група Европског комитета за област истраживања и иновација, а у поводу 20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те годишњице од усвајања првог документа Европске комисије о женама у науци. https://ec.europa.eu/research/swafs/index.cfm?pg=policy&amp;lib=gender приступ 25.11.2019.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96 Усвојена 10.2.1975. године Позната као Директива о једнаким могућностима. Извор: Пајванчић, М. Петрушић, Н. и др. Коментар закона о родној равноправности, ФЕС, 2010. стр. 40</w:t>
      </w:r>
      <w:r>
        <w:rPr>
          <w:rFonts w:ascii="Arial" w:hAnsi="Arial" w:cs="Arial"/>
          <w:i/>
          <w:color w:val="000000"/>
          <w:sz w:val="22"/>
          <w:szCs w:val="22"/>
          <w:lang w:val="sr-Cyrl-RS"/>
        </w:rPr>
        <w:t>-</w:t>
      </w:r>
      <w:r w:rsidRPr="00EF008E">
        <w:rPr>
          <w:rFonts w:ascii="Arial" w:hAnsi="Arial" w:cs="Arial"/>
          <w:i/>
          <w:color w:val="000000"/>
          <w:sz w:val="22"/>
          <w:szCs w:val="22"/>
          <w:lang w:val="sr-Cyrl-RS"/>
        </w:rPr>
        <w:t>43.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97 Усвојена 9.2.1976. Допуњује Директиву о једнаким могућностима. И ова Директива је допуњена и измењена Директивом 2002/73/ЕЗ ЕП и СЕ и примењује се на европском простору. Исто. стр. 43</w:t>
      </w:r>
      <w:r>
        <w:rPr>
          <w:rFonts w:ascii="Arial" w:hAnsi="Arial" w:cs="Arial"/>
          <w:i/>
          <w:color w:val="000000"/>
          <w:sz w:val="22"/>
          <w:szCs w:val="22"/>
          <w:lang w:val="sr-Cyrl-RS"/>
        </w:rPr>
        <w:t>-</w:t>
      </w:r>
      <w:r w:rsidRPr="00EF008E">
        <w:rPr>
          <w:rFonts w:ascii="Arial" w:hAnsi="Arial" w:cs="Arial"/>
          <w:i/>
          <w:color w:val="000000"/>
          <w:sz w:val="22"/>
          <w:szCs w:val="22"/>
          <w:lang w:val="sr-Cyrl-RS"/>
        </w:rPr>
        <w:t>48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98 Усвојена 27.11 1991. Исто, стр. 114</w:t>
      </w:r>
      <w:r>
        <w:rPr>
          <w:rFonts w:ascii="Arial" w:hAnsi="Arial" w:cs="Arial"/>
          <w:i/>
          <w:color w:val="000000"/>
          <w:sz w:val="22"/>
          <w:szCs w:val="22"/>
          <w:lang w:val="sr-Cyrl-RS"/>
        </w:rPr>
        <w:t>-</w:t>
      </w:r>
      <w:r w:rsidRPr="00EF008E">
        <w:rPr>
          <w:rFonts w:ascii="Arial" w:hAnsi="Arial" w:cs="Arial"/>
          <w:i/>
          <w:color w:val="000000"/>
          <w:sz w:val="22"/>
          <w:szCs w:val="22"/>
          <w:lang w:val="sr-Cyrl-RS"/>
        </w:rPr>
        <w:t>129.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99</w:t>
      </w:r>
      <w:r w:rsidRPr="00EF008E">
        <w:rPr>
          <w:rFonts w:ascii="Arial" w:hAnsi="Arial" w:cs="Arial"/>
          <w:i/>
          <w:color w:val="000000"/>
          <w:sz w:val="22"/>
          <w:szCs w:val="22"/>
          <w:lang w:val="sr-Cyrl-RS"/>
        </w:rPr>
        <w:tab/>
        <w:t>Доступно на: http://www.unhcr.rs/media/Opsta%20deklaracija%20o%20ljudskim%20pravima%20(1948).pdf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100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СФРЈ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7/71.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101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СФРЈ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4/01.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102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СФРЈ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4/01.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103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Mеђународни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7/71.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104 Report of the third United Nations Conference to Review Progress Made in the Implementation of the Programme of Action to Prevent, Combat and Eradicate the Illicit Trade in Small Arms and Light Weapons in All Its Aspects, УН, 2018. Доступно на http://www.mzprs.org,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105 United Nations Office For Disarmament Affairs Gender Mainstreaming Action Plan, https://www.un.org/disarmament/wp-content/uploads/2016/06/update-gender-action-plan-2016.pdf,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106 Декларација и Платформа за акцију усвојене су 15. IX 1995. године на Четвртој светској конференцији о женама. Доступно на: http://www.e-jednakost.org.rs/kurs/kurs/download/pekinska_deklaracija.pdf,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107 Доступно на: https://www.womenngo.org.rs/vesti/vesti-arhiva-2006-2011/24-vesti-arhiva-tekstovi/133-peking-15-i-paralelne-aktivnosti-ngo-foruma,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108 Доступно на: https://www.rodnaravnopravnost.gov.rs/en/node/533,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109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СЦГ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9/03, 5/05. и 7/05.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и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 12/10 и 10/15.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110</w:t>
      </w:r>
      <w:r w:rsidRPr="00EF008E">
        <w:rPr>
          <w:rFonts w:ascii="Arial" w:hAnsi="Arial" w:cs="Arial"/>
          <w:i/>
          <w:color w:val="000000"/>
          <w:sz w:val="22"/>
          <w:szCs w:val="22"/>
          <w:lang w:val="sr-Cyrl-RS"/>
        </w:rPr>
        <w:tab/>
        <w:t>Доступно на https://eur-lex.europa.eu/legal-content/HR/TXT/?uri=CELEX%3A12016P%2FTXT,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111 Усвојена у марту 2019. године, Доступно на: https://ljudskaprava.gov.rs/sr/node/156,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112</w:t>
      </w:r>
      <w:r w:rsidRPr="00EF008E">
        <w:rPr>
          <w:rFonts w:ascii="Arial" w:hAnsi="Arial" w:cs="Arial"/>
          <w:i/>
          <w:color w:val="000000"/>
          <w:sz w:val="22"/>
          <w:szCs w:val="22"/>
          <w:lang w:val="sr-Cyrl-RS"/>
        </w:rPr>
        <w:tab/>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113 Усвојена на Четвртој европској конференцији министара о једнакости жена и мушкараца (1997). Исто. стр. 11</w:t>
      </w:r>
      <w:r>
        <w:rPr>
          <w:rFonts w:ascii="Arial" w:hAnsi="Arial" w:cs="Arial"/>
          <w:i/>
          <w:color w:val="000000"/>
          <w:sz w:val="22"/>
          <w:szCs w:val="22"/>
          <w:lang w:val="sr-Cyrl-RS"/>
        </w:rPr>
        <w:t>-</w:t>
      </w:r>
      <w:r w:rsidRPr="00EF008E">
        <w:rPr>
          <w:rFonts w:ascii="Arial" w:hAnsi="Arial" w:cs="Arial"/>
          <w:i/>
          <w:color w:val="000000"/>
          <w:sz w:val="22"/>
          <w:szCs w:val="22"/>
          <w:lang w:val="sr-Cyrl-RS"/>
        </w:rPr>
        <w:t>28.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114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115 Уговор о оснивању Европске заједнице (измењен и допуњен Амстердамским уговором)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чл. 2, 3, 13, 136, 137, 141 и 251. Извор: Родна равноправност у међународним документима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ЕУ, Канцеларија за равноправност полова Владе Црне Горе, 2005. стр. 7</w:t>
      </w:r>
      <w:r>
        <w:rPr>
          <w:rFonts w:ascii="Arial" w:hAnsi="Arial" w:cs="Arial"/>
          <w:i/>
          <w:color w:val="000000"/>
          <w:sz w:val="22"/>
          <w:szCs w:val="22"/>
          <w:lang w:val="sr-Cyrl-RS"/>
        </w:rPr>
        <w:t>-</w:t>
      </w:r>
      <w:r w:rsidRPr="00EF008E">
        <w:rPr>
          <w:rFonts w:ascii="Arial" w:hAnsi="Arial" w:cs="Arial"/>
          <w:i/>
          <w:color w:val="000000"/>
          <w:sz w:val="22"/>
          <w:szCs w:val="22"/>
          <w:lang w:val="sr-Cyrl-RS"/>
        </w:rPr>
        <w:t>14.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116 http://assembly.coe.int/Main.asp?link=/Documents/AdoptedText/ta04/ERES1366.htm,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117 Исто, стр. 147</w:t>
      </w:r>
      <w:r>
        <w:rPr>
          <w:rFonts w:ascii="Arial" w:hAnsi="Arial" w:cs="Arial"/>
          <w:i/>
          <w:color w:val="000000"/>
          <w:sz w:val="22"/>
          <w:szCs w:val="22"/>
          <w:lang w:val="sr-Cyrl-RS"/>
        </w:rPr>
        <w:t>-</w:t>
      </w:r>
      <w:r w:rsidRPr="00EF008E">
        <w:rPr>
          <w:rFonts w:ascii="Arial" w:hAnsi="Arial" w:cs="Arial"/>
          <w:i/>
          <w:color w:val="000000"/>
          <w:sz w:val="22"/>
          <w:szCs w:val="22"/>
          <w:lang w:val="sr-Cyrl-RS"/>
        </w:rPr>
        <w:t>151.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118 Усвојена 2006. http://www.frauensicherheitsrat.de/data/EP-WIIP-FINAL.pdf,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119 Усвојена 15. 12. 1997. Исто, стр. 92</w:t>
      </w:r>
      <w:r>
        <w:rPr>
          <w:rFonts w:ascii="Arial" w:hAnsi="Arial" w:cs="Arial"/>
          <w:i/>
          <w:color w:val="000000"/>
          <w:sz w:val="22"/>
          <w:szCs w:val="22"/>
          <w:lang w:val="sr-Cyrl-RS"/>
        </w:rPr>
        <w:t>-</w:t>
      </w:r>
      <w:r w:rsidRPr="00EF008E">
        <w:rPr>
          <w:rFonts w:ascii="Arial" w:hAnsi="Arial" w:cs="Arial"/>
          <w:i/>
          <w:color w:val="000000"/>
          <w:sz w:val="22"/>
          <w:szCs w:val="22"/>
          <w:lang w:val="sr-Cyrl-RS"/>
        </w:rPr>
        <w:t>98.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120</w:t>
      </w:r>
      <w:r w:rsidRPr="00EF008E">
        <w:rPr>
          <w:rFonts w:ascii="Arial" w:hAnsi="Arial" w:cs="Arial"/>
          <w:i/>
          <w:color w:val="000000"/>
          <w:sz w:val="22"/>
          <w:szCs w:val="22"/>
          <w:lang w:val="sr-Cyrl-RS"/>
        </w:rPr>
        <w:tab/>
        <w:t>Доступно на: https://eur-lex.europa.eu/legal-content/HR/TXT/?uri=celex%3A32011L0036,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121</w:t>
      </w:r>
      <w:r w:rsidRPr="00EF008E">
        <w:rPr>
          <w:rFonts w:ascii="Arial" w:hAnsi="Arial" w:cs="Arial"/>
          <w:i/>
          <w:color w:val="000000"/>
          <w:sz w:val="22"/>
          <w:szCs w:val="22"/>
          <w:lang w:val="sr-Cyrl-RS"/>
        </w:rPr>
        <w:tab/>
        <w:t>Доступно на: https://www.podrskazrtvama.rs/en/media/medjunarodni/DIREKTIVA-2012-29-EU.pdf,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122</w:t>
      </w:r>
      <w:r w:rsidRPr="00EF008E">
        <w:rPr>
          <w:rFonts w:ascii="Arial" w:hAnsi="Arial" w:cs="Arial"/>
          <w:i/>
          <w:color w:val="000000"/>
          <w:sz w:val="22"/>
          <w:szCs w:val="22"/>
          <w:lang w:val="sr-Cyrl-RS"/>
        </w:rPr>
        <w:tab/>
        <w:t>Доступно на: https://ec.europa.eu/international-partnerships/system/files/swd_2020_284_en_final.pdf,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123 Р (90) 4 усвојена 21. 2. 1990. Исто, стр. 51</w:t>
      </w:r>
      <w:r>
        <w:rPr>
          <w:rFonts w:ascii="Arial" w:hAnsi="Arial" w:cs="Arial"/>
          <w:i/>
          <w:color w:val="000000"/>
          <w:sz w:val="22"/>
          <w:szCs w:val="22"/>
          <w:lang w:val="sr-Cyrl-RS"/>
        </w:rPr>
        <w:t>-</w:t>
      </w:r>
      <w:r w:rsidRPr="00EF008E">
        <w:rPr>
          <w:rFonts w:ascii="Arial" w:hAnsi="Arial" w:cs="Arial"/>
          <w:i/>
          <w:color w:val="000000"/>
          <w:sz w:val="22"/>
          <w:szCs w:val="22"/>
          <w:lang w:val="sr-Cyrl-RS"/>
        </w:rPr>
        <w:t>53.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124 Р (1229) 1994 доступно на: http://assembly.coe.int/Main.asp?link=/Documents/AdoptedText/ta94/EREC1229.htm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125 Р (2003) 3. Исто стр. 96</w:t>
      </w:r>
      <w:r>
        <w:rPr>
          <w:rFonts w:ascii="Arial" w:hAnsi="Arial" w:cs="Arial"/>
          <w:i/>
          <w:color w:val="000000"/>
          <w:sz w:val="22"/>
          <w:szCs w:val="22"/>
          <w:lang w:val="sr-Cyrl-RS"/>
        </w:rPr>
        <w:t>-</w:t>
      </w:r>
      <w:r w:rsidRPr="00EF008E">
        <w:rPr>
          <w:rFonts w:ascii="Arial" w:hAnsi="Arial" w:cs="Arial"/>
          <w:i/>
          <w:color w:val="000000"/>
          <w:sz w:val="22"/>
          <w:szCs w:val="22"/>
          <w:lang w:val="sr-Cyrl-RS"/>
        </w:rPr>
        <w:t>104.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126 Р (2002) 1555 Доступно на: http://assembly.coe.int/main.asp?Link=/documents/workingdocs/doc03/edoc9801.htm,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127 Р (2010) 1899 Доступно на: http://assembly.coe.int/Mainf.asp?link=/Documents/AdoptedText/ta10/EREC1899.htm,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128 Р (68)1999 Доступно на: https://wcd.coe.int/com.instranet.InstraServlet?Index=no&amp;command=com.instranet.CmdBlobGet&amp;InstranetImage=1457647&amp;SecMode=1&amp;DocId=833426&amp;Usage=2,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129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Mеђународни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7/71.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130 Доступно на: https://rm.coe.int/rapport-srb-en/16809cfbe6,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131 Закон о потврђивању ревидиране Европске социјалне повеље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42/09.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132 Закон о потврђивању Конвенције о заштити људских права и достојанства људског бића у погледу примене биологије и медицине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12/10.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133 Закон о потврђивању конвенције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134 Усвојена 29.6.2000. Исто, стр. 141</w:t>
      </w:r>
      <w:r>
        <w:rPr>
          <w:rFonts w:ascii="Arial" w:hAnsi="Arial" w:cs="Arial"/>
          <w:i/>
          <w:color w:val="000000"/>
          <w:sz w:val="22"/>
          <w:szCs w:val="22"/>
          <w:lang w:val="sr-Cyrl-RS"/>
        </w:rPr>
        <w:t>-</w:t>
      </w:r>
      <w:r w:rsidRPr="00EF008E">
        <w:rPr>
          <w:rFonts w:ascii="Arial" w:hAnsi="Arial" w:cs="Arial"/>
          <w:i/>
          <w:color w:val="000000"/>
          <w:sz w:val="22"/>
          <w:szCs w:val="22"/>
          <w:lang w:val="sr-Cyrl-RS"/>
        </w:rPr>
        <w:t>147.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135 Усвојена 19.12.1978. Исто, стр. 48</w:t>
      </w:r>
      <w:r>
        <w:rPr>
          <w:rFonts w:ascii="Arial" w:hAnsi="Arial" w:cs="Arial"/>
          <w:i/>
          <w:color w:val="000000"/>
          <w:sz w:val="22"/>
          <w:szCs w:val="22"/>
          <w:lang w:val="sr-Cyrl-RS"/>
        </w:rPr>
        <w:t>-</w:t>
      </w:r>
      <w:r w:rsidRPr="00EF008E">
        <w:rPr>
          <w:rFonts w:ascii="Arial" w:hAnsi="Arial" w:cs="Arial"/>
          <w:i/>
          <w:color w:val="000000"/>
          <w:sz w:val="22"/>
          <w:szCs w:val="22"/>
          <w:lang w:val="sr-Cyrl-RS"/>
        </w:rPr>
        <w:t>53.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136 Усвојена 11.7.1986. Исто, стр. 52</w:t>
      </w:r>
      <w:r>
        <w:rPr>
          <w:rFonts w:ascii="Arial" w:hAnsi="Arial" w:cs="Arial"/>
          <w:i/>
          <w:color w:val="000000"/>
          <w:sz w:val="22"/>
          <w:szCs w:val="22"/>
          <w:lang w:val="sr-Cyrl-RS"/>
        </w:rPr>
        <w:t>-</w:t>
      </w:r>
      <w:r w:rsidRPr="00EF008E">
        <w:rPr>
          <w:rFonts w:ascii="Arial" w:hAnsi="Arial" w:cs="Arial"/>
          <w:i/>
          <w:color w:val="000000"/>
          <w:sz w:val="22"/>
          <w:szCs w:val="22"/>
          <w:lang w:val="sr-Cyrl-RS"/>
        </w:rPr>
        <w:t>57.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137 Усвојена 5.7.2006. Доступно на: http://www.ured-ravnopravnost.hr/slike/File/Dokumenti/Dir_2006_54_EZ_EP_i_vijeca.pdf,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138 Усвојена 19.10.1992. Исто, стр. 57</w:t>
      </w:r>
      <w:r>
        <w:rPr>
          <w:rFonts w:ascii="Arial" w:hAnsi="Arial" w:cs="Arial"/>
          <w:i/>
          <w:color w:val="000000"/>
          <w:sz w:val="22"/>
          <w:szCs w:val="22"/>
          <w:lang w:val="sr-Cyrl-RS"/>
        </w:rPr>
        <w:t>-</w:t>
      </w:r>
      <w:r w:rsidRPr="00EF008E">
        <w:rPr>
          <w:rFonts w:ascii="Arial" w:hAnsi="Arial" w:cs="Arial"/>
          <w:i/>
          <w:color w:val="000000"/>
          <w:sz w:val="22"/>
          <w:szCs w:val="22"/>
          <w:lang w:val="sr-Cyrl-RS"/>
        </w:rPr>
        <w:t>70.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139 Усвојена 3.6.1996. Исто, стр. 70</w:t>
      </w:r>
      <w:r>
        <w:rPr>
          <w:rFonts w:ascii="Arial" w:hAnsi="Arial" w:cs="Arial"/>
          <w:i/>
          <w:color w:val="000000"/>
          <w:sz w:val="22"/>
          <w:szCs w:val="22"/>
          <w:lang w:val="sr-Cyrl-RS"/>
        </w:rPr>
        <w:t>-</w:t>
      </w:r>
      <w:r w:rsidRPr="00EF008E">
        <w:rPr>
          <w:rFonts w:ascii="Arial" w:hAnsi="Arial" w:cs="Arial"/>
          <w:i/>
          <w:color w:val="000000"/>
          <w:sz w:val="22"/>
          <w:szCs w:val="22"/>
          <w:lang w:val="sr-Cyrl-RS"/>
        </w:rPr>
        <w:t>80.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140 Усвојена 8.3.2010. Доступно на: http://eur-lex.europa.eu/LexUriServ/LexUriServ.do?uri=OJ:L:2010:068:0013:0020:EN:PDF,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141 Р (96)5 усвојена 19. 6. 1996. Исто, стр. 60</w:t>
      </w:r>
      <w:r>
        <w:rPr>
          <w:rFonts w:ascii="Arial" w:hAnsi="Arial" w:cs="Arial"/>
          <w:i/>
          <w:color w:val="000000"/>
          <w:sz w:val="22"/>
          <w:szCs w:val="22"/>
          <w:lang w:val="sr-Cyrl-RS"/>
        </w:rPr>
        <w:t>-</w:t>
      </w:r>
      <w:r w:rsidRPr="00EF008E">
        <w:rPr>
          <w:rFonts w:ascii="Arial" w:hAnsi="Arial" w:cs="Arial"/>
          <w:i/>
          <w:color w:val="000000"/>
          <w:sz w:val="22"/>
          <w:szCs w:val="22"/>
          <w:lang w:val="sr-Cyrl-RS"/>
        </w:rPr>
        <w:t>68.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142 Р (2008)1 доступно на: https://wcd.coe.int/ViewDoc.jsp?id=1241743,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143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гласник РС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70/07.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144 Усвојен у Утрехту 16. 11. 2009. доступно на: https://rm.coe.int/the-congress-booklet-european-charter-of-local-self-government-serbian/168098bc1b, приступ: 16. 5.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145 Европска повеља оо родној равноправности на локалном нивоу, СКГО, 2009.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146</w:t>
      </w:r>
      <w:r w:rsidRPr="00EF008E">
        <w:rPr>
          <w:rFonts w:ascii="Arial" w:hAnsi="Arial" w:cs="Arial"/>
          <w:i/>
          <w:color w:val="000000"/>
          <w:sz w:val="22"/>
          <w:szCs w:val="22"/>
          <w:lang w:val="sr-Cyrl-RS"/>
        </w:rPr>
        <w:tab/>
        <w:t>Р 176 (2004) доступно на: 2004. https://wcd.coe.int/ViewDoc.jsp?id=816579&amp;Site=COE,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147 Р (1998)14 Исто, стр. 68</w:t>
      </w:r>
      <w:r>
        <w:rPr>
          <w:rFonts w:ascii="Arial" w:hAnsi="Arial" w:cs="Arial"/>
          <w:i/>
          <w:color w:val="000000"/>
          <w:sz w:val="22"/>
          <w:szCs w:val="22"/>
          <w:lang w:val="sr-Cyrl-RS"/>
        </w:rPr>
        <w:t>-</w:t>
      </w:r>
      <w:r w:rsidRPr="00EF008E">
        <w:rPr>
          <w:rFonts w:ascii="Arial" w:hAnsi="Arial" w:cs="Arial"/>
          <w:i/>
          <w:color w:val="000000"/>
          <w:sz w:val="22"/>
          <w:szCs w:val="22"/>
          <w:lang w:val="sr-Cyrl-RS"/>
        </w:rPr>
        <w:t>69.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148 Р (2007)1 доступно на: https://wcd.coe.int/ViewDoc.jsp?id=1215219&amp;Site=CM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149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СФРЈ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Mеђународни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6/67.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150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Mеђународни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број 15/90 и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Mеђународни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 4/96 и 2/97.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151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гласник СРЈ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6/98.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152 Доступно на: https://chris-network.org/wp-content/uploads/2012/07/haske_preporuke_o_pravu_nacionalnih_manjina_na_obrazovanje_19961.pdf приступ 15.7.2021.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153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6/98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154</w:t>
      </w:r>
      <w:r w:rsidRPr="00EF008E">
        <w:rPr>
          <w:rFonts w:ascii="Arial" w:hAnsi="Arial" w:cs="Arial"/>
          <w:i/>
          <w:color w:val="000000"/>
          <w:sz w:val="22"/>
          <w:szCs w:val="22"/>
          <w:lang w:val="sr-Cyrl-RS"/>
        </w:rPr>
        <w:tab/>
        <w:t>Доступно на: https://chris-network.org/wp-content/uploads/2012/07/preporuke_iz_Lunda_o_delotvornom_ucescu_nacionalnih_manjina_u_javnom_zivotu_i_sa_objasnjenjima.pdf приступ 15.7.2021.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155 Закон о ратификацији европске повеље о регионалним или мањинским језицима,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гласник СЦГ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18/05.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156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лист СФРЈ</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7/60.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157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лист СФРЈ</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15/67.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158 Доступно на: http://www.ravnopravnost.gov.rs</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159 Доступно на:https://www.google.com/search?q=Memorandum+i+objašnjenja+uz+Preporuka+CM%2FRec(2010)5 приступ 3.9.2021.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160 Доступно на: https://www.rodnaravnopravnost.rs приступ 3.9.2021.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161 Доступно на: http://yogukartanciples.org/wp-content/uploads/2017/11/A5 yuogakartaWEB-2.pdf приступљено 3.9.2021.</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1.3. Национално законодавство</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Национално законодавство обухвата Устав, законе и прописе за примену закона који регулишу области обухваћене Стратегијом.</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1.3.1. Устав</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Устав</w:t>
      </w:r>
      <w:r w:rsidRPr="00EF008E">
        <w:rPr>
          <w:rFonts w:ascii="Arial" w:hAnsi="Arial" w:cs="Arial"/>
          <w:color w:val="000000"/>
          <w:sz w:val="22"/>
          <w:szCs w:val="22"/>
          <w:vertAlign w:val="superscript"/>
          <w:lang w:val="sr-Cyrl-RS"/>
        </w:rPr>
        <w:t>162</w:t>
      </w:r>
      <w:r w:rsidRPr="00EF008E">
        <w:rPr>
          <w:rFonts w:ascii="Arial" w:hAnsi="Arial" w:cs="Arial"/>
          <w:color w:val="000000"/>
          <w:sz w:val="22"/>
          <w:szCs w:val="22"/>
          <w:lang w:val="sr-Cyrl-RS"/>
        </w:rPr>
        <w:t>,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(члан 67. став 1) од стране адвокатуре (члан 67. став 2) и службе правне помоћи у ЈЛС (члан 67. став 2),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(члан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социјалну заштиту породице и запослених (члан 69), равноправну заступљеност полова у Народној скупштини (члан 100).</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1.3.2. Закони и подзаконски прописи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Закони и подзаконски прописи који регулишу области значајне за родну равноправност могу се груписати у две групе.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првој групи су закони који се непосредно односе на родну равноправност, прописи који регулишу планирање и закони који регулишу надлежности институција везане за родну равноправност на различитим нивоима власти. То су: Закон о забрани дискриминације</w:t>
      </w:r>
      <w:r w:rsidRPr="00EF008E">
        <w:rPr>
          <w:rFonts w:ascii="Arial" w:hAnsi="Arial" w:cs="Arial"/>
          <w:color w:val="000000"/>
          <w:sz w:val="22"/>
          <w:szCs w:val="22"/>
          <w:vertAlign w:val="superscript"/>
          <w:lang w:val="sr-Cyrl-RS"/>
        </w:rPr>
        <w:t>163</w:t>
      </w:r>
      <w:r w:rsidRPr="00EF008E">
        <w:rPr>
          <w:rFonts w:ascii="Arial" w:hAnsi="Arial" w:cs="Arial"/>
          <w:color w:val="000000"/>
          <w:sz w:val="22"/>
          <w:szCs w:val="22"/>
          <w:lang w:val="sr-Cyrl-RS"/>
        </w:rPr>
        <w:t>; Закон о родној равноправности</w:t>
      </w:r>
      <w:r w:rsidRPr="00EF008E">
        <w:rPr>
          <w:rFonts w:ascii="Arial" w:hAnsi="Arial" w:cs="Arial"/>
          <w:color w:val="000000"/>
          <w:sz w:val="22"/>
          <w:szCs w:val="22"/>
          <w:vertAlign w:val="superscript"/>
          <w:lang w:val="sr-Cyrl-RS"/>
        </w:rPr>
        <w:t>164</w:t>
      </w:r>
      <w:r w:rsidRPr="00EF008E">
        <w:rPr>
          <w:rFonts w:ascii="Arial" w:hAnsi="Arial" w:cs="Arial"/>
          <w:color w:val="000000"/>
          <w:sz w:val="22"/>
          <w:szCs w:val="22"/>
          <w:lang w:val="sr-Cyrl-RS"/>
        </w:rPr>
        <w:t>; Закон о ратификацији Конвенције о елиминисању свих облика дискриминације жена</w:t>
      </w:r>
      <w:r w:rsidRPr="00EF008E">
        <w:rPr>
          <w:rFonts w:ascii="Arial" w:hAnsi="Arial" w:cs="Arial"/>
          <w:color w:val="000000"/>
          <w:sz w:val="22"/>
          <w:szCs w:val="22"/>
          <w:vertAlign w:val="superscript"/>
          <w:lang w:val="sr-Cyrl-RS"/>
        </w:rPr>
        <w:t>165</w:t>
      </w:r>
      <w:r w:rsidRPr="00EF008E">
        <w:rPr>
          <w:rFonts w:ascii="Arial" w:hAnsi="Arial" w:cs="Arial"/>
          <w:color w:val="000000"/>
          <w:sz w:val="22"/>
          <w:szCs w:val="22"/>
          <w:lang w:val="sr-Cyrl-RS"/>
        </w:rPr>
        <w:t>; Закон о потврђивању Конвенције СЕ о спречавању и борби против насиља над женама и насиља у породици</w:t>
      </w:r>
      <w:r w:rsidRPr="00EF008E">
        <w:rPr>
          <w:rFonts w:ascii="Arial" w:hAnsi="Arial" w:cs="Arial"/>
          <w:color w:val="000000"/>
          <w:sz w:val="22"/>
          <w:szCs w:val="22"/>
          <w:vertAlign w:val="superscript"/>
          <w:lang w:val="sr-Cyrl-RS"/>
        </w:rPr>
        <w:t>166</w:t>
      </w:r>
      <w:r w:rsidRPr="00EF008E">
        <w:rPr>
          <w:rFonts w:ascii="Arial" w:hAnsi="Arial" w:cs="Arial"/>
          <w:color w:val="000000"/>
          <w:sz w:val="22"/>
          <w:szCs w:val="22"/>
          <w:lang w:val="sr-Cyrl-RS"/>
        </w:rPr>
        <w:t>; Закон о спречавању насиља у породици</w:t>
      </w:r>
      <w:r w:rsidRPr="00EF008E">
        <w:rPr>
          <w:rFonts w:ascii="Arial" w:hAnsi="Arial" w:cs="Arial"/>
          <w:color w:val="000000"/>
          <w:sz w:val="22"/>
          <w:szCs w:val="22"/>
          <w:vertAlign w:val="superscript"/>
          <w:lang w:val="sr-Cyrl-RS"/>
        </w:rPr>
        <w:t>167</w:t>
      </w:r>
      <w:r w:rsidRPr="00EF008E">
        <w:rPr>
          <w:rFonts w:ascii="Arial" w:hAnsi="Arial" w:cs="Arial"/>
          <w:color w:val="000000"/>
          <w:sz w:val="22"/>
          <w:szCs w:val="22"/>
          <w:lang w:val="sr-Cyrl-RS"/>
        </w:rPr>
        <w:t>; Закон о спречавању дискриминације особа са инвалидитетом</w:t>
      </w:r>
      <w:r w:rsidRPr="00EF008E">
        <w:rPr>
          <w:rFonts w:ascii="Arial" w:hAnsi="Arial" w:cs="Arial"/>
          <w:color w:val="000000"/>
          <w:sz w:val="22"/>
          <w:szCs w:val="22"/>
          <w:vertAlign w:val="superscript"/>
          <w:lang w:val="sr-Cyrl-RS"/>
        </w:rPr>
        <w:t>168</w:t>
      </w:r>
      <w:r w:rsidRPr="00EF008E">
        <w:rPr>
          <w:rFonts w:ascii="Arial" w:hAnsi="Arial" w:cs="Arial"/>
          <w:color w:val="000000"/>
          <w:sz w:val="22"/>
          <w:szCs w:val="22"/>
          <w:lang w:val="sr-Cyrl-RS"/>
        </w:rPr>
        <w:t>; Закон о планском систему Републике Србије</w:t>
      </w:r>
      <w:r w:rsidRPr="00EF008E">
        <w:rPr>
          <w:rFonts w:ascii="Arial" w:hAnsi="Arial" w:cs="Arial"/>
          <w:color w:val="000000"/>
          <w:sz w:val="22"/>
          <w:szCs w:val="22"/>
          <w:vertAlign w:val="superscript"/>
          <w:lang w:val="sr-Cyrl-RS"/>
        </w:rPr>
        <w:t>169</w:t>
      </w:r>
      <w:r w:rsidRPr="00EF008E">
        <w:rPr>
          <w:rFonts w:ascii="Arial" w:hAnsi="Arial" w:cs="Arial"/>
          <w:color w:val="000000"/>
          <w:sz w:val="22"/>
          <w:szCs w:val="22"/>
          <w:lang w:val="sr-Cyrl-RS"/>
        </w:rPr>
        <w:t>; Уредба о методологији управљања јавним политикама, анализи ефеката јавних политика и прописа и садржају појединачних докумената јавних политика</w:t>
      </w:r>
      <w:r w:rsidRPr="00EF008E">
        <w:rPr>
          <w:rFonts w:ascii="Arial" w:hAnsi="Arial" w:cs="Arial"/>
          <w:color w:val="000000"/>
          <w:sz w:val="22"/>
          <w:szCs w:val="22"/>
          <w:vertAlign w:val="superscript"/>
          <w:lang w:val="sr-Cyrl-RS"/>
        </w:rPr>
        <w:t>170</w:t>
      </w:r>
      <w:r w:rsidRPr="00EF008E">
        <w:rPr>
          <w:rFonts w:ascii="Arial" w:hAnsi="Arial" w:cs="Arial"/>
          <w:color w:val="000000"/>
          <w:sz w:val="22"/>
          <w:szCs w:val="22"/>
          <w:lang w:val="sr-Cyrl-RS"/>
        </w:rPr>
        <w:t>; Уредба о методологији за израду средњорочних планова</w:t>
      </w:r>
      <w:r w:rsidRPr="00EF008E">
        <w:rPr>
          <w:rFonts w:ascii="Arial" w:hAnsi="Arial" w:cs="Arial"/>
          <w:color w:val="000000"/>
          <w:sz w:val="22"/>
          <w:szCs w:val="22"/>
          <w:vertAlign w:val="superscript"/>
          <w:lang w:val="sr-Cyrl-RS"/>
        </w:rPr>
        <w:t>171</w:t>
      </w:r>
      <w:r w:rsidRPr="00EF008E">
        <w:rPr>
          <w:rFonts w:ascii="Arial" w:hAnsi="Arial" w:cs="Arial"/>
          <w:color w:val="000000"/>
          <w:sz w:val="22"/>
          <w:szCs w:val="22"/>
          <w:lang w:val="sr-Cyrl-RS"/>
        </w:rPr>
        <w:t>; Закон о Влади</w:t>
      </w:r>
      <w:r w:rsidRPr="00EF008E">
        <w:rPr>
          <w:rFonts w:ascii="Arial" w:hAnsi="Arial" w:cs="Arial"/>
          <w:color w:val="000000"/>
          <w:sz w:val="22"/>
          <w:szCs w:val="22"/>
          <w:vertAlign w:val="superscript"/>
          <w:lang w:val="sr-Cyrl-RS"/>
        </w:rPr>
        <w:t>172</w:t>
      </w:r>
      <w:r w:rsidRPr="00EF008E">
        <w:rPr>
          <w:rFonts w:ascii="Arial" w:hAnsi="Arial" w:cs="Arial"/>
          <w:color w:val="000000"/>
          <w:sz w:val="22"/>
          <w:szCs w:val="22"/>
          <w:lang w:val="sr-Cyrl-RS"/>
        </w:rPr>
        <w:t>; Закон о министарствима</w:t>
      </w:r>
      <w:r w:rsidRPr="00EF008E">
        <w:rPr>
          <w:rFonts w:ascii="Arial" w:hAnsi="Arial" w:cs="Arial"/>
          <w:color w:val="000000"/>
          <w:sz w:val="22"/>
          <w:szCs w:val="22"/>
          <w:vertAlign w:val="superscript"/>
          <w:lang w:val="sr-Cyrl-RS"/>
        </w:rPr>
        <w:t>173</w:t>
      </w:r>
      <w:r w:rsidRPr="00EF008E">
        <w:rPr>
          <w:rFonts w:ascii="Arial" w:hAnsi="Arial" w:cs="Arial"/>
          <w:color w:val="000000"/>
          <w:sz w:val="22"/>
          <w:szCs w:val="22"/>
          <w:lang w:val="sr-Cyrl-RS"/>
        </w:rPr>
        <w:t>; Закон о утврђивању надлежности АПВ</w:t>
      </w:r>
      <w:r w:rsidRPr="00EF008E">
        <w:rPr>
          <w:rFonts w:ascii="Arial" w:hAnsi="Arial" w:cs="Arial"/>
          <w:color w:val="000000"/>
          <w:sz w:val="22"/>
          <w:szCs w:val="22"/>
          <w:vertAlign w:val="superscript"/>
          <w:lang w:val="sr-Cyrl-RS"/>
        </w:rPr>
        <w:t>174</w:t>
      </w:r>
      <w:r w:rsidRPr="00EF008E">
        <w:rPr>
          <w:rFonts w:ascii="Arial" w:hAnsi="Arial" w:cs="Arial"/>
          <w:color w:val="000000"/>
          <w:sz w:val="22"/>
          <w:szCs w:val="22"/>
          <w:lang w:val="sr-Cyrl-RS"/>
        </w:rPr>
        <w:t xml:space="preserve"> и Закон о локалној самоуправи.</w:t>
      </w:r>
      <w:r w:rsidRPr="00EF008E">
        <w:rPr>
          <w:rFonts w:ascii="Arial" w:hAnsi="Arial" w:cs="Arial"/>
          <w:color w:val="000000"/>
          <w:sz w:val="22"/>
          <w:szCs w:val="22"/>
          <w:vertAlign w:val="superscript"/>
          <w:lang w:val="sr-Cyrl-RS"/>
        </w:rPr>
        <w:t>175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Другу групу чине закони и прописи који регулишу области друштвеног живота релевантне за родну равноправност. Критеријуми за селекцију ових закона су Агенда 2030</w:t>
      </w:r>
      <w:r w:rsidRPr="00EF008E">
        <w:rPr>
          <w:rFonts w:ascii="Arial" w:hAnsi="Arial" w:cs="Arial"/>
          <w:color w:val="000000"/>
          <w:sz w:val="22"/>
          <w:szCs w:val="22"/>
          <w:vertAlign w:val="superscript"/>
          <w:lang w:val="sr-Cyrl-RS"/>
        </w:rPr>
        <w:t>176</w:t>
      </w:r>
      <w:r w:rsidRPr="00EF008E">
        <w:rPr>
          <w:rFonts w:ascii="Arial" w:hAnsi="Arial" w:cs="Arial"/>
          <w:color w:val="000000"/>
          <w:sz w:val="22"/>
          <w:szCs w:val="22"/>
          <w:lang w:val="sr-Cyrl-RS"/>
        </w:rPr>
        <w:t xml:space="preserve"> посебно циљ 5.</w:t>
      </w:r>
      <w:r w:rsidRPr="00EF008E">
        <w:rPr>
          <w:rFonts w:ascii="Arial" w:hAnsi="Arial" w:cs="Arial"/>
          <w:color w:val="000000"/>
          <w:sz w:val="22"/>
          <w:szCs w:val="22"/>
          <w:vertAlign w:val="superscript"/>
          <w:lang w:val="sr-Cyrl-RS"/>
        </w:rPr>
        <w:t>177</w:t>
      </w:r>
      <w:r w:rsidRPr="00EF008E">
        <w:rPr>
          <w:rFonts w:ascii="Arial" w:hAnsi="Arial" w:cs="Arial"/>
          <w:color w:val="000000"/>
          <w:sz w:val="22"/>
          <w:szCs w:val="22"/>
          <w:lang w:val="sr-Cyrl-RS"/>
        </w:rPr>
        <w:t>, који се односи на родну равноправност и оснаживање жена и девојчица, али и други циљеви и потциљеви, као и области које CEDAW конвенција идентификује као области значајне за остваривање родне равноправности. Преглед закона наведен је по областима које су обухваћене овом стратегијом. У овој групи су: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Закони и прописи који се односе на економију, образовање и науку као факторе који подстичу развој. То су: Закон о заштити животне средине</w:t>
      </w:r>
      <w:r w:rsidRPr="00EF008E">
        <w:rPr>
          <w:rFonts w:ascii="Arial" w:hAnsi="Arial" w:cs="Arial"/>
          <w:color w:val="000000"/>
          <w:sz w:val="22"/>
          <w:szCs w:val="22"/>
          <w:vertAlign w:val="superscript"/>
          <w:lang w:val="sr-Cyrl-RS"/>
        </w:rPr>
        <w:t>178</w:t>
      </w:r>
      <w:r w:rsidRPr="00EF008E">
        <w:rPr>
          <w:rFonts w:ascii="Arial" w:hAnsi="Arial" w:cs="Arial"/>
          <w:color w:val="000000"/>
          <w:sz w:val="22"/>
          <w:szCs w:val="22"/>
          <w:lang w:val="sr-Cyrl-RS"/>
        </w:rPr>
        <w:t>; Закон о заштити природе</w:t>
      </w:r>
      <w:r w:rsidRPr="00EF008E">
        <w:rPr>
          <w:rFonts w:ascii="Arial" w:hAnsi="Arial" w:cs="Arial"/>
          <w:color w:val="000000"/>
          <w:sz w:val="22"/>
          <w:szCs w:val="22"/>
          <w:vertAlign w:val="superscript"/>
          <w:lang w:val="sr-Cyrl-RS"/>
        </w:rPr>
        <w:t>179</w:t>
      </w:r>
      <w:r w:rsidRPr="00EF008E">
        <w:rPr>
          <w:rFonts w:ascii="Arial" w:hAnsi="Arial" w:cs="Arial"/>
          <w:color w:val="000000"/>
          <w:sz w:val="22"/>
          <w:szCs w:val="22"/>
          <w:lang w:val="sr-Cyrl-RS"/>
        </w:rPr>
        <w:t>; Закон о водама</w:t>
      </w:r>
      <w:r w:rsidRPr="00EF008E">
        <w:rPr>
          <w:rFonts w:ascii="Arial" w:hAnsi="Arial" w:cs="Arial"/>
          <w:color w:val="000000"/>
          <w:sz w:val="22"/>
          <w:szCs w:val="22"/>
          <w:vertAlign w:val="superscript"/>
          <w:lang w:val="sr-Cyrl-RS"/>
        </w:rPr>
        <w:t>180</w:t>
      </w:r>
      <w:r w:rsidRPr="00EF008E">
        <w:rPr>
          <w:rFonts w:ascii="Arial" w:hAnsi="Arial" w:cs="Arial"/>
          <w:color w:val="000000"/>
          <w:sz w:val="22"/>
          <w:szCs w:val="22"/>
          <w:lang w:val="sr-Cyrl-RS"/>
        </w:rPr>
        <w:t>; Закон о пољопривредном земљишту</w:t>
      </w:r>
      <w:r w:rsidRPr="00EF008E">
        <w:rPr>
          <w:rFonts w:ascii="Arial" w:hAnsi="Arial" w:cs="Arial"/>
          <w:color w:val="000000"/>
          <w:sz w:val="22"/>
          <w:szCs w:val="22"/>
          <w:vertAlign w:val="superscript"/>
          <w:lang w:val="sr-Cyrl-RS"/>
        </w:rPr>
        <w:t>181</w:t>
      </w:r>
      <w:r w:rsidRPr="00EF008E">
        <w:rPr>
          <w:rFonts w:ascii="Arial" w:hAnsi="Arial" w:cs="Arial"/>
          <w:color w:val="000000"/>
          <w:sz w:val="22"/>
          <w:szCs w:val="22"/>
          <w:lang w:val="sr-Cyrl-RS"/>
        </w:rPr>
        <w:t>; Закон о шумама</w:t>
      </w:r>
      <w:r w:rsidRPr="00EF008E">
        <w:rPr>
          <w:rFonts w:ascii="Arial" w:hAnsi="Arial" w:cs="Arial"/>
          <w:color w:val="000000"/>
          <w:sz w:val="22"/>
          <w:szCs w:val="22"/>
          <w:vertAlign w:val="superscript"/>
          <w:lang w:val="sr-Cyrl-RS"/>
        </w:rPr>
        <w:t>182</w:t>
      </w:r>
      <w:r w:rsidRPr="00EF008E">
        <w:rPr>
          <w:rFonts w:ascii="Arial" w:hAnsi="Arial" w:cs="Arial"/>
          <w:color w:val="000000"/>
          <w:sz w:val="22"/>
          <w:szCs w:val="22"/>
          <w:lang w:val="sr-Cyrl-RS"/>
        </w:rPr>
        <w:t>; Закон о рударству и геолошким истраживањима</w:t>
      </w:r>
      <w:r w:rsidRPr="00EF008E">
        <w:rPr>
          <w:rFonts w:ascii="Arial" w:hAnsi="Arial" w:cs="Arial"/>
          <w:color w:val="000000"/>
          <w:sz w:val="22"/>
          <w:szCs w:val="22"/>
          <w:vertAlign w:val="superscript"/>
          <w:lang w:val="sr-Cyrl-RS"/>
        </w:rPr>
        <w:t>183</w:t>
      </w:r>
      <w:r w:rsidRPr="00EF008E">
        <w:rPr>
          <w:rFonts w:ascii="Arial" w:hAnsi="Arial" w:cs="Arial"/>
          <w:color w:val="000000"/>
          <w:sz w:val="22"/>
          <w:szCs w:val="22"/>
          <w:lang w:val="sr-Cyrl-RS"/>
        </w:rPr>
        <w:t>; Закон о заштити ваздуха</w:t>
      </w:r>
      <w:r w:rsidRPr="00EF008E">
        <w:rPr>
          <w:rFonts w:ascii="Arial" w:hAnsi="Arial" w:cs="Arial"/>
          <w:color w:val="000000"/>
          <w:sz w:val="22"/>
          <w:szCs w:val="22"/>
          <w:vertAlign w:val="superscript"/>
          <w:lang w:val="sr-Cyrl-RS"/>
        </w:rPr>
        <w:t>184</w:t>
      </w:r>
      <w:r w:rsidRPr="00EF008E">
        <w:rPr>
          <w:rFonts w:ascii="Arial" w:hAnsi="Arial" w:cs="Arial"/>
          <w:color w:val="000000"/>
          <w:sz w:val="22"/>
          <w:szCs w:val="22"/>
          <w:lang w:val="sr-Cyrl-RS"/>
        </w:rPr>
        <w:t>; Закон о управљању отпадом</w:t>
      </w:r>
      <w:r w:rsidRPr="00EF008E">
        <w:rPr>
          <w:rFonts w:ascii="Arial" w:hAnsi="Arial" w:cs="Arial"/>
          <w:color w:val="000000"/>
          <w:sz w:val="22"/>
          <w:szCs w:val="22"/>
          <w:vertAlign w:val="superscript"/>
          <w:lang w:val="sr-Cyrl-RS"/>
        </w:rPr>
        <w:t>185</w:t>
      </w:r>
      <w:r w:rsidRPr="00EF008E">
        <w:rPr>
          <w:rFonts w:ascii="Arial" w:hAnsi="Arial" w:cs="Arial"/>
          <w:color w:val="000000"/>
          <w:sz w:val="22"/>
          <w:szCs w:val="22"/>
          <w:lang w:val="sr-Cyrl-RS"/>
        </w:rPr>
        <w:t>; Закон о климатским променама</w:t>
      </w:r>
      <w:r w:rsidRPr="00EF008E">
        <w:rPr>
          <w:rFonts w:ascii="Arial" w:hAnsi="Arial" w:cs="Arial"/>
          <w:color w:val="000000"/>
          <w:sz w:val="22"/>
          <w:szCs w:val="22"/>
          <w:vertAlign w:val="superscript"/>
          <w:lang w:val="sr-Cyrl-RS"/>
        </w:rPr>
        <w:t>186</w:t>
      </w:r>
      <w:r w:rsidRPr="00EF008E">
        <w:rPr>
          <w:rFonts w:ascii="Arial" w:hAnsi="Arial" w:cs="Arial"/>
          <w:color w:val="000000"/>
          <w:sz w:val="22"/>
          <w:szCs w:val="22"/>
          <w:lang w:val="sr-Cyrl-RS"/>
        </w:rPr>
        <w:t>; Закон о интегрисаном спречавању и контроли и загађивању животне средине</w:t>
      </w:r>
      <w:r w:rsidRPr="00EF008E">
        <w:rPr>
          <w:rFonts w:ascii="Arial" w:hAnsi="Arial" w:cs="Arial"/>
          <w:color w:val="000000"/>
          <w:sz w:val="22"/>
          <w:szCs w:val="22"/>
          <w:vertAlign w:val="superscript"/>
          <w:lang w:val="sr-Cyrl-RS"/>
        </w:rPr>
        <w:t>187</w:t>
      </w:r>
      <w:r w:rsidRPr="00EF008E">
        <w:rPr>
          <w:rFonts w:ascii="Arial" w:hAnsi="Arial" w:cs="Arial"/>
          <w:color w:val="000000"/>
          <w:sz w:val="22"/>
          <w:szCs w:val="22"/>
          <w:lang w:val="sr-Cyrl-RS"/>
        </w:rPr>
        <w:t>; Закон о енергетској ефикасности и рационалној употреби енергије</w:t>
      </w:r>
      <w:r w:rsidRPr="00EF008E">
        <w:rPr>
          <w:rFonts w:ascii="Arial" w:hAnsi="Arial" w:cs="Arial"/>
          <w:color w:val="000000"/>
          <w:sz w:val="22"/>
          <w:szCs w:val="22"/>
          <w:vertAlign w:val="superscript"/>
          <w:lang w:val="sr-Cyrl-RS"/>
        </w:rPr>
        <w:t>188</w:t>
      </w:r>
      <w:r w:rsidRPr="00EF008E">
        <w:rPr>
          <w:rFonts w:ascii="Arial" w:hAnsi="Arial" w:cs="Arial"/>
          <w:color w:val="000000"/>
          <w:sz w:val="22"/>
          <w:szCs w:val="22"/>
          <w:lang w:val="sr-Cyrl-RS"/>
        </w:rPr>
        <w:t>; Закон о процени утицаја на животну средину</w:t>
      </w:r>
      <w:r w:rsidRPr="00EF008E">
        <w:rPr>
          <w:rFonts w:ascii="Arial" w:hAnsi="Arial" w:cs="Arial"/>
          <w:color w:val="000000"/>
          <w:sz w:val="22"/>
          <w:szCs w:val="22"/>
          <w:vertAlign w:val="superscript"/>
          <w:lang w:val="sr-Cyrl-RS"/>
        </w:rPr>
        <w:t>189</w:t>
      </w:r>
      <w:r w:rsidRPr="00EF008E">
        <w:rPr>
          <w:rFonts w:ascii="Arial" w:hAnsi="Arial" w:cs="Arial"/>
          <w:color w:val="000000"/>
          <w:sz w:val="22"/>
          <w:szCs w:val="22"/>
          <w:lang w:val="sr-Cyrl-RS"/>
        </w:rPr>
        <w:t>; Закон о стратешкој процени утицаја на животну средину</w:t>
      </w:r>
      <w:r w:rsidRPr="00EF008E">
        <w:rPr>
          <w:rFonts w:ascii="Arial" w:hAnsi="Arial" w:cs="Arial"/>
          <w:color w:val="000000"/>
          <w:sz w:val="22"/>
          <w:szCs w:val="22"/>
          <w:vertAlign w:val="superscript"/>
          <w:lang w:val="sr-Cyrl-RS"/>
        </w:rPr>
        <w:t>190</w:t>
      </w:r>
      <w:r w:rsidRPr="00EF008E">
        <w:rPr>
          <w:rFonts w:ascii="Arial" w:hAnsi="Arial" w:cs="Arial"/>
          <w:color w:val="000000"/>
          <w:sz w:val="22"/>
          <w:szCs w:val="22"/>
          <w:lang w:val="sr-Cyrl-RS"/>
        </w:rPr>
        <w:t>; Закон о хемикалијама</w:t>
      </w:r>
      <w:r w:rsidRPr="00EF008E">
        <w:rPr>
          <w:rFonts w:ascii="Arial" w:hAnsi="Arial" w:cs="Arial"/>
          <w:color w:val="000000"/>
          <w:sz w:val="22"/>
          <w:szCs w:val="22"/>
          <w:vertAlign w:val="superscript"/>
          <w:lang w:val="sr-Cyrl-RS"/>
        </w:rPr>
        <w:t>191</w:t>
      </w:r>
      <w:r w:rsidRPr="00EF008E">
        <w:rPr>
          <w:rFonts w:ascii="Arial" w:hAnsi="Arial" w:cs="Arial"/>
          <w:color w:val="000000"/>
          <w:sz w:val="22"/>
          <w:szCs w:val="22"/>
          <w:lang w:val="sr-Cyrl-RS"/>
        </w:rPr>
        <w:t>; Закон о биоцидним производима</w:t>
      </w:r>
      <w:r w:rsidRPr="00EF008E">
        <w:rPr>
          <w:rFonts w:ascii="Arial" w:hAnsi="Arial" w:cs="Arial"/>
          <w:color w:val="000000"/>
          <w:sz w:val="22"/>
          <w:szCs w:val="22"/>
          <w:vertAlign w:val="superscript"/>
          <w:lang w:val="sr-Cyrl-RS"/>
        </w:rPr>
        <w:t>192</w:t>
      </w:r>
      <w:r w:rsidRPr="00EF008E">
        <w:rPr>
          <w:rFonts w:ascii="Arial" w:hAnsi="Arial" w:cs="Arial"/>
          <w:color w:val="000000"/>
          <w:sz w:val="22"/>
          <w:szCs w:val="22"/>
          <w:lang w:val="sr-Cyrl-RS"/>
        </w:rPr>
        <w:t>; Закон о планирању и изградњи</w:t>
      </w:r>
      <w:r w:rsidRPr="00EF008E">
        <w:rPr>
          <w:rFonts w:ascii="Arial" w:hAnsi="Arial" w:cs="Arial"/>
          <w:color w:val="000000"/>
          <w:sz w:val="22"/>
          <w:szCs w:val="22"/>
          <w:vertAlign w:val="superscript"/>
          <w:lang w:val="sr-Cyrl-RS"/>
        </w:rPr>
        <w:t>193</w:t>
      </w:r>
      <w:r w:rsidRPr="00EF008E">
        <w:rPr>
          <w:rFonts w:ascii="Arial" w:hAnsi="Arial" w:cs="Arial"/>
          <w:color w:val="000000"/>
          <w:sz w:val="22"/>
          <w:szCs w:val="22"/>
          <w:lang w:val="sr-Cyrl-RS"/>
        </w:rPr>
        <w:t>; Закон о пољопривреди и руралном развоју</w:t>
      </w:r>
      <w:r w:rsidRPr="00EF008E">
        <w:rPr>
          <w:rFonts w:ascii="Arial" w:hAnsi="Arial" w:cs="Arial"/>
          <w:color w:val="000000"/>
          <w:sz w:val="22"/>
          <w:szCs w:val="22"/>
          <w:vertAlign w:val="superscript"/>
          <w:lang w:val="sr-Cyrl-RS"/>
        </w:rPr>
        <w:t>194</w:t>
      </w:r>
      <w:r w:rsidRPr="00EF008E">
        <w:rPr>
          <w:rFonts w:ascii="Arial" w:hAnsi="Arial" w:cs="Arial"/>
          <w:color w:val="000000"/>
          <w:sz w:val="22"/>
          <w:szCs w:val="22"/>
          <w:lang w:val="sr-Cyrl-RS"/>
        </w:rPr>
        <w:t>; Закон о подстицајима пољопривреди и руралном развоју</w:t>
      </w:r>
      <w:r w:rsidRPr="00EF008E">
        <w:rPr>
          <w:rFonts w:ascii="Arial" w:hAnsi="Arial" w:cs="Arial"/>
          <w:color w:val="000000"/>
          <w:sz w:val="22"/>
          <w:szCs w:val="22"/>
          <w:vertAlign w:val="superscript"/>
          <w:lang w:val="sr-Cyrl-RS"/>
        </w:rPr>
        <w:t>195</w:t>
      </w:r>
      <w:r w:rsidRPr="00EF008E">
        <w:rPr>
          <w:rFonts w:ascii="Arial" w:hAnsi="Arial" w:cs="Arial"/>
          <w:color w:val="000000"/>
          <w:sz w:val="22"/>
          <w:szCs w:val="22"/>
          <w:lang w:val="sr-Cyrl-RS"/>
        </w:rPr>
        <w:t>; Закон о патентима</w:t>
      </w:r>
      <w:r w:rsidRPr="00EF008E">
        <w:rPr>
          <w:rFonts w:ascii="Arial" w:hAnsi="Arial" w:cs="Arial"/>
          <w:color w:val="000000"/>
          <w:sz w:val="22"/>
          <w:szCs w:val="22"/>
          <w:vertAlign w:val="superscript"/>
          <w:lang w:val="sr-Cyrl-RS"/>
        </w:rPr>
        <w:t>196</w:t>
      </w:r>
      <w:r w:rsidRPr="00EF008E">
        <w:rPr>
          <w:rFonts w:ascii="Arial" w:hAnsi="Arial" w:cs="Arial"/>
          <w:color w:val="000000"/>
          <w:sz w:val="22"/>
          <w:szCs w:val="22"/>
          <w:lang w:val="sr-Cyrl-RS"/>
        </w:rPr>
        <w:t>; Закон о раду</w:t>
      </w:r>
      <w:r w:rsidRPr="00EF008E">
        <w:rPr>
          <w:rFonts w:ascii="Arial" w:hAnsi="Arial" w:cs="Arial"/>
          <w:color w:val="000000"/>
          <w:sz w:val="22"/>
          <w:szCs w:val="22"/>
          <w:vertAlign w:val="superscript"/>
          <w:lang w:val="sr-Cyrl-RS"/>
        </w:rPr>
        <w:t>197</w:t>
      </w:r>
      <w:r w:rsidRPr="00EF008E">
        <w:rPr>
          <w:rFonts w:ascii="Arial" w:hAnsi="Arial" w:cs="Arial"/>
          <w:color w:val="000000"/>
          <w:sz w:val="22"/>
          <w:szCs w:val="22"/>
          <w:lang w:val="sr-Cyrl-RS"/>
        </w:rPr>
        <w:t>; Закон о поједностављеном радном ангажовању на сезонским пословима у одређеним делатностима</w:t>
      </w:r>
      <w:r w:rsidRPr="00EF008E">
        <w:rPr>
          <w:rFonts w:ascii="Arial" w:hAnsi="Arial" w:cs="Arial"/>
          <w:color w:val="000000"/>
          <w:sz w:val="22"/>
          <w:szCs w:val="22"/>
          <w:vertAlign w:val="superscript"/>
          <w:lang w:val="sr-Cyrl-RS"/>
        </w:rPr>
        <w:t>198</w:t>
      </w:r>
      <w:r w:rsidRPr="00EF008E">
        <w:rPr>
          <w:rFonts w:ascii="Arial" w:hAnsi="Arial" w:cs="Arial"/>
          <w:color w:val="000000"/>
          <w:sz w:val="22"/>
          <w:szCs w:val="22"/>
          <w:lang w:val="sr-Cyrl-RS"/>
        </w:rPr>
        <w:t>; Закон о агенцијском запошљавању</w:t>
      </w:r>
      <w:r w:rsidRPr="00EF008E">
        <w:rPr>
          <w:rFonts w:ascii="Arial" w:hAnsi="Arial" w:cs="Arial"/>
          <w:color w:val="000000"/>
          <w:sz w:val="22"/>
          <w:szCs w:val="22"/>
          <w:vertAlign w:val="superscript"/>
          <w:lang w:val="sr-Cyrl-RS"/>
        </w:rPr>
        <w:t>199</w:t>
      </w:r>
      <w:r w:rsidRPr="00EF008E">
        <w:rPr>
          <w:rFonts w:ascii="Arial" w:hAnsi="Arial" w:cs="Arial"/>
          <w:color w:val="000000"/>
          <w:sz w:val="22"/>
          <w:szCs w:val="22"/>
          <w:lang w:val="sr-Cyrl-RS"/>
        </w:rPr>
        <w:t>; Закон о Националном оквиру квалификација РС</w:t>
      </w:r>
      <w:r w:rsidRPr="00EF008E">
        <w:rPr>
          <w:rFonts w:ascii="Arial" w:hAnsi="Arial" w:cs="Arial"/>
          <w:color w:val="000000"/>
          <w:sz w:val="22"/>
          <w:szCs w:val="22"/>
          <w:vertAlign w:val="superscript"/>
          <w:lang w:val="sr-Cyrl-RS"/>
        </w:rPr>
        <w:t>200</w:t>
      </w:r>
      <w:r w:rsidRPr="00EF008E">
        <w:rPr>
          <w:rFonts w:ascii="Arial" w:hAnsi="Arial" w:cs="Arial"/>
          <w:color w:val="000000"/>
          <w:sz w:val="22"/>
          <w:szCs w:val="22"/>
          <w:lang w:val="sr-Cyrl-RS"/>
        </w:rPr>
        <w:t>; Закон о професионалној рехабилитацији и запошљавању особа са инвалидитетом</w:t>
      </w:r>
      <w:r w:rsidRPr="00EF008E">
        <w:rPr>
          <w:rFonts w:ascii="Arial" w:hAnsi="Arial" w:cs="Arial"/>
          <w:color w:val="000000"/>
          <w:sz w:val="22"/>
          <w:szCs w:val="22"/>
          <w:vertAlign w:val="superscript"/>
          <w:lang w:val="sr-Cyrl-RS"/>
        </w:rPr>
        <w:t>201</w:t>
      </w:r>
      <w:r w:rsidRPr="00EF008E">
        <w:rPr>
          <w:rFonts w:ascii="Arial" w:hAnsi="Arial" w:cs="Arial"/>
          <w:color w:val="000000"/>
          <w:sz w:val="22"/>
          <w:szCs w:val="22"/>
          <w:lang w:val="sr-Cyrl-RS"/>
        </w:rPr>
        <w:t>; Закон о запошљавању странаца</w:t>
      </w:r>
      <w:r w:rsidRPr="00EF008E">
        <w:rPr>
          <w:rFonts w:ascii="Arial" w:hAnsi="Arial" w:cs="Arial"/>
          <w:color w:val="000000"/>
          <w:sz w:val="22"/>
          <w:szCs w:val="22"/>
          <w:vertAlign w:val="superscript"/>
          <w:lang w:val="sr-Cyrl-RS"/>
        </w:rPr>
        <w:t>202</w:t>
      </w:r>
      <w:r w:rsidRPr="00EF008E">
        <w:rPr>
          <w:rFonts w:ascii="Arial" w:hAnsi="Arial" w:cs="Arial"/>
          <w:color w:val="000000"/>
          <w:sz w:val="22"/>
          <w:szCs w:val="22"/>
          <w:lang w:val="sr-Cyrl-RS"/>
        </w:rPr>
        <w:t>; Закон о енергетици</w:t>
      </w:r>
      <w:r w:rsidRPr="00EF008E">
        <w:rPr>
          <w:rFonts w:ascii="Arial" w:hAnsi="Arial" w:cs="Arial"/>
          <w:color w:val="000000"/>
          <w:sz w:val="22"/>
          <w:szCs w:val="22"/>
          <w:vertAlign w:val="superscript"/>
          <w:lang w:val="sr-Cyrl-RS"/>
        </w:rPr>
        <w:t>203</w:t>
      </w:r>
      <w:r w:rsidRPr="00EF008E">
        <w:rPr>
          <w:rFonts w:ascii="Arial" w:hAnsi="Arial" w:cs="Arial"/>
          <w:color w:val="000000"/>
          <w:sz w:val="22"/>
          <w:szCs w:val="22"/>
          <w:lang w:val="sr-Cyrl-RS"/>
        </w:rPr>
        <w:t>; Закон о коришћењу обновљивих извора енергије</w:t>
      </w:r>
      <w:r w:rsidRPr="00EF008E">
        <w:rPr>
          <w:rFonts w:ascii="Arial" w:hAnsi="Arial" w:cs="Arial"/>
          <w:color w:val="000000"/>
          <w:sz w:val="22"/>
          <w:szCs w:val="22"/>
          <w:vertAlign w:val="superscript"/>
          <w:lang w:val="sr-Cyrl-RS"/>
        </w:rPr>
        <w:t>204</w:t>
      </w:r>
      <w:r w:rsidRPr="00EF008E">
        <w:rPr>
          <w:rFonts w:ascii="Arial" w:hAnsi="Arial" w:cs="Arial"/>
          <w:color w:val="000000"/>
          <w:sz w:val="22"/>
          <w:szCs w:val="22"/>
          <w:lang w:val="sr-Cyrl-RS"/>
        </w:rPr>
        <w:t>; Закон о основама система васпитања и образовања</w:t>
      </w:r>
      <w:r w:rsidRPr="00EF008E">
        <w:rPr>
          <w:rFonts w:ascii="Arial" w:hAnsi="Arial" w:cs="Arial"/>
          <w:color w:val="000000"/>
          <w:sz w:val="22"/>
          <w:szCs w:val="22"/>
          <w:vertAlign w:val="superscript"/>
          <w:lang w:val="sr-Cyrl-RS"/>
        </w:rPr>
        <w:t>205</w:t>
      </w:r>
      <w:r w:rsidRPr="00EF008E">
        <w:rPr>
          <w:rFonts w:ascii="Arial" w:hAnsi="Arial" w:cs="Arial"/>
          <w:color w:val="000000"/>
          <w:sz w:val="22"/>
          <w:szCs w:val="22"/>
          <w:lang w:val="sr-Cyrl-RS"/>
        </w:rPr>
        <w:t>; Закон о предшколском васпитању и образовању</w:t>
      </w:r>
      <w:r w:rsidRPr="00EF008E">
        <w:rPr>
          <w:rFonts w:ascii="Arial" w:hAnsi="Arial" w:cs="Arial"/>
          <w:color w:val="000000"/>
          <w:sz w:val="22"/>
          <w:szCs w:val="22"/>
          <w:vertAlign w:val="superscript"/>
          <w:lang w:val="sr-Cyrl-RS"/>
        </w:rPr>
        <w:t>206</w:t>
      </w:r>
      <w:r w:rsidRPr="00EF008E">
        <w:rPr>
          <w:rFonts w:ascii="Arial" w:hAnsi="Arial" w:cs="Arial"/>
          <w:color w:val="000000"/>
          <w:sz w:val="22"/>
          <w:szCs w:val="22"/>
          <w:lang w:val="sr-Cyrl-RS"/>
        </w:rPr>
        <w:t>; Закон о основном образовању и васпитању</w:t>
      </w:r>
      <w:r w:rsidRPr="00EF008E">
        <w:rPr>
          <w:rFonts w:ascii="Arial" w:hAnsi="Arial" w:cs="Arial"/>
          <w:color w:val="000000"/>
          <w:sz w:val="22"/>
          <w:szCs w:val="22"/>
          <w:vertAlign w:val="superscript"/>
          <w:lang w:val="sr-Cyrl-RS"/>
        </w:rPr>
        <w:t>207</w:t>
      </w:r>
      <w:r w:rsidRPr="00EF008E">
        <w:rPr>
          <w:rFonts w:ascii="Arial" w:hAnsi="Arial" w:cs="Arial"/>
          <w:color w:val="000000"/>
          <w:sz w:val="22"/>
          <w:szCs w:val="22"/>
          <w:lang w:val="sr-Cyrl-RS"/>
        </w:rPr>
        <w:t>; Закон о средњем образовању и васпитању</w:t>
      </w:r>
      <w:r w:rsidRPr="00EF008E">
        <w:rPr>
          <w:rFonts w:ascii="Arial" w:hAnsi="Arial" w:cs="Arial"/>
          <w:color w:val="000000"/>
          <w:sz w:val="22"/>
          <w:szCs w:val="22"/>
          <w:vertAlign w:val="superscript"/>
          <w:lang w:val="sr-Cyrl-RS"/>
        </w:rPr>
        <w:t>208</w:t>
      </w:r>
      <w:r w:rsidRPr="00EF008E">
        <w:rPr>
          <w:rFonts w:ascii="Arial" w:hAnsi="Arial" w:cs="Arial"/>
          <w:color w:val="000000"/>
          <w:sz w:val="22"/>
          <w:szCs w:val="22"/>
          <w:lang w:val="sr-Cyrl-RS"/>
        </w:rPr>
        <w:t>; Закон о дуалном образовању</w:t>
      </w:r>
      <w:r w:rsidRPr="00EF008E">
        <w:rPr>
          <w:rFonts w:ascii="Arial" w:hAnsi="Arial" w:cs="Arial"/>
          <w:color w:val="000000"/>
          <w:sz w:val="22"/>
          <w:szCs w:val="22"/>
          <w:vertAlign w:val="superscript"/>
          <w:lang w:val="sr-Cyrl-RS"/>
        </w:rPr>
        <w:t>209</w:t>
      </w:r>
      <w:r w:rsidRPr="00EF008E">
        <w:rPr>
          <w:rFonts w:ascii="Arial" w:hAnsi="Arial" w:cs="Arial"/>
          <w:color w:val="000000"/>
          <w:sz w:val="22"/>
          <w:szCs w:val="22"/>
          <w:lang w:val="sr-Cyrl-RS"/>
        </w:rPr>
        <w:t>; Закон о високом образовању</w:t>
      </w:r>
      <w:r w:rsidRPr="00EF008E">
        <w:rPr>
          <w:rFonts w:ascii="Arial" w:hAnsi="Arial" w:cs="Arial"/>
          <w:color w:val="000000"/>
          <w:sz w:val="22"/>
          <w:szCs w:val="22"/>
          <w:vertAlign w:val="superscript"/>
          <w:lang w:val="sr-Cyrl-RS"/>
        </w:rPr>
        <w:t>210</w:t>
      </w:r>
      <w:r w:rsidRPr="00EF008E">
        <w:rPr>
          <w:rFonts w:ascii="Arial" w:hAnsi="Arial" w:cs="Arial"/>
          <w:color w:val="000000"/>
          <w:sz w:val="22"/>
          <w:szCs w:val="22"/>
          <w:lang w:val="sr-Cyrl-RS"/>
        </w:rPr>
        <w:t>; Закон о образовању одраслих</w:t>
      </w:r>
      <w:r w:rsidRPr="00EF008E">
        <w:rPr>
          <w:rFonts w:ascii="Arial" w:hAnsi="Arial" w:cs="Arial"/>
          <w:color w:val="000000"/>
          <w:sz w:val="22"/>
          <w:szCs w:val="22"/>
          <w:vertAlign w:val="superscript"/>
          <w:lang w:val="sr-Cyrl-RS"/>
        </w:rPr>
        <w:t>211</w:t>
      </w:r>
      <w:r w:rsidRPr="00EF008E">
        <w:rPr>
          <w:rFonts w:ascii="Arial" w:hAnsi="Arial" w:cs="Arial"/>
          <w:color w:val="000000"/>
          <w:sz w:val="22"/>
          <w:szCs w:val="22"/>
          <w:lang w:val="sr-Cyrl-RS"/>
        </w:rPr>
        <w:t>; Закон о науци и истраживањима</w:t>
      </w:r>
      <w:r w:rsidRPr="00EF008E">
        <w:rPr>
          <w:rFonts w:ascii="Arial" w:hAnsi="Arial" w:cs="Arial"/>
          <w:color w:val="000000"/>
          <w:sz w:val="22"/>
          <w:szCs w:val="22"/>
          <w:vertAlign w:val="superscript"/>
          <w:lang w:val="sr-Cyrl-RS"/>
        </w:rPr>
        <w:t>212</w:t>
      </w:r>
      <w:r w:rsidRPr="00EF008E">
        <w:rPr>
          <w:rFonts w:ascii="Arial" w:hAnsi="Arial" w:cs="Arial"/>
          <w:color w:val="000000"/>
          <w:sz w:val="22"/>
          <w:szCs w:val="22"/>
          <w:lang w:val="sr-Cyrl-RS"/>
        </w:rPr>
        <w:t>; Правилник о сталном стручном усавршавању наставника, васпитача и стручних сарадника</w:t>
      </w:r>
      <w:r w:rsidRPr="00EF008E">
        <w:rPr>
          <w:rFonts w:ascii="Arial" w:hAnsi="Arial" w:cs="Arial"/>
          <w:color w:val="000000"/>
          <w:sz w:val="22"/>
          <w:szCs w:val="22"/>
          <w:vertAlign w:val="superscript"/>
          <w:lang w:val="sr-Cyrl-RS"/>
        </w:rPr>
        <w:t>213</w:t>
      </w:r>
      <w:r w:rsidRPr="00EF008E">
        <w:rPr>
          <w:rFonts w:ascii="Arial" w:hAnsi="Arial" w:cs="Arial"/>
          <w:color w:val="000000"/>
          <w:sz w:val="22"/>
          <w:szCs w:val="22"/>
          <w:lang w:val="sr-Cyrl-RS"/>
        </w:rPr>
        <w:t>; 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w:t>
      </w:r>
      <w:r w:rsidRPr="00EF008E">
        <w:rPr>
          <w:rFonts w:ascii="Arial" w:hAnsi="Arial" w:cs="Arial"/>
          <w:color w:val="000000"/>
          <w:sz w:val="22"/>
          <w:szCs w:val="22"/>
          <w:vertAlign w:val="superscript"/>
          <w:lang w:val="sr-Cyrl-RS"/>
        </w:rPr>
        <w:t>214</w:t>
      </w:r>
      <w:r w:rsidRPr="00EF008E">
        <w:rPr>
          <w:rFonts w:ascii="Arial" w:hAnsi="Arial" w:cs="Arial"/>
          <w:color w:val="000000"/>
          <w:sz w:val="22"/>
          <w:szCs w:val="22"/>
          <w:lang w:val="sr-Cyrl-RS"/>
        </w:rPr>
        <w:t>; Правилник о додатној образовној, здравственој и социјалној подршци детету, ученику и одраслом</w:t>
      </w:r>
      <w:r w:rsidRPr="00EF008E">
        <w:rPr>
          <w:rFonts w:ascii="Arial" w:hAnsi="Arial" w:cs="Arial"/>
          <w:color w:val="000000"/>
          <w:sz w:val="22"/>
          <w:szCs w:val="22"/>
          <w:vertAlign w:val="superscript"/>
          <w:lang w:val="sr-Cyrl-RS"/>
        </w:rPr>
        <w:t>215</w:t>
      </w:r>
      <w:r w:rsidRPr="00EF008E">
        <w:rPr>
          <w:rFonts w:ascii="Arial" w:hAnsi="Arial" w:cs="Arial"/>
          <w:color w:val="000000"/>
          <w:sz w:val="22"/>
          <w:szCs w:val="22"/>
          <w:lang w:val="sr-Cyrl-RS"/>
        </w:rPr>
        <w:t>; Правилник о критеријумима и стандардима пружања додатне подршке у образовању деце, ученика и одраслих са сметњама у развоју и инвалидитетом у васпитној групи, односно другој школи и породици</w:t>
      </w:r>
      <w:r w:rsidRPr="00EF008E">
        <w:rPr>
          <w:rFonts w:ascii="Arial" w:hAnsi="Arial" w:cs="Arial"/>
          <w:color w:val="000000"/>
          <w:sz w:val="22"/>
          <w:szCs w:val="22"/>
          <w:vertAlign w:val="superscript"/>
          <w:lang w:val="sr-Cyrl-RS"/>
        </w:rPr>
        <w:t>216</w:t>
      </w:r>
      <w:r w:rsidRPr="00EF008E">
        <w:rPr>
          <w:rFonts w:ascii="Arial" w:hAnsi="Arial" w:cs="Arial"/>
          <w:color w:val="000000"/>
          <w:sz w:val="22"/>
          <w:szCs w:val="22"/>
          <w:lang w:val="sr-Cyrl-RS"/>
        </w:rPr>
        <w:t>; Правилник о педагошком и андрагошком асистенту</w:t>
      </w:r>
      <w:r w:rsidRPr="00EF008E">
        <w:rPr>
          <w:rFonts w:ascii="Arial" w:hAnsi="Arial" w:cs="Arial"/>
          <w:color w:val="000000"/>
          <w:sz w:val="22"/>
          <w:szCs w:val="22"/>
          <w:vertAlign w:val="superscript"/>
          <w:lang w:val="sr-Cyrl-RS"/>
        </w:rPr>
        <w:t>217</w:t>
      </w:r>
      <w:r w:rsidRPr="00EF008E">
        <w:rPr>
          <w:rFonts w:ascii="Arial" w:hAnsi="Arial" w:cs="Arial"/>
          <w:color w:val="000000"/>
          <w:sz w:val="22"/>
          <w:szCs w:val="22"/>
          <w:lang w:val="sr-Cyrl-RS"/>
        </w:rPr>
        <w:t xml:space="preserve"> и Правилник о ученичким и студентским кредитима и стипендијама.</w:t>
      </w:r>
      <w:r w:rsidRPr="00EF008E">
        <w:rPr>
          <w:rFonts w:ascii="Arial" w:hAnsi="Arial" w:cs="Arial"/>
          <w:color w:val="000000"/>
          <w:sz w:val="22"/>
          <w:szCs w:val="22"/>
          <w:vertAlign w:val="superscript"/>
          <w:lang w:val="sr-Cyrl-RS"/>
        </w:rPr>
        <w:t>218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Закони и прописи који се односе на родне аспекте људских права, безбедности и насиља према женама и политичког живота су: Закон о заштити података о личности</w:t>
      </w:r>
      <w:r w:rsidRPr="00EF008E">
        <w:rPr>
          <w:rFonts w:ascii="Arial" w:hAnsi="Arial" w:cs="Arial"/>
          <w:color w:val="000000"/>
          <w:sz w:val="22"/>
          <w:szCs w:val="22"/>
          <w:vertAlign w:val="superscript"/>
          <w:lang w:val="sr-Cyrl-RS"/>
        </w:rPr>
        <w:t>219</w:t>
      </w:r>
      <w:r w:rsidRPr="00EF008E">
        <w:rPr>
          <w:rFonts w:ascii="Arial" w:hAnsi="Arial" w:cs="Arial"/>
          <w:color w:val="000000"/>
          <w:sz w:val="22"/>
          <w:szCs w:val="22"/>
          <w:lang w:val="sr-Cyrl-RS"/>
        </w:rPr>
        <w:t>; Закон о јавном информисању и медијима</w:t>
      </w:r>
      <w:r w:rsidRPr="00EF008E">
        <w:rPr>
          <w:rFonts w:ascii="Arial" w:hAnsi="Arial" w:cs="Arial"/>
          <w:color w:val="000000"/>
          <w:sz w:val="22"/>
          <w:szCs w:val="22"/>
          <w:vertAlign w:val="superscript"/>
          <w:lang w:val="sr-Cyrl-RS"/>
        </w:rPr>
        <w:t>220</w:t>
      </w:r>
      <w:r w:rsidRPr="00EF008E">
        <w:rPr>
          <w:rFonts w:ascii="Arial" w:hAnsi="Arial" w:cs="Arial"/>
          <w:color w:val="000000"/>
          <w:sz w:val="22"/>
          <w:szCs w:val="22"/>
          <w:lang w:val="sr-Cyrl-RS"/>
        </w:rPr>
        <w:t>; Породични закон</w:t>
      </w:r>
      <w:r w:rsidRPr="00EF008E">
        <w:rPr>
          <w:rFonts w:ascii="Arial" w:hAnsi="Arial" w:cs="Arial"/>
          <w:color w:val="000000"/>
          <w:sz w:val="22"/>
          <w:szCs w:val="22"/>
          <w:vertAlign w:val="superscript"/>
          <w:lang w:val="sr-Cyrl-RS"/>
        </w:rPr>
        <w:t>221</w:t>
      </w:r>
      <w:r w:rsidRPr="00EF008E">
        <w:rPr>
          <w:rFonts w:ascii="Arial" w:hAnsi="Arial" w:cs="Arial"/>
          <w:color w:val="000000"/>
          <w:sz w:val="22"/>
          <w:szCs w:val="22"/>
          <w:lang w:val="sr-Cyrl-RS"/>
        </w:rPr>
        <w:t>; Закон о парничном поступку</w:t>
      </w:r>
      <w:r w:rsidRPr="00EF008E">
        <w:rPr>
          <w:rFonts w:ascii="Arial" w:hAnsi="Arial" w:cs="Arial"/>
          <w:color w:val="000000"/>
          <w:sz w:val="22"/>
          <w:szCs w:val="22"/>
          <w:vertAlign w:val="superscript"/>
          <w:lang w:val="sr-Cyrl-RS"/>
        </w:rPr>
        <w:t>222</w:t>
      </w:r>
      <w:r w:rsidRPr="00EF008E">
        <w:rPr>
          <w:rFonts w:ascii="Arial" w:hAnsi="Arial" w:cs="Arial"/>
          <w:color w:val="000000"/>
          <w:sz w:val="22"/>
          <w:szCs w:val="22"/>
          <w:lang w:val="sr-Cyrl-RS"/>
        </w:rPr>
        <w:t>; Кривични законик</w:t>
      </w:r>
      <w:r w:rsidRPr="00EF008E">
        <w:rPr>
          <w:rFonts w:ascii="Arial" w:hAnsi="Arial" w:cs="Arial"/>
          <w:color w:val="000000"/>
          <w:sz w:val="22"/>
          <w:szCs w:val="22"/>
          <w:vertAlign w:val="superscript"/>
          <w:lang w:val="sr-Cyrl-RS"/>
        </w:rPr>
        <w:t>223</w:t>
      </w:r>
      <w:r w:rsidRPr="00EF008E">
        <w:rPr>
          <w:rFonts w:ascii="Arial" w:hAnsi="Arial" w:cs="Arial"/>
          <w:color w:val="000000"/>
          <w:sz w:val="22"/>
          <w:szCs w:val="22"/>
          <w:lang w:val="sr-Cyrl-RS"/>
        </w:rPr>
        <w:t>; Законик о кривичном поступку</w:t>
      </w:r>
      <w:r w:rsidRPr="00EF008E">
        <w:rPr>
          <w:rFonts w:ascii="Arial" w:hAnsi="Arial" w:cs="Arial"/>
          <w:color w:val="000000"/>
          <w:sz w:val="22"/>
          <w:szCs w:val="22"/>
          <w:vertAlign w:val="superscript"/>
          <w:lang w:val="sr-Cyrl-RS"/>
        </w:rPr>
        <w:t>224</w:t>
      </w:r>
      <w:r w:rsidRPr="00EF008E">
        <w:rPr>
          <w:rFonts w:ascii="Arial" w:hAnsi="Arial" w:cs="Arial"/>
          <w:color w:val="000000"/>
          <w:sz w:val="22"/>
          <w:szCs w:val="22"/>
          <w:lang w:val="sr-Cyrl-RS"/>
        </w:rPr>
        <w:t>; Закон о полицији</w:t>
      </w:r>
      <w:r w:rsidRPr="00EF008E">
        <w:rPr>
          <w:rFonts w:ascii="Arial" w:hAnsi="Arial" w:cs="Arial"/>
          <w:color w:val="000000"/>
          <w:sz w:val="22"/>
          <w:szCs w:val="22"/>
          <w:vertAlign w:val="superscript"/>
          <w:lang w:val="sr-Cyrl-RS"/>
        </w:rPr>
        <w:t>225</w:t>
      </w:r>
      <w:r w:rsidRPr="00EF008E">
        <w:rPr>
          <w:rFonts w:ascii="Arial" w:hAnsi="Arial" w:cs="Arial"/>
          <w:color w:val="000000"/>
          <w:sz w:val="22"/>
          <w:szCs w:val="22"/>
          <w:lang w:val="sr-Cyrl-RS"/>
        </w:rPr>
        <w:t>; Закон о оружју и муницији</w:t>
      </w:r>
      <w:r w:rsidRPr="00EF008E">
        <w:rPr>
          <w:rFonts w:ascii="Arial" w:hAnsi="Arial" w:cs="Arial"/>
          <w:color w:val="000000"/>
          <w:sz w:val="22"/>
          <w:szCs w:val="22"/>
          <w:vertAlign w:val="superscript"/>
          <w:lang w:val="sr-Cyrl-RS"/>
        </w:rPr>
        <w:t>226</w:t>
      </w:r>
      <w:r w:rsidRPr="00EF008E">
        <w:rPr>
          <w:rFonts w:ascii="Arial" w:hAnsi="Arial" w:cs="Arial"/>
          <w:color w:val="000000"/>
          <w:sz w:val="22"/>
          <w:szCs w:val="22"/>
          <w:lang w:val="sr-Cyrl-RS"/>
        </w:rPr>
        <w:t>; Закон о јавном реду и миру</w:t>
      </w:r>
      <w:r w:rsidRPr="00EF008E">
        <w:rPr>
          <w:rFonts w:ascii="Arial" w:hAnsi="Arial" w:cs="Arial"/>
          <w:color w:val="000000"/>
          <w:sz w:val="22"/>
          <w:szCs w:val="22"/>
          <w:vertAlign w:val="superscript"/>
          <w:lang w:val="sr-Cyrl-RS"/>
        </w:rPr>
        <w:t>227</w:t>
      </w:r>
      <w:r w:rsidRPr="00EF008E">
        <w:rPr>
          <w:rFonts w:ascii="Arial" w:hAnsi="Arial" w:cs="Arial"/>
          <w:color w:val="000000"/>
          <w:sz w:val="22"/>
          <w:szCs w:val="22"/>
          <w:lang w:val="sr-Cyrl-RS"/>
        </w:rPr>
        <w:t>; Закон о извршењу кривичних санкција</w:t>
      </w:r>
      <w:r w:rsidRPr="00EF008E">
        <w:rPr>
          <w:rFonts w:ascii="Arial" w:hAnsi="Arial" w:cs="Arial"/>
          <w:color w:val="000000"/>
          <w:sz w:val="22"/>
          <w:szCs w:val="22"/>
          <w:vertAlign w:val="superscript"/>
          <w:lang w:val="sr-Cyrl-RS"/>
        </w:rPr>
        <w:t>228</w:t>
      </w:r>
      <w:r w:rsidRPr="00EF008E">
        <w:rPr>
          <w:rFonts w:ascii="Arial" w:hAnsi="Arial" w:cs="Arial"/>
          <w:color w:val="000000"/>
          <w:sz w:val="22"/>
          <w:szCs w:val="22"/>
          <w:lang w:val="sr-Cyrl-RS"/>
        </w:rPr>
        <w:t>; Закон о међународној правној помоћи у кривичним стварима</w:t>
      </w:r>
      <w:r w:rsidRPr="00EF008E">
        <w:rPr>
          <w:rFonts w:ascii="Arial" w:hAnsi="Arial" w:cs="Arial"/>
          <w:color w:val="000000"/>
          <w:sz w:val="22"/>
          <w:szCs w:val="22"/>
          <w:vertAlign w:val="superscript"/>
          <w:lang w:val="sr-Cyrl-RS"/>
        </w:rPr>
        <w:t>229</w:t>
      </w:r>
      <w:r w:rsidRPr="00EF008E">
        <w:rPr>
          <w:rFonts w:ascii="Arial" w:hAnsi="Arial" w:cs="Arial"/>
          <w:color w:val="000000"/>
          <w:sz w:val="22"/>
          <w:szCs w:val="22"/>
          <w:lang w:val="sr-Cyrl-RS"/>
        </w:rPr>
        <w:t>; Закон о странцима</w:t>
      </w:r>
      <w:r w:rsidRPr="00EF008E">
        <w:rPr>
          <w:rFonts w:ascii="Arial" w:hAnsi="Arial" w:cs="Arial"/>
          <w:color w:val="000000"/>
          <w:sz w:val="22"/>
          <w:szCs w:val="22"/>
          <w:vertAlign w:val="superscript"/>
          <w:lang w:val="sr-Cyrl-RS"/>
        </w:rPr>
        <w:t>230</w:t>
      </w:r>
      <w:r w:rsidRPr="00EF008E">
        <w:rPr>
          <w:rFonts w:ascii="Arial" w:hAnsi="Arial" w:cs="Arial"/>
          <w:color w:val="000000"/>
          <w:sz w:val="22"/>
          <w:szCs w:val="22"/>
          <w:lang w:val="sr-Cyrl-RS"/>
        </w:rPr>
        <w:t>; Закон о малолетним учиниоцима кривичних дела и кривичноправној заштити малолетних лица</w:t>
      </w:r>
      <w:r w:rsidRPr="00EF008E">
        <w:rPr>
          <w:rFonts w:ascii="Arial" w:hAnsi="Arial" w:cs="Arial"/>
          <w:color w:val="000000"/>
          <w:sz w:val="22"/>
          <w:szCs w:val="22"/>
          <w:vertAlign w:val="superscript"/>
          <w:lang w:val="sr-Cyrl-RS"/>
        </w:rPr>
        <w:t>231</w:t>
      </w:r>
      <w:r w:rsidRPr="00EF008E">
        <w:rPr>
          <w:rFonts w:ascii="Arial" w:hAnsi="Arial" w:cs="Arial"/>
          <w:color w:val="000000"/>
          <w:sz w:val="22"/>
          <w:szCs w:val="22"/>
          <w:lang w:val="sr-Cyrl-RS"/>
        </w:rPr>
        <w:t>; Закон о програму заштите учесника у кривичном поступку</w:t>
      </w:r>
      <w:r w:rsidRPr="00EF008E">
        <w:rPr>
          <w:rFonts w:ascii="Arial" w:hAnsi="Arial" w:cs="Arial"/>
          <w:color w:val="000000"/>
          <w:sz w:val="22"/>
          <w:szCs w:val="22"/>
          <w:vertAlign w:val="superscript"/>
          <w:lang w:val="sr-Cyrl-RS"/>
        </w:rPr>
        <w:t>232</w:t>
      </w:r>
      <w:r w:rsidRPr="00EF008E">
        <w:rPr>
          <w:rFonts w:ascii="Arial" w:hAnsi="Arial" w:cs="Arial"/>
          <w:color w:val="000000"/>
          <w:sz w:val="22"/>
          <w:szCs w:val="22"/>
          <w:lang w:val="sr-Cyrl-RS"/>
        </w:rPr>
        <w:t>; Правилник о полицијским овлашћењима</w:t>
      </w:r>
      <w:r w:rsidRPr="00EF008E">
        <w:rPr>
          <w:rFonts w:ascii="Arial" w:hAnsi="Arial" w:cs="Arial"/>
          <w:color w:val="000000"/>
          <w:sz w:val="22"/>
          <w:szCs w:val="22"/>
          <w:vertAlign w:val="superscript"/>
          <w:lang w:val="sr-Cyrl-RS"/>
        </w:rPr>
        <w:t>233</w:t>
      </w:r>
      <w:r w:rsidRPr="00EF008E">
        <w:rPr>
          <w:rFonts w:ascii="Arial" w:hAnsi="Arial" w:cs="Arial"/>
          <w:color w:val="000000"/>
          <w:sz w:val="22"/>
          <w:szCs w:val="22"/>
          <w:lang w:val="sr-Cyrl-RS"/>
        </w:rPr>
        <w:t>; Правилник о ближим условима за одобрење привременог боравка, изгледу захтева за одобрење привременог боравка, изгледу и начину уношења налепнице привременог боравка у страну путну исправу</w:t>
      </w:r>
      <w:r w:rsidRPr="00EF008E">
        <w:rPr>
          <w:rFonts w:ascii="Arial" w:hAnsi="Arial" w:cs="Arial"/>
          <w:color w:val="000000"/>
          <w:sz w:val="22"/>
          <w:szCs w:val="22"/>
          <w:vertAlign w:val="superscript"/>
          <w:lang w:val="sr-Cyrl-RS"/>
        </w:rPr>
        <w:t>234</w:t>
      </w:r>
      <w:r w:rsidRPr="00EF008E">
        <w:rPr>
          <w:rFonts w:ascii="Arial" w:hAnsi="Arial" w:cs="Arial"/>
          <w:color w:val="000000"/>
          <w:sz w:val="22"/>
          <w:szCs w:val="22"/>
          <w:lang w:val="sr-Cyrl-RS"/>
        </w:rPr>
        <w:t>; Закон о критичној инфраструктури</w:t>
      </w:r>
      <w:r w:rsidRPr="00EF008E">
        <w:rPr>
          <w:rFonts w:ascii="Arial" w:hAnsi="Arial" w:cs="Arial"/>
          <w:color w:val="000000"/>
          <w:sz w:val="22"/>
          <w:szCs w:val="22"/>
          <w:vertAlign w:val="superscript"/>
          <w:lang w:val="sr-Cyrl-RS"/>
        </w:rPr>
        <w:t>235</w:t>
      </w:r>
      <w:r w:rsidRPr="00EF008E">
        <w:rPr>
          <w:rFonts w:ascii="Arial" w:hAnsi="Arial" w:cs="Arial"/>
          <w:color w:val="000000"/>
          <w:sz w:val="22"/>
          <w:szCs w:val="22"/>
          <w:lang w:val="sr-Cyrl-RS"/>
        </w:rPr>
        <w:t>; Општи протокол о поступању и сарадњи установа, органа и организација у ситуацијама насиља над женама у породици и у партнерским односима</w:t>
      </w:r>
      <w:r w:rsidRPr="00EF008E">
        <w:rPr>
          <w:rFonts w:ascii="Arial" w:hAnsi="Arial" w:cs="Arial"/>
          <w:color w:val="000000"/>
          <w:sz w:val="22"/>
          <w:szCs w:val="22"/>
          <w:vertAlign w:val="superscript"/>
          <w:lang w:val="sr-Cyrl-RS"/>
        </w:rPr>
        <w:t>236</w:t>
      </w:r>
      <w:r w:rsidRPr="00EF008E">
        <w:rPr>
          <w:rFonts w:ascii="Arial" w:hAnsi="Arial" w:cs="Arial"/>
          <w:color w:val="000000"/>
          <w:sz w:val="22"/>
          <w:szCs w:val="22"/>
          <w:lang w:val="sr-Cyrl-RS"/>
        </w:rPr>
        <w:t>; Посебни протокол о поступању полицијских службеника у случајевима насиља над женама у породици и у партнерским односима</w:t>
      </w:r>
      <w:r w:rsidRPr="00EF008E">
        <w:rPr>
          <w:rFonts w:ascii="Arial" w:hAnsi="Arial" w:cs="Arial"/>
          <w:color w:val="000000"/>
          <w:sz w:val="22"/>
          <w:szCs w:val="22"/>
          <w:vertAlign w:val="superscript"/>
          <w:lang w:val="sr-Cyrl-RS"/>
        </w:rPr>
        <w:t>237</w:t>
      </w:r>
      <w:r w:rsidRPr="00EF008E">
        <w:rPr>
          <w:rFonts w:ascii="Arial" w:hAnsi="Arial" w:cs="Arial"/>
          <w:color w:val="000000"/>
          <w:sz w:val="22"/>
          <w:szCs w:val="22"/>
          <w:lang w:val="sr-Cyrl-RS"/>
        </w:rPr>
        <w:t>; Закон о бесплатној правној помоћи</w:t>
      </w:r>
      <w:r w:rsidRPr="00EF008E">
        <w:rPr>
          <w:rFonts w:ascii="Arial" w:hAnsi="Arial" w:cs="Arial"/>
          <w:color w:val="000000"/>
          <w:sz w:val="22"/>
          <w:szCs w:val="22"/>
          <w:vertAlign w:val="superscript"/>
          <w:lang w:val="sr-Cyrl-RS"/>
        </w:rPr>
        <w:t>238</w:t>
      </w:r>
      <w:r w:rsidRPr="00EF008E">
        <w:rPr>
          <w:rFonts w:ascii="Arial" w:hAnsi="Arial" w:cs="Arial"/>
          <w:color w:val="000000"/>
          <w:sz w:val="22"/>
          <w:szCs w:val="22"/>
          <w:lang w:val="sr-Cyrl-RS"/>
        </w:rPr>
        <w:t>; Закон о адвокатури</w:t>
      </w:r>
      <w:r w:rsidRPr="00EF008E">
        <w:rPr>
          <w:rFonts w:ascii="Arial" w:hAnsi="Arial" w:cs="Arial"/>
          <w:color w:val="000000"/>
          <w:sz w:val="22"/>
          <w:szCs w:val="22"/>
          <w:vertAlign w:val="superscript"/>
          <w:lang w:val="sr-Cyrl-RS"/>
        </w:rPr>
        <w:t>239</w:t>
      </w:r>
      <w:r w:rsidRPr="00EF008E">
        <w:rPr>
          <w:rFonts w:ascii="Arial" w:hAnsi="Arial" w:cs="Arial"/>
          <w:color w:val="000000"/>
          <w:sz w:val="22"/>
          <w:szCs w:val="22"/>
          <w:lang w:val="sr-Cyrl-RS"/>
        </w:rPr>
        <w:t>; Закон о јавном тужилаштву</w:t>
      </w:r>
      <w:r w:rsidRPr="00EF008E">
        <w:rPr>
          <w:rFonts w:ascii="Arial" w:hAnsi="Arial" w:cs="Arial"/>
          <w:color w:val="000000"/>
          <w:sz w:val="22"/>
          <w:szCs w:val="22"/>
          <w:vertAlign w:val="superscript"/>
          <w:lang w:val="sr-Cyrl-RS"/>
        </w:rPr>
        <w:t>240</w:t>
      </w:r>
      <w:r w:rsidRPr="00EF008E">
        <w:rPr>
          <w:rFonts w:ascii="Arial" w:hAnsi="Arial" w:cs="Arial"/>
          <w:color w:val="000000"/>
          <w:sz w:val="22"/>
          <w:szCs w:val="22"/>
          <w:lang w:val="sr-Cyrl-RS"/>
        </w:rPr>
        <w:t>; Закон о уређењу судова</w:t>
      </w:r>
      <w:r w:rsidRPr="00EF008E">
        <w:rPr>
          <w:rFonts w:ascii="Arial" w:hAnsi="Arial" w:cs="Arial"/>
          <w:color w:val="000000"/>
          <w:sz w:val="22"/>
          <w:szCs w:val="22"/>
          <w:vertAlign w:val="superscript"/>
          <w:lang w:val="sr-Cyrl-RS"/>
        </w:rPr>
        <w:t>241</w:t>
      </w:r>
      <w:r w:rsidRPr="00EF008E">
        <w:rPr>
          <w:rFonts w:ascii="Arial" w:hAnsi="Arial" w:cs="Arial"/>
          <w:color w:val="000000"/>
          <w:sz w:val="22"/>
          <w:szCs w:val="22"/>
          <w:lang w:val="sr-Cyrl-RS"/>
        </w:rPr>
        <w:t>; Закон о заштитнику грађана</w:t>
      </w:r>
      <w:r w:rsidRPr="00EF008E">
        <w:rPr>
          <w:rFonts w:ascii="Arial" w:hAnsi="Arial" w:cs="Arial"/>
          <w:color w:val="000000"/>
          <w:sz w:val="22"/>
          <w:szCs w:val="22"/>
          <w:vertAlign w:val="superscript"/>
          <w:lang w:val="sr-Cyrl-RS"/>
        </w:rPr>
        <w:t>242</w:t>
      </w:r>
      <w:r w:rsidRPr="00EF008E">
        <w:rPr>
          <w:rFonts w:ascii="Arial" w:hAnsi="Arial" w:cs="Arial"/>
          <w:color w:val="000000"/>
          <w:sz w:val="22"/>
          <w:szCs w:val="22"/>
          <w:lang w:val="sr-Cyrl-RS"/>
        </w:rPr>
        <w:t>; Закон о седиштима и подручјима судова и јавних тужилаштава</w:t>
      </w:r>
      <w:r w:rsidRPr="00EF008E">
        <w:rPr>
          <w:rFonts w:ascii="Arial" w:hAnsi="Arial" w:cs="Arial"/>
          <w:color w:val="000000"/>
          <w:sz w:val="22"/>
          <w:szCs w:val="22"/>
          <w:vertAlign w:val="superscript"/>
          <w:lang w:val="sr-Cyrl-RS"/>
        </w:rPr>
        <w:t>243</w:t>
      </w:r>
      <w:r w:rsidRPr="00EF008E">
        <w:rPr>
          <w:rFonts w:ascii="Arial" w:hAnsi="Arial" w:cs="Arial"/>
          <w:color w:val="000000"/>
          <w:sz w:val="22"/>
          <w:szCs w:val="22"/>
          <w:lang w:val="sr-Cyrl-RS"/>
        </w:rPr>
        <w:t>; Закон о Уставном суду</w:t>
      </w:r>
      <w:r w:rsidRPr="00EF008E">
        <w:rPr>
          <w:rFonts w:ascii="Arial" w:hAnsi="Arial" w:cs="Arial"/>
          <w:color w:val="000000"/>
          <w:sz w:val="22"/>
          <w:szCs w:val="22"/>
          <w:vertAlign w:val="superscript"/>
          <w:lang w:val="sr-Cyrl-RS"/>
        </w:rPr>
        <w:t>244</w:t>
      </w:r>
      <w:r w:rsidRPr="00EF008E">
        <w:rPr>
          <w:rFonts w:ascii="Arial" w:hAnsi="Arial" w:cs="Arial"/>
          <w:color w:val="000000"/>
          <w:sz w:val="22"/>
          <w:szCs w:val="22"/>
          <w:lang w:val="sr-Cyrl-RS"/>
        </w:rPr>
        <w:t>; Закон о избору народних посланика</w:t>
      </w:r>
      <w:r w:rsidRPr="00EF008E">
        <w:rPr>
          <w:rFonts w:ascii="Arial" w:hAnsi="Arial" w:cs="Arial"/>
          <w:color w:val="000000"/>
          <w:sz w:val="22"/>
          <w:szCs w:val="22"/>
          <w:vertAlign w:val="superscript"/>
          <w:lang w:val="sr-Cyrl-RS"/>
        </w:rPr>
        <w:t>245</w:t>
      </w:r>
      <w:r w:rsidRPr="00EF008E">
        <w:rPr>
          <w:rFonts w:ascii="Arial" w:hAnsi="Arial" w:cs="Arial"/>
          <w:color w:val="000000"/>
          <w:sz w:val="22"/>
          <w:szCs w:val="22"/>
          <w:lang w:val="sr-Cyrl-RS"/>
        </w:rPr>
        <w:t>; Закон о локалним изборима</w:t>
      </w:r>
      <w:r w:rsidRPr="00EF008E">
        <w:rPr>
          <w:rFonts w:ascii="Arial" w:hAnsi="Arial" w:cs="Arial"/>
          <w:color w:val="000000"/>
          <w:sz w:val="22"/>
          <w:szCs w:val="22"/>
          <w:vertAlign w:val="superscript"/>
          <w:lang w:val="sr-Cyrl-RS"/>
        </w:rPr>
        <w:t>246</w:t>
      </w:r>
      <w:r w:rsidRPr="00EF008E">
        <w:rPr>
          <w:rFonts w:ascii="Arial" w:hAnsi="Arial" w:cs="Arial"/>
          <w:color w:val="000000"/>
          <w:sz w:val="22"/>
          <w:szCs w:val="22"/>
          <w:lang w:val="sr-Cyrl-RS"/>
        </w:rPr>
        <w:t>; Закон о политичким странкама</w:t>
      </w:r>
      <w:r w:rsidRPr="00EF008E">
        <w:rPr>
          <w:rFonts w:ascii="Arial" w:hAnsi="Arial" w:cs="Arial"/>
          <w:color w:val="000000"/>
          <w:sz w:val="22"/>
          <w:szCs w:val="22"/>
          <w:vertAlign w:val="superscript"/>
          <w:lang w:val="sr-Cyrl-RS"/>
        </w:rPr>
        <w:t>247</w:t>
      </w:r>
      <w:r w:rsidRPr="00EF008E">
        <w:rPr>
          <w:rFonts w:ascii="Arial" w:hAnsi="Arial" w:cs="Arial"/>
          <w:color w:val="000000"/>
          <w:sz w:val="22"/>
          <w:szCs w:val="22"/>
          <w:lang w:val="sr-Cyrl-RS"/>
        </w:rPr>
        <w:t>; Закон о смањењу ризика од катастрофа и управљању ванредним ситуацијама</w:t>
      </w:r>
      <w:r w:rsidRPr="00EF008E">
        <w:rPr>
          <w:rFonts w:ascii="Arial" w:hAnsi="Arial" w:cs="Arial"/>
          <w:color w:val="000000"/>
          <w:sz w:val="22"/>
          <w:szCs w:val="22"/>
          <w:vertAlign w:val="superscript"/>
          <w:lang w:val="sr-Cyrl-RS"/>
        </w:rPr>
        <w:t>248</w:t>
      </w:r>
      <w:r w:rsidRPr="00EF008E">
        <w:rPr>
          <w:rFonts w:ascii="Arial" w:hAnsi="Arial" w:cs="Arial"/>
          <w:color w:val="000000"/>
          <w:sz w:val="22"/>
          <w:szCs w:val="22"/>
          <w:lang w:val="sr-Cyrl-RS"/>
        </w:rPr>
        <w:t xml:space="preserve"> и Закон о радијационој и нуклеарној сигурности и безбедности.</w:t>
      </w:r>
      <w:r w:rsidRPr="00EF008E">
        <w:rPr>
          <w:rFonts w:ascii="Arial" w:hAnsi="Arial" w:cs="Arial"/>
          <w:color w:val="000000"/>
          <w:sz w:val="22"/>
          <w:szCs w:val="22"/>
          <w:vertAlign w:val="superscript"/>
          <w:lang w:val="sr-Cyrl-RS"/>
        </w:rPr>
        <w:t>249</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Закони и прописи који се односе на родне аспекте у областима здравствене заштите и социјалне сигурности су: Закон о социјалној заштити</w:t>
      </w:r>
      <w:r w:rsidRPr="00EF008E">
        <w:rPr>
          <w:rFonts w:ascii="Arial" w:hAnsi="Arial" w:cs="Arial"/>
          <w:color w:val="000000"/>
          <w:sz w:val="22"/>
          <w:szCs w:val="22"/>
          <w:vertAlign w:val="superscript"/>
          <w:lang w:val="sr-Cyrl-RS"/>
        </w:rPr>
        <w:t>250</w:t>
      </w:r>
      <w:r w:rsidRPr="00EF008E">
        <w:rPr>
          <w:rFonts w:ascii="Arial" w:hAnsi="Arial" w:cs="Arial"/>
          <w:color w:val="000000"/>
          <w:sz w:val="22"/>
          <w:szCs w:val="22"/>
          <w:lang w:val="sr-Cyrl-RS"/>
        </w:rPr>
        <w:t>; Закон о здравственој заштити</w:t>
      </w:r>
      <w:r w:rsidRPr="00EF008E">
        <w:rPr>
          <w:rFonts w:ascii="Arial" w:hAnsi="Arial" w:cs="Arial"/>
          <w:color w:val="000000"/>
          <w:sz w:val="22"/>
          <w:szCs w:val="22"/>
          <w:vertAlign w:val="superscript"/>
          <w:lang w:val="sr-Cyrl-RS"/>
        </w:rPr>
        <w:t>251</w:t>
      </w:r>
      <w:r w:rsidRPr="00EF008E">
        <w:rPr>
          <w:rFonts w:ascii="Arial" w:hAnsi="Arial" w:cs="Arial"/>
          <w:color w:val="000000"/>
          <w:sz w:val="22"/>
          <w:szCs w:val="22"/>
          <w:lang w:val="sr-Cyrl-RS"/>
        </w:rPr>
        <w:t>; Закон о јавном здрављу</w:t>
      </w:r>
      <w:r w:rsidRPr="00EF008E">
        <w:rPr>
          <w:rFonts w:ascii="Arial" w:hAnsi="Arial" w:cs="Arial"/>
          <w:color w:val="000000"/>
          <w:sz w:val="22"/>
          <w:szCs w:val="22"/>
          <w:vertAlign w:val="superscript"/>
          <w:lang w:val="sr-Cyrl-RS"/>
        </w:rPr>
        <w:t>252</w:t>
      </w:r>
      <w:r w:rsidRPr="00EF008E">
        <w:rPr>
          <w:rFonts w:ascii="Arial" w:hAnsi="Arial" w:cs="Arial"/>
          <w:color w:val="000000"/>
          <w:sz w:val="22"/>
          <w:szCs w:val="22"/>
          <w:lang w:val="sr-Cyrl-RS"/>
        </w:rPr>
        <w:t>; Закон о здравственом осигурању</w:t>
      </w:r>
      <w:r w:rsidRPr="00EF008E">
        <w:rPr>
          <w:rFonts w:ascii="Arial" w:hAnsi="Arial" w:cs="Arial"/>
          <w:color w:val="000000"/>
          <w:sz w:val="22"/>
          <w:szCs w:val="22"/>
          <w:vertAlign w:val="superscript"/>
          <w:lang w:val="sr-Cyrl-RS"/>
        </w:rPr>
        <w:t>253</w:t>
      </w:r>
      <w:r w:rsidRPr="00EF008E">
        <w:rPr>
          <w:rFonts w:ascii="Arial" w:hAnsi="Arial" w:cs="Arial"/>
          <w:color w:val="000000"/>
          <w:sz w:val="22"/>
          <w:szCs w:val="22"/>
          <w:lang w:val="sr-Cyrl-RS"/>
        </w:rPr>
        <w:t>; Закон о правима пацијената</w:t>
      </w:r>
      <w:r w:rsidRPr="00EF008E">
        <w:rPr>
          <w:rFonts w:ascii="Arial" w:hAnsi="Arial" w:cs="Arial"/>
          <w:color w:val="000000"/>
          <w:sz w:val="22"/>
          <w:szCs w:val="22"/>
          <w:vertAlign w:val="superscript"/>
          <w:lang w:val="sr-Cyrl-RS"/>
        </w:rPr>
        <w:t>254</w:t>
      </w:r>
      <w:r w:rsidRPr="00EF008E">
        <w:rPr>
          <w:rFonts w:ascii="Arial" w:hAnsi="Arial" w:cs="Arial"/>
          <w:color w:val="000000"/>
          <w:sz w:val="22"/>
          <w:szCs w:val="22"/>
          <w:lang w:val="sr-Cyrl-RS"/>
        </w:rPr>
        <w:t>; Закон о поступку прекида трудноће у здравственим установама</w:t>
      </w:r>
      <w:r w:rsidRPr="00EF008E">
        <w:rPr>
          <w:rFonts w:ascii="Arial" w:hAnsi="Arial" w:cs="Arial"/>
          <w:color w:val="000000"/>
          <w:sz w:val="22"/>
          <w:szCs w:val="22"/>
          <w:vertAlign w:val="superscript"/>
          <w:lang w:val="sr-Cyrl-RS"/>
        </w:rPr>
        <w:t>255</w:t>
      </w:r>
      <w:r w:rsidRPr="00EF008E">
        <w:rPr>
          <w:rFonts w:ascii="Arial" w:hAnsi="Arial" w:cs="Arial"/>
          <w:color w:val="000000"/>
          <w:sz w:val="22"/>
          <w:szCs w:val="22"/>
          <w:lang w:val="sr-Cyrl-RS"/>
        </w:rPr>
        <w:t>; Закон о здравственој документацији и евиденцијама у области здравства</w:t>
      </w:r>
      <w:r w:rsidRPr="00EF008E">
        <w:rPr>
          <w:rFonts w:ascii="Arial" w:hAnsi="Arial" w:cs="Arial"/>
          <w:color w:val="000000"/>
          <w:sz w:val="22"/>
          <w:szCs w:val="22"/>
          <w:vertAlign w:val="superscript"/>
          <w:lang w:val="sr-Cyrl-RS"/>
        </w:rPr>
        <w:t>256</w:t>
      </w:r>
      <w:r w:rsidRPr="00EF008E">
        <w:rPr>
          <w:rFonts w:ascii="Arial" w:hAnsi="Arial" w:cs="Arial"/>
          <w:color w:val="000000"/>
          <w:sz w:val="22"/>
          <w:szCs w:val="22"/>
          <w:lang w:val="sr-Cyrl-RS"/>
        </w:rPr>
        <w:t>; Закон о финансијској подршци породици с децом</w:t>
      </w:r>
      <w:r w:rsidRPr="00EF008E">
        <w:rPr>
          <w:rFonts w:ascii="Arial" w:hAnsi="Arial" w:cs="Arial"/>
          <w:color w:val="000000"/>
          <w:sz w:val="22"/>
          <w:szCs w:val="22"/>
          <w:vertAlign w:val="superscript"/>
          <w:lang w:val="sr-Cyrl-RS"/>
        </w:rPr>
        <w:t>257</w:t>
      </w:r>
      <w:r w:rsidRPr="00EF008E">
        <w:rPr>
          <w:rFonts w:ascii="Arial" w:hAnsi="Arial" w:cs="Arial"/>
          <w:color w:val="000000"/>
          <w:sz w:val="22"/>
          <w:szCs w:val="22"/>
          <w:lang w:val="sr-Cyrl-RS"/>
        </w:rPr>
        <w:t>; Закон о пензијском и инвалидском осигурању</w:t>
      </w:r>
      <w:r w:rsidRPr="00EF008E">
        <w:rPr>
          <w:rFonts w:ascii="Arial" w:hAnsi="Arial" w:cs="Arial"/>
          <w:color w:val="000000"/>
          <w:sz w:val="22"/>
          <w:szCs w:val="22"/>
          <w:vertAlign w:val="superscript"/>
          <w:lang w:val="sr-Cyrl-RS"/>
        </w:rPr>
        <w:t>258</w:t>
      </w:r>
      <w:r w:rsidRPr="00EF008E">
        <w:rPr>
          <w:rFonts w:ascii="Arial" w:hAnsi="Arial" w:cs="Arial"/>
          <w:color w:val="000000"/>
          <w:sz w:val="22"/>
          <w:szCs w:val="22"/>
          <w:lang w:val="sr-Cyrl-RS"/>
        </w:rPr>
        <w:t>; Закон о становању и одржавању зграда</w:t>
      </w:r>
      <w:r w:rsidRPr="00EF008E">
        <w:rPr>
          <w:rFonts w:ascii="Arial" w:hAnsi="Arial" w:cs="Arial"/>
          <w:color w:val="000000"/>
          <w:sz w:val="22"/>
          <w:szCs w:val="22"/>
          <w:vertAlign w:val="superscript"/>
          <w:lang w:val="sr-Cyrl-RS"/>
        </w:rPr>
        <w:t>259</w:t>
      </w:r>
      <w:r w:rsidRPr="00EF008E">
        <w:rPr>
          <w:rFonts w:ascii="Arial" w:hAnsi="Arial" w:cs="Arial"/>
          <w:color w:val="000000"/>
          <w:sz w:val="22"/>
          <w:szCs w:val="22"/>
          <w:lang w:val="sr-Cyrl-RS"/>
        </w:rPr>
        <w:t>; Закон о заштити ваздуха</w:t>
      </w:r>
      <w:r w:rsidRPr="00EF008E">
        <w:rPr>
          <w:rFonts w:ascii="Arial" w:hAnsi="Arial" w:cs="Arial"/>
          <w:color w:val="000000"/>
          <w:sz w:val="22"/>
          <w:szCs w:val="22"/>
          <w:vertAlign w:val="superscript"/>
          <w:lang w:val="sr-Cyrl-RS"/>
        </w:rPr>
        <w:t>260</w:t>
      </w:r>
      <w:r w:rsidRPr="00EF008E">
        <w:rPr>
          <w:rFonts w:ascii="Arial" w:hAnsi="Arial" w:cs="Arial"/>
          <w:color w:val="000000"/>
          <w:sz w:val="22"/>
          <w:szCs w:val="22"/>
          <w:lang w:val="sr-Cyrl-RS"/>
        </w:rPr>
        <w:t>; Закон о заштити становништва од изложености дуванском диму</w:t>
      </w:r>
      <w:r w:rsidRPr="00EF008E">
        <w:rPr>
          <w:rFonts w:ascii="Arial" w:hAnsi="Arial" w:cs="Arial"/>
          <w:color w:val="000000"/>
          <w:sz w:val="22"/>
          <w:szCs w:val="22"/>
          <w:vertAlign w:val="superscript"/>
          <w:lang w:val="sr-Cyrl-RS"/>
        </w:rPr>
        <w:t>261</w:t>
      </w:r>
      <w:r w:rsidRPr="00EF008E">
        <w:rPr>
          <w:rFonts w:ascii="Arial" w:hAnsi="Arial" w:cs="Arial"/>
          <w:color w:val="000000"/>
          <w:sz w:val="22"/>
          <w:szCs w:val="22"/>
          <w:lang w:val="sr-Cyrl-RS"/>
        </w:rPr>
        <w:t>; Закон о друштвеној бризи о деци</w:t>
      </w:r>
      <w:r w:rsidRPr="00EF008E">
        <w:rPr>
          <w:rFonts w:ascii="Arial" w:hAnsi="Arial" w:cs="Arial"/>
          <w:color w:val="000000"/>
          <w:sz w:val="22"/>
          <w:szCs w:val="22"/>
          <w:vertAlign w:val="superscript"/>
          <w:lang w:val="sr-Cyrl-RS"/>
        </w:rPr>
        <w:t>262</w:t>
      </w:r>
      <w:r w:rsidRPr="00EF008E">
        <w:rPr>
          <w:rFonts w:ascii="Arial" w:hAnsi="Arial" w:cs="Arial"/>
          <w:color w:val="000000"/>
          <w:sz w:val="22"/>
          <w:szCs w:val="22"/>
          <w:lang w:val="sr-Cyrl-RS"/>
        </w:rPr>
        <w:t>; Правилник о ближим условима и стандардима за пружање услуга социјалне заштите</w:t>
      </w:r>
      <w:r w:rsidRPr="00EF008E">
        <w:rPr>
          <w:rFonts w:ascii="Arial" w:hAnsi="Arial" w:cs="Arial"/>
          <w:color w:val="000000"/>
          <w:sz w:val="22"/>
          <w:szCs w:val="22"/>
          <w:vertAlign w:val="superscript"/>
          <w:lang w:val="sr-Cyrl-RS"/>
        </w:rPr>
        <w:t>263</w:t>
      </w:r>
      <w:r w:rsidRPr="00EF008E">
        <w:rPr>
          <w:rFonts w:ascii="Arial" w:hAnsi="Arial" w:cs="Arial"/>
          <w:color w:val="000000"/>
          <w:sz w:val="22"/>
          <w:szCs w:val="22"/>
          <w:lang w:val="sr-Cyrl-RS"/>
        </w:rPr>
        <w:t>; Општи протокол о поступању и сарадњи установа, органа и организација у ситуацијама насиља над женама у породици и у партнерским односима</w:t>
      </w:r>
      <w:r w:rsidRPr="00EF008E">
        <w:rPr>
          <w:rFonts w:ascii="Arial" w:hAnsi="Arial" w:cs="Arial"/>
          <w:color w:val="000000"/>
          <w:sz w:val="22"/>
          <w:szCs w:val="22"/>
          <w:vertAlign w:val="superscript"/>
          <w:lang w:val="sr-Cyrl-RS"/>
        </w:rPr>
        <w:t>264</w:t>
      </w:r>
      <w:r w:rsidRPr="00EF008E">
        <w:rPr>
          <w:rFonts w:ascii="Arial" w:hAnsi="Arial" w:cs="Arial"/>
          <w:color w:val="000000"/>
          <w:sz w:val="22"/>
          <w:szCs w:val="22"/>
          <w:lang w:val="sr-Cyrl-RS"/>
        </w:rPr>
        <w:t>; Посебан протокол Министарства здравља за заштиту и поступање са женама које су изложене насиљу</w:t>
      </w:r>
      <w:r w:rsidRPr="00EF008E">
        <w:rPr>
          <w:rFonts w:ascii="Arial" w:hAnsi="Arial" w:cs="Arial"/>
          <w:color w:val="000000"/>
          <w:sz w:val="22"/>
          <w:szCs w:val="22"/>
          <w:vertAlign w:val="superscript"/>
          <w:lang w:val="sr-Cyrl-RS"/>
        </w:rPr>
        <w:t>265</w:t>
      </w:r>
      <w:r w:rsidRPr="00EF008E">
        <w:rPr>
          <w:rFonts w:ascii="Arial" w:hAnsi="Arial" w:cs="Arial"/>
          <w:color w:val="000000"/>
          <w:sz w:val="22"/>
          <w:szCs w:val="22"/>
          <w:lang w:val="sr-Cyrl-RS"/>
        </w:rPr>
        <w:t>; Посебан протокол о поступању центара за социјални рад, органа старатељства у случајевима насиља у породици и женама у партнерским односима</w:t>
      </w:r>
      <w:r w:rsidRPr="00EF008E">
        <w:rPr>
          <w:rFonts w:ascii="Arial" w:hAnsi="Arial" w:cs="Arial"/>
          <w:color w:val="000000"/>
          <w:sz w:val="22"/>
          <w:szCs w:val="22"/>
          <w:vertAlign w:val="superscript"/>
          <w:lang w:val="sr-Cyrl-RS"/>
        </w:rPr>
        <w:t>266</w:t>
      </w:r>
      <w:r w:rsidRPr="00EF008E">
        <w:rPr>
          <w:rFonts w:ascii="Arial" w:hAnsi="Arial" w:cs="Arial"/>
          <w:color w:val="000000"/>
          <w:sz w:val="22"/>
          <w:szCs w:val="22"/>
          <w:lang w:val="sr-Cyrl-RS"/>
        </w:rPr>
        <w:t xml:space="preserve"> и Правилник о протоколу поступања у установи у одговору на насиље, злостављање и занемаривање.</w:t>
      </w:r>
      <w:r w:rsidRPr="00EF008E">
        <w:rPr>
          <w:rFonts w:ascii="Arial" w:hAnsi="Arial" w:cs="Arial"/>
          <w:color w:val="000000"/>
          <w:sz w:val="22"/>
          <w:szCs w:val="22"/>
          <w:vertAlign w:val="superscript"/>
          <w:lang w:val="sr-Cyrl-RS"/>
        </w:rPr>
        <w:t>267</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Закони и прописи који се односе на институционални оквир и креирање родно одговорних јавних политика и буџета су: Закон о званичној статистици</w:t>
      </w:r>
      <w:r w:rsidRPr="00EF008E">
        <w:rPr>
          <w:rFonts w:ascii="Arial" w:hAnsi="Arial" w:cs="Arial"/>
          <w:color w:val="000000"/>
          <w:sz w:val="22"/>
          <w:szCs w:val="22"/>
          <w:vertAlign w:val="superscript"/>
          <w:lang w:val="sr-Cyrl-RS"/>
        </w:rPr>
        <w:t>268</w:t>
      </w:r>
      <w:r w:rsidRPr="00EF008E">
        <w:rPr>
          <w:rFonts w:ascii="Arial" w:hAnsi="Arial" w:cs="Arial"/>
          <w:color w:val="000000"/>
          <w:sz w:val="22"/>
          <w:szCs w:val="22"/>
          <w:lang w:val="sr-Cyrl-RS"/>
        </w:rPr>
        <w:t>; Закон о евиденцијама и обради података у области унутрашњих послова</w:t>
      </w:r>
      <w:r w:rsidRPr="00EF008E">
        <w:rPr>
          <w:rFonts w:ascii="Arial" w:hAnsi="Arial" w:cs="Arial"/>
          <w:color w:val="000000"/>
          <w:sz w:val="22"/>
          <w:szCs w:val="22"/>
          <w:vertAlign w:val="superscript"/>
          <w:lang w:val="sr-Cyrl-RS"/>
        </w:rPr>
        <w:t>269</w:t>
      </w:r>
      <w:r w:rsidRPr="00EF008E">
        <w:rPr>
          <w:rFonts w:ascii="Arial" w:hAnsi="Arial" w:cs="Arial"/>
          <w:color w:val="000000"/>
          <w:sz w:val="22"/>
          <w:szCs w:val="22"/>
          <w:lang w:val="sr-Cyrl-RS"/>
        </w:rPr>
        <w:t>; Закон о здравственој документацији и евиденцијама у области здравства</w:t>
      </w:r>
      <w:r w:rsidRPr="00EF008E">
        <w:rPr>
          <w:rFonts w:ascii="Arial" w:hAnsi="Arial" w:cs="Arial"/>
          <w:color w:val="000000"/>
          <w:sz w:val="22"/>
          <w:szCs w:val="22"/>
          <w:vertAlign w:val="superscript"/>
          <w:lang w:val="sr-Cyrl-RS"/>
        </w:rPr>
        <w:t>270</w:t>
      </w:r>
      <w:r w:rsidRPr="00EF008E">
        <w:rPr>
          <w:rFonts w:ascii="Arial" w:hAnsi="Arial" w:cs="Arial"/>
          <w:color w:val="000000"/>
          <w:sz w:val="22"/>
          <w:szCs w:val="22"/>
          <w:lang w:val="sr-Cyrl-RS"/>
        </w:rPr>
        <w:t>; Закон о буџетском систему</w:t>
      </w:r>
      <w:r w:rsidRPr="00EF008E">
        <w:rPr>
          <w:rFonts w:ascii="Arial" w:hAnsi="Arial" w:cs="Arial"/>
          <w:color w:val="000000"/>
          <w:sz w:val="22"/>
          <w:szCs w:val="22"/>
          <w:vertAlign w:val="superscript"/>
          <w:lang w:val="sr-Cyrl-RS"/>
        </w:rPr>
        <w:t>271</w:t>
      </w:r>
      <w:r w:rsidRPr="00EF008E">
        <w:rPr>
          <w:rFonts w:ascii="Arial" w:hAnsi="Arial" w:cs="Arial"/>
          <w:color w:val="000000"/>
          <w:sz w:val="22"/>
          <w:szCs w:val="22"/>
          <w:lang w:val="sr-Cyrl-RS"/>
        </w:rPr>
        <w:t>; Закон о буџету РС за 2021. годину</w:t>
      </w:r>
      <w:r w:rsidRPr="00EF008E">
        <w:rPr>
          <w:rFonts w:ascii="Arial" w:hAnsi="Arial" w:cs="Arial"/>
          <w:color w:val="000000"/>
          <w:sz w:val="22"/>
          <w:szCs w:val="22"/>
          <w:vertAlign w:val="superscript"/>
          <w:lang w:val="sr-Cyrl-RS"/>
        </w:rPr>
        <w:t>272</w:t>
      </w:r>
      <w:r w:rsidRPr="00EF008E">
        <w:rPr>
          <w:rFonts w:ascii="Arial" w:hAnsi="Arial" w:cs="Arial"/>
          <w:color w:val="000000"/>
          <w:sz w:val="22"/>
          <w:szCs w:val="22"/>
          <w:lang w:val="sr-Cyrl-RS"/>
        </w:rPr>
        <w:t>; Закон о Влади</w:t>
      </w:r>
      <w:r w:rsidRPr="00EF008E">
        <w:rPr>
          <w:rFonts w:ascii="Arial" w:hAnsi="Arial" w:cs="Arial"/>
          <w:color w:val="000000"/>
          <w:sz w:val="22"/>
          <w:szCs w:val="22"/>
          <w:vertAlign w:val="superscript"/>
          <w:lang w:val="sr-Cyrl-RS"/>
        </w:rPr>
        <w:t>273</w:t>
      </w:r>
      <w:r w:rsidRPr="00EF008E">
        <w:rPr>
          <w:rFonts w:ascii="Arial" w:hAnsi="Arial" w:cs="Arial"/>
          <w:color w:val="000000"/>
          <w:sz w:val="22"/>
          <w:szCs w:val="22"/>
          <w:lang w:val="sr-Cyrl-RS"/>
        </w:rPr>
        <w:t>; Закон о министарствима</w:t>
      </w:r>
      <w:r w:rsidRPr="00EF008E">
        <w:rPr>
          <w:rFonts w:ascii="Arial" w:hAnsi="Arial" w:cs="Arial"/>
          <w:color w:val="000000"/>
          <w:sz w:val="22"/>
          <w:szCs w:val="22"/>
          <w:vertAlign w:val="superscript"/>
          <w:lang w:val="sr-Cyrl-RS"/>
        </w:rPr>
        <w:t>274</w:t>
      </w:r>
      <w:r w:rsidRPr="00EF008E">
        <w:rPr>
          <w:rFonts w:ascii="Arial" w:hAnsi="Arial" w:cs="Arial"/>
          <w:color w:val="000000"/>
          <w:sz w:val="22"/>
          <w:szCs w:val="22"/>
          <w:lang w:val="sr-Cyrl-RS"/>
        </w:rPr>
        <w:t>; Закон о утврђивању надлежности АПВ</w:t>
      </w:r>
      <w:r w:rsidRPr="00EF008E">
        <w:rPr>
          <w:rFonts w:ascii="Arial" w:hAnsi="Arial" w:cs="Arial"/>
          <w:color w:val="000000"/>
          <w:sz w:val="22"/>
          <w:szCs w:val="22"/>
          <w:vertAlign w:val="superscript"/>
          <w:lang w:val="sr-Cyrl-RS"/>
        </w:rPr>
        <w:t>275</w:t>
      </w:r>
      <w:r w:rsidRPr="00EF008E">
        <w:rPr>
          <w:rFonts w:ascii="Arial" w:hAnsi="Arial" w:cs="Arial"/>
          <w:color w:val="000000"/>
          <w:sz w:val="22"/>
          <w:szCs w:val="22"/>
          <w:lang w:val="sr-Cyrl-RS"/>
        </w:rPr>
        <w:t>; Закон о локалној самоуправи</w:t>
      </w:r>
      <w:r w:rsidRPr="00EF008E">
        <w:rPr>
          <w:rFonts w:ascii="Arial" w:hAnsi="Arial" w:cs="Arial"/>
          <w:color w:val="000000"/>
          <w:sz w:val="22"/>
          <w:szCs w:val="22"/>
          <w:vertAlign w:val="superscript"/>
          <w:lang w:val="sr-Cyrl-RS"/>
        </w:rPr>
        <w:t>276</w:t>
      </w:r>
      <w:r w:rsidRPr="00EF008E">
        <w:rPr>
          <w:rFonts w:ascii="Arial" w:hAnsi="Arial" w:cs="Arial"/>
          <w:color w:val="000000"/>
          <w:sz w:val="22"/>
          <w:szCs w:val="22"/>
          <w:lang w:val="sr-Cyrl-RS"/>
        </w:rPr>
        <w:t xml:space="preserve"> и Одлука о оснивању Координационог тела за родну равноправност.</w:t>
      </w:r>
      <w:r w:rsidRPr="00EF008E">
        <w:rPr>
          <w:rFonts w:ascii="Arial" w:hAnsi="Arial" w:cs="Arial"/>
          <w:color w:val="000000"/>
          <w:sz w:val="22"/>
          <w:szCs w:val="22"/>
          <w:vertAlign w:val="superscript"/>
          <w:lang w:val="sr-Cyrl-RS"/>
        </w:rPr>
        <w:t>277</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Закони и прописи који се односе на рањиве групе, а који су релевантни за све области обухваћене овом стратегијом су: Закон о младима</w:t>
      </w:r>
      <w:r w:rsidRPr="00EF008E">
        <w:rPr>
          <w:rFonts w:ascii="Arial" w:hAnsi="Arial" w:cs="Arial"/>
          <w:color w:val="000000"/>
          <w:sz w:val="22"/>
          <w:szCs w:val="22"/>
          <w:vertAlign w:val="superscript"/>
          <w:lang w:val="sr-Cyrl-RS"/>
        </w:rPr>
        <w:t>278</w:t>
      </w:r>
      <w:r w:rsidRPr="00EF008E">
        <w:rPr>
          <w:rFonts w:ascii="Arial" w:hAnsi="Arial" w:cs="Arial"/>
          <w:color w:val="000000"/>
          <w:sz w:val="22"/>
          <w:szCs w:val="22"/>
          <w:lang w:val="sr-Cyrl-RS"/>
        </w:rPr>
        <w:t>; Закон о заштити права и слобода националних мањина</w:t>
      </w:r>
      <w:r w:rsidRPr="00EF008E">
        <w:rPr>
          <w:rFonts w:ascii="Arial" w:hAnsi="Arial" w:cs="Arial"/>
          <w:color w:val="000000"/>
          <w:sz w:val="22"/>
          <w:szCs w:val="22"/>
          <w:vertAlign w:val="superscript"/>
          <w:lang w:val="sr-Cyrl-RS"/>
        </w:rPr>
        <w:t>279</w:t>
      </w:r>
      <w:r w:rsidRPr="00EF008E">
        <w:rPr>
          <w:rFonts w:ascii="Arial" w:hAnsi="Arial" w:cs="Arial"/>
          <w:color w:val="000000"/>
          <w:sz w:val="22"/>
          <w:szCs w:val="22"/>
          <w:lang w:val="sr-Cyrl-RS"/>
        </w:rPr>
        <w:t>; Закон о националним саветима националних мањина</w:t>
      </w:r>
      <w:r w:rsidRPr="00EF008E">
        <w:rPr>
          <w:rFonts w:ascii="Arial" w:hAnsi="Arial" w:cs="Arial"/>
          <w:color w:val="000000"/>
          <w:sz w:val="22"/>
          <w:szCs w:val="22"/>
          <w:vertAlign w:val="superscript"/>
          <w:lang w:val="sr-Cyrl-RS"/>
        </w:rPr>
        <w:t>280</w:t>
      </w:r>
      <w:r w:rsidRPr="00EF008E">
        <w:rPr>
          <w:rFonts w:ascii="Arial" w:hAnsi="Arial" w:cs="Arial"/>
          <w:color w:val="000000"/>
          <w:sz w:val="22"/>
          <w:szCs w:val="22"/>
          <w:lang w:val="sr-Cyrl-RS"/>
        </w:rPr>
        <w:t>; Закон о спречавању дискриминације особа са инвалидитетом</w:t>
      </w:r>
      <w:r w:rsidRPr="00EF008E">
        <w:rPr>
          <w:rFonts w:ascii="Arial" w:hAnsi="Arial" w:cs="Arial"/>
          <w:color w:val="000000"/>
          <w:sz w:val="22"/>
          <w:szCs w:val="22"/>
          <w:vertAlign w:val="superscript"/>
          <w:lang w:val="sr-Cyrl-RS"/>
        </w:rPr>
        <w:t>281</w:t>
      </w:r>
      <w:r w:rsidRPr="00EF008E">
        <w:rPr>
          <w:rFonts w:ascii="Arial" w:hAnsi="Arial" w:cs="Arial"/>
          <w:color w:val="000000"/>
          <w:sz w:val="22"/>
          <w:szCs w:val="22"/>
          <w:lang w:val="sr-Cyrl-RS"/>
        </w:rPr>
        <w:t>; Закон о професионалној рехабилитацији и запошљавању особа са инвалидитетом</w:t>
      </w:r>
      <w:r w:rsidRPr="00EF008E">
        <w:rPr>
          <w:rFonts w:ascii="Arial" w:hAnsi="Arial" w:cs="Arial"/>
          <w:color w:val="000000"/>
          <w:sz w:val="22"/>
          <w:szCs w:val="22"/>
          <w:vertAlign w:val="superscript"/>
          <w:lang w:val="sr-Cyrl-RS"/>
        </w:rPr>
        <w:t>282</w:t>
      </w:r>
      <w:r w:rsidRPr="00EF008E">
        <w:rPr>
          <w:rFonts w:ascii="Arial" w:hAnsi="Arial" w:cs="Arial"/>
          <w:color w:val="000000"/>
          <w:sz w:val="22"/>
          <w:szCs w:val="22"/>
          <w:lang w:val="sr-Cyrl-RS"/>
        </w:rPr>
        <w:t>; Закон о посебним мерама за спречавање вршења кривичних дела против полне слободе према малолетним лицима</w:t>
      </w:r>
      <w:r w:rsidRPr="00EF008E">
        <w:rPr>
          <w:rFonts w:ascii="Arial" w:hAnsi="Arial" w:cs="Arial"/>
          <w:color w:val="000000"/>
          <w:sz w:val="22"/>
          <w:szCs w:val="22"/>
          <w:vertAlign w:val="superscript"/>
          <w:lang w:val="sr-Cyrl-RS"/>
        </w:rPr>
        <w:t>283</w:t>
      </w:r>
      <w:r w:rsidRPr="00EF008E">
        <w:rPr>
          <w:rFonts w:ascii="Arial" w:hAnsi="Arial" w:cs="Arial"/>
          <w:color w:val="000000"/>
          <w:sz w:val="22"/>
          <w:szCs w:val="22"/>
          <w:lang w:val="sr-Cyrl-RS"/>
        </w:rPr>
        <w:t>; Закон о азилу и привременој заштити</w:t>
      </w:r>
      <w:r w:rsidRPr="00EF008E">
        <w:rPr>
          <w:rFonts w:ascii="Arial" w:hAnsi="Arial" w:cs="Arial"/>
          <w:color w:val="000000"/>
          <w:sz w:val="22"/>
          <w:szCs w:val="22"/>
          <w:vertAlign w:val="superscript"/>
          <w:lang w:val="sr-Cyrl-RS"/>
        </w:rPr>
        <w:t>284</w:t>
      </w:r>
      <w:r w:rsidRPr="00EF008E">
        <w:rPr>
          <w:rFonts w:ascii="Arial" w:hAnsi="Arial" w:cs="Arial"/>
          <w:color w:val="000000"/>
          <w:sz w:val="22"/>
          <w:szCs w:val="22"/>
          <w:lang w:val="sr-Cyrl-RS"/>
        </w:rPr>
        <w:t>; Закон о употреби знаковног језика</w:t>
      </w:r>
      <w:r w:rsidRPr="00EF008E">
        <w:rPr>
          <w:rFonts w:ascii="Arial" w:hAnsi="Arial" w:cs="Arial"/>
          <w:color w:val="000000"/>
          <w:sz w:val="22"/>
          <w:szCs w:val="22"/>
          <w:vertAlign w:val="superscript"/>
          <w:lang w:val="sr-Cyrl-RS"/>
        </w:rPr>
        <w:t>285</w:t>
      </w:r>
      <w:r w:rsidRPr="00EF008E">
        <w:rPr>
          <w:rFonts w:ascii="Arial" w:hAnsi="Arial" w:cs="Arial"/>
          <w:color w:val="000000"/>
          <w:sz w:val="22"/>
          <w:szCs w:val="22"/>
          <w:lang w:val="sr-Cyrl-RS"/>
        </w:rPr>
        <w:t>; Одлука РИК о процени приступачности бирачких места у РС (2019)</w:t>
      </w:r>
      <w:r w:rsidRPr="00EF008E">
        <w:rPr>
          <w:rFonts w:ascii="Arial" w:hAnsi="Arial" w:cs="Arial"/>
          <w:color w:val="000000"/>
          <w:sz w:val="22"/>
          <w:szCs w:val="22"/>
          <w:vertAlign w:val="superscript"/>
          <w:lang w:val="sr-Cyrl-RS"/>
        </w:rPr>
        <w:t>286</w:t>
      </w:r>
      <w:r w:rsidRPr="00EF008E">
        <w:rPr>
          <w:rFonts w:ascii="Arial" w:hAnsi="Arial" w:cs="Arial"/>
          <w:color w:val="000000"/>
          <w:sz w:val="22"/>
          <w:szCs w:val="22"/>
          <w:lang w:val="sr-Cyrl-RS"/>
        </w:rPr>
        <w:t>; Препорука Савета РЕМ о већој доступности садржаја особама са инвалидитетом (2019)</w:t>
      </w:r>
      <w:r w:rsidRPr="00EF008E">
        <w:rPr>
          <w:rFonts w:ascii="Arial" w:hAnsi="Arial" w:cs="Arial"/>
          <w:color w:val="000000"/>
          <w:sz w:val="22"/>
          <w:szCs w:val="22"/>
          <w:vertAlign w:val="superscript"/>
          <w:lang w:val="sr-Cyrl-RS"/>
        </w:rPr>
        <w:t>287</w:t>
      </w:r>
      <w:r w:rsidRPr="00EF008E">
        <w:rPr>
          <w:rFonts w:ascii="Arial" w:hAnsi="Arial" w:cs="Arial"/>
          <w:color w:val="000000"/>
          <w:sz w:val="22"/>
          <w:szCs w:val="22"/>
          <w:lang w:val="sr-Cyrl-RS"/>
        </w:rPr>
        <w:t xml:space="preserve"> и Препорука Савета РЕМ о начину коришћења титлова и знаковног језика.</w:t>
      </w:r>
      <w:r w:rsidRPr="00EF008E">
        <w:rPr>
          <w:rFonts w:ascii="Arial" w:hAnsi="Arial" w:cs="Arial"/>
          <w:color w:val="000000"/>
          <w:sz w:val="22"/>
          <w:szCs w:val="22"/>
          <w:vertAlign w:val="superscript"/>
          <w:lang w:val="sr-Cyrl-RS"/>
        </w:rPr>
        <w:t>288</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162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98/06.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163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22/09 и 52/21.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164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52/21.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165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гласник СФРЈ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 11/81 и 5/14.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166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 12/13 и 4/14.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167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94/16.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168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33/06 и 13/16.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169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30/18.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170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171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172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55/05, 71/05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101/07, 65/08, 16/11, 68/12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72/12, 7/14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44/14 и 30/18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173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128/20.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174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99/09, 67/12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и 18/20.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175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129/07, 83/14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101/2016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47/18.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176 Доступно на: https://rsjp.gov.rs/wp-content/uploads/Agenda-UN-2030.pdf приступ 10.5.2021.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177</w:t>
      </w:r>
      <w:r w:rsidRPr="00EF008E">
        <w:rPr>
          <w:rFonts w:ascii="Arial" w:hAnsi="Arial" w:cs="Arial"/>
          <w:i/>
          <w:color w:val="000000"/>
          <w:sz w:val="22"/>
          <w:szCs w:val="22"/>
          <w:lang w:val="sr-Cyrl-RS"/>
        </w:rPr>
        <w:tab/>
        <w:t>Доступно на https://www.rs.undp.org/content/serbia/sr/home/sustainable-development-goals/goal-5-gender-equality.html приступ 10. 5.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178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135/04, 36/09, 36/09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72/09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43/11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14/16, 76/18,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179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36/09, 88/10, 91/10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14/16,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71/21.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30/10, 93/12, 101/16 и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62/06, 65/08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41/09, 112/15, 80/17 и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30/10, 93/12, 89/15 и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101/15,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40/21.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36/09, 10/13 и 26/21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36/09, 88/10, 14/16 и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26/21.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135/04 и 25/15.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25/13 и 40/21.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189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135/04 и 36/09.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135/04 и 88/10.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36/09, 88/10, 92/11, 93/12 и 25/15.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36/09, 88/10, 92/11 и 25/15.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72/09, 81/09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64/10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24/11, 121/12, 42/13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50/13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98/13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132/14, 145/14, 83/18, 31/19, 37/19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9/20.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41/09, 10/13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101/16.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10/13, 142/14, 103/15 и 101/16.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99/11, 113/17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95/18 и 66/19.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24/05, 61/05, 54/09, 32/13, 75/14, 13/17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113/17, 95/2018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аутентично тумачење.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50/18.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199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86/19.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27/18 и 6/20.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36/09 и 32/13.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128/14, 113/17, 50/18 и 31/19.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145/14,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закони и 40/21.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88/17, 27/18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10/19, 27/18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6/20.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18/10, 101/17, 113/17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10/19, 86/19, 157/20.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55/13, 101/17, 10/19 и 27/18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55/13, 101/17, 27/18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6/20.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209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101/2017, 6/2020.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210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88/17, 73/18, 27/18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67/19 и 6/20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211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55/13, 88/17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27/18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6/20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212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49/19.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213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81/17.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214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22/16.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215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80/18. Доступно на: https://www.paragraf.rs/propisi/pravilnik-dodatnoj-obrazovnoj-zdravstvenoj-socijalnoj-podrsci.html</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216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70/18. Доступно на: https://www.pravno-informacioni-sistem.rs/SlGlasnikPortal/eli/rep/sgrs/ministarstva/pravilnik/2018/70/1/reg</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217</w:t>
      </w:r>
      <w:r w:rsidRPr="00EF008E">
        <w:rPr>
          <w:rFonts w:ascii="Arial" w:hAnsi="Arial" w:cs="Arial"/>
          <w:i/>
          <w:color w:val="000000"/>
          <w:sz w:val="22"/>
          <w:szCs w:val="22"/>
          <w:lang w:val="sr-Cyrl-RS"/>
        </w:rPr>
        <w:tab/>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87/19. Доступно на: https://www.pravno-informacioni-sistem.rs/SlGlasnikPortal/eli/rep/sgrs/ministarstva/pravilnik/2019/87/14/reg</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218</w:t>
      </w:r>
      <w:r w:rsidRPr="00EF008E">
        <w:rPr>
          <w:rFonts w:ascii="Arial" w:hAnsi="Arial" w:cs="Arial"/>
          <w:i/>
          <w:color w:val="000000"/>
          <w:sz w:val="22"/>
          <w:szCs w:val="22"/>
          <w:lang w:val="sr-Cyrl-RS"/>
        </w:rPr>
        <w:tab/>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36/19. Доступно на: http://www.pravno-informacioni-sistem.rs/SlGlasnikPortal/eli/rep/sgrs/ministarstva/pravilnik/2019/36/2/reg</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219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83/14, 58/15, и 12/16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аутентично тумачење.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18/05, 72/11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6/15.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72/11, 49/13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74/13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55/14, 87/18, 18/20, 27/21 и 62/21.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85/05, 88/05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107/05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72/09, 111/09, 121/12, 104/13, 108/14 и 94/16.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72/11, 101/11, 121/12, 32/13, 45/13, 55/14 и 35/19.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6/16, 24/18 и 87/18.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20/15, 10/19 и 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6/16 и 24/18.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55/14 и 35/19.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229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20/09.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230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24/18 и 31/19.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231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25/05.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232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85/05.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233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41/19.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234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62/18.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235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236</w:t>
      </w:r>
      <w:r w:rsidRPr="00EF008E">
        <w:rPr>
          <w:rFonts w:ascii="Arial" w:hAnsi="Arial" w:cs="Arial"/>
          <w:i/>
          <w:color w:val="000000"/>
          <w:sz w:val="22"/>
          <w:szCs w:val="22"/>
          <w:lang w:val="sr-Cyrl-RS"/>
        </w:rPr>
        <w:tab/>
        <w:t>Доступно на: https://www.minrzs.gov.rs/sites/default/files/2018-11/Opsti%20protokol%20nasilje%20u%20porodici.pdf приступ 10. 5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237</w:t>
      </w:r>
      <w:r w:rsidRPr="00EF008E">
        <w:rPr>
          <w:rFonts w:ascii="Arial" w:hAnsi="Arial" w:cs="Arial"/>
          <w:i/>
          <w:color w:val="000000"/>
          <w:sz w:val="22"/>
          <w:szCs w:val="22"/>
          <w:lang w:val="sr-Cyrl-RS"/>
        </w:rPr>
        <w:tab/>
        <w:t>Доступно на: https://www.paragraf.rs/propisi/posebni_protokol_o_postupanju_ policijskih_sluzbenika_ u_ zastiti maloletnih_lica_od_zlostavljanja_i_zanemarivanja.html приступ 10. 5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238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239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31/11 и 24/12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116/08, 104/09, 101/10, 78/11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01/11, 38/12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121/12, 101/13, 111/14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117/14, 106/15 и 63/16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116/08, 104/09, 101/10, 31/11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78/11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101/11, 101/13, 10/15, 106/15, 13/16, 108/16, 113/17, 65/18, 87/18 и 88/18.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79/05 и 54/07.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101/213.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109/07, 99/11, 18/13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Одлука УС, 40/15 и 103/15.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35/00, 57/03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72/03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18/04, 101/05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69/07, 28/11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36/11, 12/20 и 68/20.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129/07, 34/10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54/11, 12/20, 16/20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аутентично тумачење и 68/20).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36/09 и 61/15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249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95/18 и 10/19.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250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24/11.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251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Службени гласник РС, број 25/19.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252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15/16.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253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25/19.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254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45/13, 105/17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25/19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255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16/95 и 101/05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256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123/14, 106/15, 105/17 и 25/19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257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113/17, 50/18, 46/21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51/21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53/21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и 66/21.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258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34/03, 64/04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УСРС, 84/04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85/05, 101/05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63/06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5/09, 107/09, 101/10, 93/12, 62/13, 108/13, 75/14, 142/14, 73/18, 46/19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86/19 и 62/21.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259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104/16 и 9/20.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260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36/09, 10/13 и 26/21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261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30/10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262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49/92, 29/93, 53/93, 67/93, 28/94, 47/94, 48/94, 25/96, 29/01, 16/02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62/03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101/05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18/10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113 /17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263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42/13, 89/18 и 73/19.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264</w:t>
      </w:r>
      <w:r w:rsidRPr="00EF008E">
        <w:rPr>
          <w:rFonts w:ascii="Arial" w:hAnsi="Arial" w:cs="Arial"/>
          <w:i/>
          <w:color w:val="000000"/>
          <w:sz w:val="22"/>
          <w:szCs w:val="22"/>
          <w:lang w:val="sr-Cyrl-RS"/>
        </w:rPr>
        <w:tab/>
        <w:t>Доступно на: https://www.minrzs.gov.rs/sites/default/files/2018-11/Opsti%20protokol%20nasilje%20u%20porodici.pdf приступ 10.5.2021.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265</w:t>
      </w:r>
      <w:r w:rsidRPr="00EF008E">
        <w:rPr>
          <w:rFonts w:ascii="Arial" w:hAnsi="Arial" w:cs="Arial"/>
          <w:i/>
          <w:color w:val="000000"/>
          <w:sz w:val="22"/>
          <w:szCs w:val="22"/>
          <w:lang w:val="sr-Cyrl-RS"/>
        </w:rPr>
        <w:tab/>
        <w:t>Доступно на: https://www.minrzs.gov.rs/sites/default/files/2018-11/Posebni%20protokol%20zdravlje.pdf приступ 10. 5.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266</w:t>
      </w:r>
      <w:r w:rsidRPr="00EF008E">
        <w:rPr>
          <w:rFonts w:ascii="Arial" w:hAnsi="Arial" w:cs="Arial"/>
          <w:i/>
          <w:color w:val="000000"/>
          <w:sz w:val="22"/>
          <w:szCs w:val="22"/>
          <w:lang w:val="sr-Cyrl-RS"/>
        </w:rPr>
        <w:tab/>
        <w:t>Доступно на: http://www.zavodsz.gov.rs/sr/resurs-centar/propisi-od-zna%C4%8Daja-za-socijalnu-za%C5%A1titu/ostali-propisi/ приступ 10.5.2021.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267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46/19 и 104/20.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268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104/09.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269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24/18.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123/14, 106/15, 105/17 и 25/19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54/09, 73/10, 101/10, 101/11, 93/12, 62/13, 63/13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108/13, 142/14, 68/15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103/15, 99/16, 113/17, 95/18, 31/19, 72/19 и 149/20.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149/20 и 40/21.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55/05, 71/05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101/07, 65/08, 16/11, 68/12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72/12, 7/14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44/14 и 30/18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128/20.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99/09, 67/12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18/20 и 47/18.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129/07, 83/14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101/16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121/14, 147/14, 32/15, 37/15, 5/16 и 91/16 од 5. новембра 2014, 147 од 31. децембра 2014, 32 од 3. априла 2015, 37 од 24. априла 2015, 5 од 25. јануара 2016, 91 од 10. новембра 2016.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50/11.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279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лист СРЈ</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број 11/02,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лист СЦГ</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број 1/03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Уставна повеља и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број 72/09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97/13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и 47/18.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280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72/09, 20/14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55/14 и 47/18.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281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33/06 и 13/16.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282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36/09 и 32/13.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283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32/13.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284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24/18.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285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38/15.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286</w:t>
      </w:r>
      <w:r w:rsidRPr="00EF008E">
        <w:rPr>
          <w:rFonts w:ascii="Arial" w:hAnsi="Arial" w:cs="Arial"/>
          <w:i/>
          <w:color w:val="000000"/>
          <w:sz w:val="22"/>
          <w:szCs w:val="22"/>
          <w:lang w:val="sr-Cyrl-RS"/>
        </w:rPr>
        <w:tab/>
        <w:t>Доступно на: https://www.rik.parlament.gov.rs/extfile/sr/339/Odluka%20o%20pristupacnosti%20bm.pdf приступ 14.5.2021.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287</w:t>
      </w:r>
      <w:r w:rsidRPr="00EF008E">
        <w:rPr>
          <w:rFonts w:ascii="Arial" w:hAnsi="Arial" w:cs="Arial"/>
          <w:i/>
          <w:color w:val="000000"/>
          <w:sz w:val="22"/>
          <w:szCs w:val="22"/>
          <w:lang w:val="sr-Cyrl-RS"/>
        </w:rPr>
        <w:tab/>
        <w:t>Доступно на: https://www.rik.parlament.gov.rs/extfile/sr/428/Preporuka%20o%20vecoj%20dostupnosti%20programskih%20sadrzaja%20osobama%20sa%20invalidetom.pdf приступљено 14.5.2021.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288</w:t>
      </w:r>
      <w:r w:rsidRPr="00EF008E">
        <w:rPr>
          <w:rFonts w:ascii="Arial" w:hAnsi="Arial" w:cs="Arial"/>
          <w:i/>
          <w:color w:val="000000"/>
          <w:sz w:val="22"/>
          <w:szCs w:val="22"/>
          <w:lang w:val="sr-Cyrl-RS"/>
        </w:rPr>
        <w:tab/>
        <w:t>Доступно на: https://www.rik.parlament.gov.rs/extfile/sr/425/8256-Preporuka%20titlovi%20i%20znakovni%20jezik.pdf приступ 14.5.2021.</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2. АНАЛИЗА ЕФЕКАТА ОСТВАРЕНИХ СПРОВОЂЕЊЕМ ПРЕТХОДНИХ ПЛАНСКИХ ДОКУМЕНАТА ЈАВНЕ ПОЛИТИКЕ У ОБЛАСТИ РОДНЕ РАВНОПРАВНОСТИ</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2.1. Анализа ефеката Националне стратегије за родну равноправност за период 2016</w:t>
      </w:r>
      <w:r>
        <w:rPr>
          <w:rFonts w:ascii="Arial" w:hAnsi="Arial" w:cs="Arial"/>
          <w:b/>
          <w:color w:val="000000"/>
          <w:sz w:val="22"/>
          <w:szCs w:val="22"/>
          <w:lang w:val="sr-Cyrl-RS"/>
        </w:rPr>
        <w:t>-</w:t>
      </w:r>
      <w:r w:rsidRPr="00EF008E">
        <w:rPr>
          <w:rFonts w:ascii="Arial" w:hAnsi="Arial" w:cs="Arial"/>
          <w:b/>
          <w:color w:val="000000"/>
          <w:sz w:val="22"/>
          <w:szCs w:val="22"/>
          <w:lang w:val="sr-Cyrl-RS"/>
        </w:rPr>
        <w:t>2020.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Процес унапређења родне равноправности је настављен упркос томе што АП за примену Националне стратегије за родну равноправност за период 2018</w:t>
      </w:r>
      <w:r>
        <w:rPr>
          <w:rFonts w:ascii="Arial" w:hAnsi="Arial" w:cs="Arial"/>
          <w:color w:val="000000"/>
          <w:sz w:val="22"/>
          <w:szCs w:val="22"/>
          <w:lang w:val="sr-Cyrl-RS"/>
        </w:rPr>
        <w:t>-</w:t>
      </w:r>
      <w:r w:rsidRPr="00EF008E">
        <w:rPr>
          <w:rFonts w:ascii="Arial" w:hAnsi="Arial" w:cs="Arial"/>
          <w:color w:val="000000"/>
          <w:sz w:val="22"/>
          <w:szCs w:val="22"/>
          <w:lang w:val="sr-Cyrl-RS"/>
        </w:rPr>
        <w:t>2020. није усвојен, као и ванредним приликама изазваним епидемијом COVID-19</w:t>
      </w:r>
      <w:r w:rsidRPr="00EF008E">
        <w:rPr>
          <w:rFonts w:ascii="Arial" w:hAnsi="Arial" w:cs="Arial"/>
          <w:color w:val="000000"/>
          <w:sz w:val="22"/>
          <w:szCs w:val="22"/>
          <w:vertAlign w:val="superscript"/>
          <w:lang w:val="sr-Cyrl-RS"/>
        </w:rPr>
        <w:t>289</w:t>
      </w:r>
      <w:r w:rsidRPr="00EF008E">
        <w:rPr>
          <w:rFonts w:ascii="Arial" w:hAnsi="Arial" w:cs="Arial"/>
          <w:color w:val="000000"/>
          <w:sz w:val="22"/>
          <w:szCs w:val="22"/>
          <w:lang w:val="sr-Cyrl-RS"/>
        </w:rPr>
        <w:t>. И у овим околностима на наставак процеса унапређења родне равноправности утицало је више фактора: континуитет активности посебно у областима у којима су у претходном периоду активности ефикасно покренуте; комбинација различитих облика и начина деловања; широка и континуирана мобилизација и висока посвећеност различитих актера који учествују у имплементацији; солидан нормативни оквир; рад на институционализацији и примени стандарда у пракси; кохерентност и конзистентност активности; поступно препознавање родне равноправности као приоритетне области од националног значаја; садржинска повезаност са реформама везаним за Агенду 2030 и процесом ЕУ интеграција.</w:t>
      </w:r>
      <w:r w:rsidRPr="00EF008E">
        <w:rPr>
          <w:rFonts w:ascii="Arial" w:hAnsi="Arial" w:cs="Arial"/>
          <w:color w:val="000000"/>
          <w:sz w:val="22"/>
          <w:szCs w:val="22"/>
          <w:vertAlign w:val="superscript"/>
          <w:lang w:val="sr-Cyrl-RS"/>
        </w:rPr>
        <w:t>290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Генерално посматрано, примена претходне Националне стратегије за родну равноправност била је најефектнија када се ради о системском увођењу родне перспективе у доношење, спровођење и праћење јавних политика, програма и буџета у којој су започети процеси значајни за унапређење родне равноправности, упркос томе што се нису одвијали увек жељеном динамиком. Позитивни помаци</w:t>
      </w:r>
      <w:r w:rsidRPr="00EF008E">
        <w:rPr>
          <w:rFonts w:ascii="Arial" w:hAnsi="Arial" w:cs="Arial"/>
          <w:color w:val="000000"/>
          <w:sz w:val="22"/>
          <w:szCs w:val="22"/>
          <w:vertAlign w:val="superscript"/>
          <w:lang w:val="sr-Cyrl-RS"/>
        </w:rPr>
        <w:t>291</w:t>
      </w:r>
      <w:r w:rsidRPr="00EF008E">
        <w:rPr>
          <w:rFonts w:ascii="Arial" w:hAnsi="Arial" w:cs="Arial"/>
          <w:color w:val="000000"/>
          <w:sz w:val="22"/>
          <w:szCs w:val="22"/>
          <w:lang w:val="sr-Cyrl-RS"/>
        </w:rPr>
        <w:t xml:space="preserve"> бележе се у: унапређењу нормативног оквира, усвајању или новелирању закона на које се дуго чекало</w:t>
      </w:r>
      <w:r w:rsidRPr="00EF008E">
        <w:rPr>
          <w:rFonts w:ascii="Arial" w:hAnsi="Arial" w:cs="Arial"/>
          <w:color w:val="000000"/>
          <w:sz w:val="22"/>
          <w:szCs w:val="22"/>
          <w:vertAlign w:val="superscript"/>
          <w:lang w:val="sr-Cyrl-RS"/>
        </w:rPr>
        <w:t>292</w:t>
      </w:r>
      <w:r w:rsidRPr="00EF008E">
        <w:rPr>
          <w:rFonts w:ascii="Arial" w:hAnsi="Arial" w:cs="Arial"/>
          <w:color w:val="000000"/>
          <w:sz w:val="22"/>
          <w:szCs w:val="22"/>
          <w:lang w:val="sr-Cyrl-RS"/>
        </w:rPr>
        <w:t>, којима су створене нормативне претпоставке за унапређење родне равноправности и заштиту права жена; уродњавању јавних политика; повећању заступљености жена у скупштинама</w:t>
      </w:r>
      <w:r w:rsidRPr="00EF008E">
        <w:rPr>
          <w:rFonts w:ascii="Arial" w:hAnsi="Arial" w:cs="Arial"/>
          <w:color w:val="000000"/>
          <w:sz w:val="22"/>
          <w:szCs w:val="22"/>
          <w:vertAlign w:val="superscript"/>
          <w:lang w:val="sr-Cyrl-RS"/>
        </w:rPr>
        <w:t>293</w:t>
      </w:r>
      <w:r w:rsidRPr="00EF008E">
        <w:rPr>
          <w:rFonts w:ascii="Arial" w:hAnsi="Arial" w:cs="Arial"/>
          <w:color w:val="000000"/>
          <w:sz w:val="22"/>
          <w:szCs w:val="22"/>
          <w:lang w:val="sr-Cyrl-RS"/>
        </w:rPr>
        <w:t>, њиховом учешћу у политичком животу и институцијама и одлучивању о јавним пословима; родно одговорном буџетирању; спречавању и санкционисању насиља према женама и насиља у породици; извештавању према међународним организацијама које надзиру примену међународних стандарда родне равноправности (CEDAW комитет</w:t>
      </w:r>
      <w:r w:rsidRPr="00EF008E">
        <w:rPr>
          <w:rFonts w:ascii="Arial" w:hAnsi="Arial" w:cs="Arial"/>
          <w:color w:val="000000"/>
          <w:sz w:val="22"/>
          <w:szCs w:val="22"/>
          <w:vertAlign w:val="superscript"/>
          <w:lang w:val="sr-Cyrl-RS"/>
        </w:rPr>
        <w:t>294</w:t>
      </w:r>
      <w:r w:rsidRPr="00EF008E">
        <w:rPr>
          <w:rFonts w:ascii="Arial" w:hAnsi="Arial" w:cs="Arial"/>
          <w:color w:val="000000"/>
          <w:sz w:val="22"/>
          <w:szCs w:val="22"/>
          <w:lang w:val="sr-Cyrl-RS"/>
        </w:rPr>
        <w:t>, GREVIO група) у коме су и женске ОЦД активно учествовале и поднеле више извештаја у сенци.</w:t>
      </w:r>
      <w:r w:rsidRPr="00EF008E">
        <w:rPr>
          <w:rFonts w:ascii="Arial" w:hAnsi="Arial" w:cs="Arial"/>
          <w:color w:val="000000"/>
          <w:sz w:val="22"/>
          <w:szCs w:val="22"/>
          <w:vertAlign w:val="superscript"/>
          <w:lang w:val="sr-Cyrl-RS"/>
        </w:rPr>
        <w:t>295</w:t>
      </w:r>
      <w:r w:rsidRPr="00EF008E">
        <w:rPr>
          <w:rFonts w:ascii="Arial" w:hAnsi="Arial" w:cs="Arial"/>
          <w:color w:val="000000"/>
          <w:sz w:val="22"/>
          <w:szCs w:val="22"/>
          <w:lang w:val="sr-Cyrl-RS"/>
        </w:rPr>
        <w:t xml:space="preserve"> Нижа ефективност у примени Националне стратегије за родну равноправност забележена је у економском оснаживању жена, унапређивању положаја жена из рањивих група и родно осетљивом образовању.</w:t>
      </w:r>
      <w:r w:rsidRPr="00EF008E">
        <w:rPr>
          <w:rFonts w:ascii="Arial" w:hAnsi="Arial" w:cs="Arial"/>
          <w:color w:val="000000"/>
          <w:sz w:val="22"/>
          <w:szCs w:val="22"/>
          <w:vertAlign w:val="superscript"/>
          <w:lang w:val="sr-Cyrl-RS"/>
        </w:rPr>
        <w:t>296</w:t>
      </w:r>
      <w:r w:rsidRPr="00EF008E">
        <w:rPr>
          <w:rFonts w:ascii="Arial" w:hAnsi="Arial" w:cs="Arial"/>
          <w:color w:val="000000"/>
          <w:sz w:val="22"/>
          <w:szCs w:val="22"/>
          <w:lang w:val="sr-Cyrl-RS"/>
        </w:rPr>
        <w:t xml:space="preserve"> Благи позитивни помаци бележе се у подизању знања и свести о значају родне равноправности за развој друштва (обуке, благо опадање патријархалних ставова, равноправније учешће жена и мушкараца у родитељству и економији старања, интегрисање родне перспективе у стратешка документа) и у унапређењу интерсекторске координације. Ослабљена је, међутим, сарадња између институција власти и ОЦД које се баве унапређењем положаја жена и родном равноправношћу. Иако је заступљеност жена у скупштинама на свим нивоима повећана, и надаље се бележи мали удео жена међу председницима општина и градоначелницима, заступљеност жена у Покрајинској влади (14%) нижа је од њихове заступљености у Влади Србије (46%). Нису институционализовани и недовољно су развијени механизми координације и извештавања на хоризонталној, а посебно на вертикалној равни. Недовољно снажна је усмереност ка промени патријархалне културе и стереотипа, и негативна појава укидања родних студија на универзитетима.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На умањење ефективности Националне стратегије за родну равноправност утицали су недовољно снажни институционални механизми РР и недостатак финансијских средстава за њихове активности</w:t>
      </w:r>
      <w:r w:rsidRPr="00EF008E">
        <w:rPr>
          <w:rFonts w:ascii="Arial" w:hAnsi="Arial" w:cs="Arial"/>
          <w:color w:val="000000"/>
          <w:sz w:val="22"/>
          <w:szCs w:val="22"/>
          <w:vertAlign w:val="superscript"/>
          <w:lang w:val="sr-Cyrl-RS"/>
        </w:rPr>
        <w:t>297</w:t>
      </w:r>
      <w:r w:rsidRPr="00EF008E">
        <w:rPr>
          <w:rFonts w:ascii="Arial" w:hAnsi="Arial" w:cs="Arial"/>
          <w:color w:val="000000"/>
          <w:sz w:val="22"/>
          <w:szCs w:val="22"/>
          <w:lang w:val="sr-Cyrl-RS"/>
        </w:rPr>
        <w:t>, недостатак или кашњење са усвајањем пратећих прописа за примену закона и пратећих политика, изостанак јединственог финансијског механизма и механизма за праћење уложених ресурса, недостатак неопходних података на које би се ослањало сагледавање процеса и праћење примене, тешкоће везане за прикупљање података, недовољно искоришћен потенцијал женских ОЦД, непостојање трајног формалног механизма партнерства и сарадње КТРР и ОЦД, нефункционалан систем пружања бесплатне правне помоћи, препреке и ограничења у остваривању права на приступ правди, посебно за жене из рањивих група, недовољни капацитети и знање запослених у органима јавне власти за родно одговорно планирање политика, изостанак систематског праћења ефеката обука, недостатак истраживања о ставовима државних службеника и запослених у јавној администрацији о родној равноправности и др.</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289</w:t>
      </w:r>
      <w:r w:rsidRPr="00EF008E">
        <w:rPr>
          <w:rFonts w:ascii="Arial" w:hAnsi="Arial" w:cs="Arial"/>
          <w:i/>
          <w:color w:val="000000"/>
          <w:sz w:val="22"/>
          <w:szCs w:val="22"/>
          <w:lang w:val="sr-Cyrl-RS"/>
        </w:rPr>
        <w:tab/>
        <w:t>Налаз 6. Завршне евалуације Националне стратегије за родну равноправност за период 2016</w:t>
      </w:r>
      <w:r>
        <w:rPr>
          <w:rFonts w:ascii="Arial" w:hAnsi="Arial" w:cs="Arial"/>
          <w:i/>
          <w:color w:val="000000"/>
          <w:sz w:val="22"/>
          <w:szCs w:val="22"/>
          <w:lang w:val="sr-Cyrl-RS"/>
        </w:rPr>
        <w:t>-</w:t>
      </w:r>
      <w:r w:rsidRPr="00EF008E">
        <w:rPr>
          <w:rFonts w:ascii="Arial" w:hAnsi="Arial" w:cs="Arial"/>
          <w:i/>
          <w:color w:val="000000"/>
          <w:sz w:val="22"/>
          <w:szCs w:val="22"/>
          <w:lang w:val="sr-Cyrl-RS"/>
        </w:rPr>
        <w:t>2020. Доступно на https://rodnaravnopravnost.gov.rs/index.php/sr/dokumenti/strategije-i-akcioni-planovi/evaluacija-strategije-za-rodnu-ravnopravnost-2016</w:t>
      </w:r>
      <w:r>
        <w:rPr>
          <w:rFonts w:ascii="Arial" w:hAnsi="Arial" w:cs="Arial"/>
          <w:i/>
          <w:color w:val="000000"/>
          <w:sz w:val="22"/>
          <w:szCs w:val="22"/>
          <w:lang w:val="sr-Cyrl-RS"/>
        </w:rPr>
        <w:t>-</w:t>
      </w:r>
      <w:r w:rsidRPr="00EF008E">
        <w:rPr>
          <w:rFonts w:ascii="Arial" w:hAnsi="Arial" w:cs="Arial"/>
          <w:i/>
          <w:color w:val="000000"/>
          <w:sz w:val="22"/>
          <w:szCs w:val="22"/>
          <w:lang w:val="sr-Cyrl-RS"/>
        </w:rPr>
        <w:t>2020 приступ 10.6.2021.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290 Оп. цит. налаз 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291 Исто. Налаз 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292 Закон о спречавању насиља у породици (2016), Закон о бесплатној правној помоћи (2018), Закон о азилу и привременој заштити (2018), Закон о избору народних посланика (2020), Закон о локалним изборима (2020), Покрајинска скупштинска одлука о избору посланика у Скупштину АПВ (2020), Закон о родној равноправности (2021), Закон о изменама и допунама закона о забрани дискриминације (2021) и др.</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293 Заступљеност жена у Скупштини РС, Скупштини АПВ и скупштинама ЈЛС резултат је примене законске квоте од 40% за и резервисана места на листи мање заступљени пол, али се у Евалуацији Стратегије за родну равноправност констатује да ово постигнуће није резултат примене ове Стратегије већ су на то утицале друге околности и подстицаји.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294 Четврти периодични извештај о примени CEDAW Србија је поднела 2017. године. Комитет је своје закључке и препоруке доставио 2018. године. Извештај о примени Истанбулске конвенције поднет је 2018. године, а GREVIO група доставила је своје препоруке почетком 2020. године.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295 Укупно је поднето 15 извештаја у сенци. Доступни на: https://tbinternet.ohchr.org/_layouts/15/TreatyBodyExternal/Countries.aspx?CountryCode=SRB&amp;Lang=EN приступ 18.6.2021.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296 Оп. цит. Налаз 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297 Оп. цит. Налаз 8.</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2.2. Анализа ефеката Националне стратегије за родну равноправност за период 2016</w:t>
      </w:r>
      <w:r>
        <w:rPr>
          <w:rFonts w:ascii="Arial" w:hAnsi="Arial" w:cs="Arial"/>
          <w:b/>
          <w:color w:val="000000"/>
          <w:sz w:val="22"/>
          <w:szCs w:val="22"/>
          <w:lang w:val="sr-Cyrl-RS"/>
        </w:rPr>
        <w:t>-</w:t>
      </w:r>
      <w:r w:rsidRPr="00EF008E">
        <w:rPr>
          <w:rFonts w:ascii="Arial" w:hAnsi="Arial" w:cs="Arial"/>
          <w:b/>
          <w:color w:val="000000"/>
          <w:sz w:val="22"/>
          <w:szCs w:val="22"/>
          <w:lang w:val="sr-Cyrl-RS"/>
        </w:rPr>
        <w:t>2020. за период 2018</w:t>
      </w:r>
      <w:r>
        <w:rPr>
          <w:rFonts w:ascii="Arial" w:hAnsi="Arial" w:cs="Arial"/>
          <w:b/>
          <w:color w:val="000000"/>
          <w:sz w:val="22"/>
          <w:szCs w:val="22"/>
          <w:lang w:val="sr-Cyrl-RS"/>
        </w:rPr>
        <w:t>-</w:t>
      </w:r>
      <w:r w:rsidRPr="00EF008E">
        <w:rPr>
          <w:rFonts w:ascii="Arial" w:hAnsi="Arial" w:cs="Arial"/>
          <w:b/>
          <w:color w:val="000000"/>
          <w:sz w:val="22"/>
          <w:szCs w:val="22"/>
          <w:lang w:val="sr-Cyrl-RS"/>
        </w:rPr>
        <w:t>2020. за који Акциони план није усвојен</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Евалуација ефеката АП за спровођење Националне стратегије за родну равноправност за период 2018</w:t>
      </w:r>
      <w:r>
        <w:rPr>
          <w:rFonts w:ascii="Arial" w:hAnsi="Arial" w:cs="Arial"/>
          <w:color w:val="000000"/>
          <w:sz w:val="22"/>
          <w:szCs w:val="22"/>
          <w:lang w:val="sr-Cyrl-RS"/>
        </w:rPr>
        <w:t>-</w:t>
      </w:r>
      <w:r w:rsidRPr="00EF008E">
        <w:rPr>
          <w:rFonts w:ascii="Arial" w:hAnsi="Arial" w:cs="Arial"/>
          <w:color w:val="000000"/>
          <w:sz w:val="22"/>
          <w:szCs w:val="22"/>
          <w:lang w:val="sr-Cyrl-RS"/>
        </w:rPr>
        <w:t>2020. је изостала</w:t>
      </w:r>
      <w:r w:rsidRPr="00EF008E">
        <w:rPr>
          <w:rFonts w:ascii="Arial" w:hAnsi="Arial" w:cs="Arial"/>
          <w:color w:val="000000"/>
          <w:sz w:val="22"/>
          <w:szCs w:val="22"/>
          <w:vertAlign w:val="superscript"/>
          <w:lang w:val="sr-Cyrl-RS"/>
        </w:rPr>
        <w:t>298</w:t>
      </w:r>
      <w:r w:rsidRPr="00EF008E">
        <w:rPr>
          <w:rFonts w:ascii="Arial" w:hAnsi="Arial" w:cs="Arial"/>
          <w:color w:val="000000"/>
          <w:sz w:val="22"/>
          <w:szCs w:val="22"/>
          <w:lang w:val="sr-Cyrl-RS"/>
        </w:rPr>
        <w:t xml:space="preserve"> јер АП за период 2018</w:t>
      </w:r>
      <w:r>
        <w:rPr>
          <w:rFonts w:ascii="Arial" w:hAnsi="Arial" w:cs="Arial"/>
          <w:color w:val="000000"/>
          <w:sz w:val="22"/>
          <w:szCs w:val="22"/>
          <w:lang w:val="sr-Cyrl-RS"/>
        </w:rPr>
        <w:t>-</w:t>
      </w:r>
      <w:r w:rsidRPr="00EF008E">
        <w:rPr>
          <w:rFonts w:ascii="Arial" w:hAnsi="Arial" w:cs="Arial"/>
          <w:color w:val="000000"/>
          <w:sz w:val="22"/>
          <w:szCs w:val="22"/>
          <w:lang w:val="sr-Cyrl-RS"/>
        </w:rPr>
        <w:t>2020. није усвојен, иако је нацрт АП био припремљен и упућен у процедуру. Национална стратегија за родну равноправност примењивала се без АП за њену примену.</w:t>
      </w:r>
      <w:r w:rsidRPr="00EF008E">
        <w:rPr>
          <w:rFonts w:ascii="Arial" w:hAnsi="Arial" w:cs="Arial"/>
          <w:color w:val="000000"/>
          <w:sz w:val="22"/>
          <w:szCs w:val="22"/>
          <w:vertAlign w:val="superscript"/>
          <w:lang w:val="sr-Cyrl-RS"/>
        </w:rPr>
        <w:t>299</w:t>
      </w:r>
      <w:r w:rsidRPr="00EF008E">
        <w:rPr>
          <w:rFonts w:ascii="Arial" w:hAnsi="Arial" w:cs="Arial"/>
          <w:color w:val="000000"/>
          <w:sz w:val="22"/>
          <w:szCs w:val="22"/>
          <w:lang w:val="sr-Cyrl-RS"/>
        </w:rPr>
        <w:t xml:space="preserve"> Стога се анализа у овом делу ослања на активности које су се одвијале само на основу Националне стратегије за родну равноправност. Постојали су и додатни фактори изазвани пандемијом COVID-19, који су утицали на ограничења активности током 2020. године. Упркос отежаним околностима у којима се деловало, активности на унапређењу родне равноправности нису битно смањене, а процеси покренути током остваривања АП за период 2016</w:t>
      </w:r>
      <w:r>
        <w:rPr>
          <w:rFonts w:ascii="Arial" w:hAnsi="Arial" w:cs="Arial"/>
          <w:color w:val="000000"/>
          <w:sz w:val="22"/>
          <w:szCs w:val="22"/>
          <w:lang w:val="sr-Cyrl-RS"/>
        </w:rPr>
        <w:t>-</w:t>
      </w:r>
      <w:r w:rsidRPr="00EF008E">
        <w:rPr>
          <w:rFonts w:ascii="Arial" w:hAnsi="Arial" w:cs="Arial"/>
          <w:color w:val="000000"/>
          <w:sz w:val="22"/>
          <w:szCs w:val="22"/>
          <w:lang w:val="sr-Cyrl-RS"/>
        </w:rPr>
        <w:t>2018. године нису сасвим заустављени. КТРР, са оскудним капацитетима у броју запослених, организационој и логистичкој подршци и финансијским средствима успело је да бар донекле одржи активности на започетим процесима и у оваквим приликама. У том периоду видљива је значајна неуједначеност између различитих области у ефективности остваривања Националне стратегије за родну равноправност.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Активности су настављене иако Акциони план за период 2018</w:t>
      </w:r>
      <w:r>
        <w:rPr>
          <w:rFonts w:ascii="Arial" w:hAnsi="Arial" w:cs="Arial"/>
          <w:color w:val="000000"/>
          <w:sz w:val="22"/>
          <w:szCs w:val="22"/>
          <w:lang w:val="sr-Cyrl-RS"/>
        </w:rPr>
        <w:t>-</w:t>
      </w:r>
      <w:r w:rsidRPr="00EF008E">
        <w:rPr>
          <w:rFonts w:ascii="Arial" w:hAnsi="Arial" w:cs="Arial"/>
          <w:color w:val="000000"/>
          <w:sz w:val="22"/>
          <w:szCs w:val="22"/>
          <w:lang w:val="sr-Cyrl-RS"/>
        </w:rPr>
        <w:t>2020. године није био усвојен. Континуитет деловања посебно је видљив у областима у којима су активности институционализоване, укључене у стандардизоване процедуре</w:t>
      </w:r>
      <w:r w:rsidRPr="00EF008E">
        <w:rPr>
          <w:rFonts w:ascii="Arial" w:hAnsi="Arial" w:cs="Arial"/>
          <w:color w:val="000000"/>
          <w:sz w:val="22"/>
          <w:szCs w:val="22"/>
          <w:vertAlign w:val="superscript"/>
          <w:lang w:val="sr-Cyrl-RS"/>
        </w:rPr>
        <w:t>300</w:t>
      </w:r>
      <w:r w:rsidRPr="00EF008E">
        <w:rPr>
          <w:rFonts w:ascii="Arial" w:hAnsi="Arial" w:cs="Arial"/>
          <w:color w:val="000000"/>
          <w:sz w:val="22"/>
          <w:szCs w:val="22"/>
          <w:lang w:val="sr-Cyrl-RS"/>
        </w:rPr>
        <w:t>, као и у областима у којима се активности одвијају у оквиру већ започетих пројеката</w:t>
      </w:r>
      <w:r w:rsidRPr="00EF008E">
        <w:rPr>
          <w:rFonts w:ascii="Arial" w:hAnsi="Arial" w:cs="Arial"/>
          <w:color w:val="000000"/>
          <w:sz w:val="22"/>
          <w:szCs w:val="22"/>
          <w:vertAlign w:val="superscript"/>
          <w:lang w:val="sr-Cyrl-RS"/>
        </w:rPr>
        <w:t>301</w:t>
      </w:r>
      <w:r w:rsidRPr="00EF008E">
        <w:rPr>
          <w:rFonts w:ascii="Arial" w:hAnsi="Arial" w:cs="Arial"/>
          <w:color w:val="000000"/>
          <w:sz w:val="22"/>
          <w:szCs w:val="22"/>
          <w:lang w:val="sr-Cyrl-RS"/>
        </w:rPr>
        <w:t xml:space="preserve"> на којима је рад настављен и за које су обезбеђена финансијска средства. Настављено је са спровођењем интервенција усмерених на: родно одговорно буџетирање, унапређење положаја жена у руралним подручјима</w:t>
      </w:r>
      <w:r w:rsidRPr="00EF008E">
        <w:rPr>
          <w:rFonts w:ascii="Arial" w:hAnsi="Arial" w:cs="Arial"/>
          <w:color w:val="000000"/>
          <w:sz w:val="22"/>
          <w:szCs w:val="22"/>
          <w:vertAlign w:val="superscript"/>
          <w:lang w:val="sr-Cyrl-RS"/>
        </w:rPr>
        <w:t>302</w:t>
      </w:r>
      <w:r w:rsidRPr="00EF008E">
        <w:rPr>
          <w:rFonts w:ascii="Arial" w:hAnsi="Arial" w:cs="Arial"/>
          <w:color w:val="000000"/>
          <w:sz w:val="22"/>
          <w:szCs w:val="22"/>
          <w:lang w:val="sr-Cyrl-RS"/>
        </w:rPr>
        <w:t>, родној анализи јавних политика и мера, уродњавању јавних политика и интегрисању родне перспективе у стратегије и прописе</w:t>
      </w:r>
      <w:r w:rsidRPr="00EF008E">
        <w:rPr>
          <w:rFonts w:ascii="Arial" w:hAnsi="Arial" w:cs="Arial"/>
          <w:color w:val="000000"/>
          <w:sz w:val="22"/>
          <w:szCs w:val="22"/>
          <w:vertAlign w:val="superscript"/>
          <w:lang w:val="sr-Cyrl-RS"/>
        </w:rPr>
        <w:t>303</w:t>
      </w:r>
      <w:r w:rsidRPr="00EF008E">
        <w:rPr>
          <w:rFonts w:ascii="Arial" w:hAnsi="Arial" w:cs="Arial"/>
          <w:color w:val="000000"/>
          <w:sz w:val="22"/>
          <w:szCs w:val="22"/>
          <w:lang w:val="sr-Cyrl-RS"/>
        </w:rPr>
        <w:t>, вођењу родно сезитивних евиденција</w:t>
      </w:r>
      <w:r w:rsidRPr="00EF008E">
        <w:rPr>
          <w:rFonts w:ascii="Arial" w:hAnsi="Arial" w:cs="Arial"/>
          <w:color w:val="000000"/>
          <w:sz w:val="22"/>
          <w:szCs w:val="22"/>
          <w:vertAlign w:val="superscript"/>
          <w:lang w:val="sr-Cyrl-RS"/>
        </w:rPr>
        <w:t>304</w:t>
      </w:r>
      <w:r w:rsidRPr="00EF008E">
        <w:rPr>
          <w:rFonts w:ascii="Arial" w:hAnsi="Arial" w:cs="Arial"/>
          <w:color w:val="000000"/>
          <w:sz w:val="22"/>
          <w:szCs w:val="22"/>
          <w:lang w:val="sr-Cyrl-RS"/>
        </w:rPr>
        <w:t>, међународној сарадњи.</w:t>
      </w:r>
      <w:r w:rsidRPr="00EF008E">
        <w:rPr>
          <w:rFonts w:ascii="Arial" w:hAnsi="Arial" w:cs="Arial"/>
          <w:color w:val="000000"/>
          <w:sz w:val="22"/>
          <w:szCs w:val="22"/>
          <w:vertAlign w:val="superscript"/>
          <w:lang w:val="sr-Cyrl-RS"/>
        </w:rPr>
        <w:t>305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Поред тога, током 2018. и 2019. године одвијале су се и друге активности (анализе, истраживања, научни скупови) значајне за унапређење родне равноправности</w:t>
      </w:r>
      <w:r w:rsidRPr="00EF008E">
        <w:rPr>
          <w:rFonts w:ascii="Arial" w:hAnsi="Arial" w:cs="Arial"/>
          <w:color w:val="000000"/>
          <w:sz w:val="22"/>
          <w:szCs w:val="22"/>
          <w:vertAlign w:val="superscript"/>
          <w:lang w:val="sr-Cyrl-RS"/>
        </w:rPr>
        <w:t>306</w:t>
      </w:r>
      <w:r w:rsidRPr="00EF008E">
        <w:rPr>
          <w:rFonts w:ascii="Arial" w:hAnsi="Arial" w:cs="Arial"/>
          <w:color w:val="000000"/>
          <w:sz w:val="22"/>
          <w:szCs w:val="22"/>
          <w:lang w:val="sr-Cyrl-RS"/>
        </w:rPr>
        <w:t>, а посебно за положај рањивих група.</w:t>
      </w:r>
      <w:r w:rsidRPr="00EF008E">
        <w:rPr>
          <w:rFonts w:ascii="Arial" w:hAnsi="Arial" w:cs="Arial"/>
          <w:color w:val="000000"/>
          <w:sz w:val="22"/>
          <w:szCs w:val="22"/>
          <w:vertAlign w:val="superscript"/>
          <w:lang w:val="sr-Cyrl-RS"/>
        </w:rPr>
        <w:t>307</w:t>
      </w:r>
      <w:r w:rsidRPr="00EF008E">
        <w:rPr>
          <w:rFonts w:ascii="Arial" w:hAnsi="Arial" w:cs="Arial"/>
          <w:color w:val="000000"/>
          <w:sz w:val="22"/>
          <w:szCs w:val="22"/>
          <w:lang w:val="sr-Cyrl-RS"/>
        </w:rPr>
        <w:t xml:space="preserve"> То је додатна потврда налаза из Завршне евалуације Националне стратегије за родну равноправност да је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вероватноћа да ће резултати и покренуте промене бити одрживи већа у областима где су резултати интегрисани у системска решења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законе, прописе и регуларне процедуре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када постоји висока свест и посвећеност актера да промене подрже и када су промене интегрални део приоритетних процеса реформи, посебно оних повезаних са приступањем ЕУ.</w:t>
      </w:r>
      <w:r>
        <w:rPr>
          <w:rFonts w:ascii="Arial" w:hAnsi="Arial" w:cs="Arial"/>
          <w:color w:val="000000"/>
          <w:sz w:val="22"/>
          <w:szCs w:val="22"/>
          <w:lang w:val="sr-Cyrl-RS"/>
        </w:rPr>
        <w:t>"</w:t>
      </w:r>
      <w:r w:rsidRPr="00EF008E">
        <w:rPr>
          <w:rFonts w:ascii="Arial" w:hAnsi="Arial" w:cs="Arial"/>
          <w:color w:val="000000"/>
          <w:sz w:val="22"/>
          <w:szCs w:val="22"/>
          <w:vertAlign w:val="superscript"/>
          <w:lang w:val="sr-Cyrl-RS"/>
        </w:rPr>
        <w:t>308</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298 Сачињена је само евалуација АП за период 2016</w:t>
      </w:r>
      <w:r>
        <w:rPr>
          <w:rFonts w:ascii="Arial" w:hAnsi="Arial" w:cs="Arial"/>
          <w:i/>
          <w:color w:val="000000"/>
          <w:sz w:val="22"/>
          <w:szCs w:val="22"/>
          <w:lang w:val="sr-Cyrl-RS"/>
        </w:rPr>
        <w:t>-</w:t>
      </w:r>
      <w:r w:rsidRPr="00EF008E">
        <w:rPr>
          <w:rFonts w:ascii="Arial" w:hAnsi="Arial" w:cs="Arial"/>
          <w:i/>
          <w:color w:val="000000"/>
          <w:sz w:val="22"/>
          <w:szCs w:val="22"/>
          <w:lang w:val="sr-Cyrl-RS"/>
        </w:rPr>
        <w:t>2018. Видети: Бабовић, М. и др. Финални извештај евалуације Акционог плана за спровођење Националне стратегије за родну равноправност РС, SeConS, UN Women (2018). Доступно на: https://www.secons.net/files/publications/99-publication.pdf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299 Оп. цит. Налаз 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300 На пример, након првог извештаја о индексу родне равноправности 2016, публикован је индекс родне равноправности (2018), и припремљен извештај за 2019. годину; извештавање државе о примени CEDAW конвенције (2017) и Истамбулске конвенције (2018), али и бројни извештаји из сенке које подносе ОЦД. Национални извештај о примени CEDAW и Истанбулске конвенције у РС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дискриминација и насиље према Ромкињама, БИБИЈА и UN Women (2019); Родна равноправност у Србији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Извештај о стању родне равноправности у Србији, Мрежа СОС Војводина, SeConS, (2018). Жене и мушкарци у Србији, Републички завод за статистику (2020). Обуке о родној равноправности за запослене у државној управи, Годишњи извештаји везани за РОБ, које заједнички реализују КТРР и Министарство финансија: Четврти извештај (2019) и Пети извештај (2020), Национални извештај о оствареном напретку у спровођењу Пекиншке декларације и Платформе за акцију+25 (2019). Доступно на: https://drive.google.com/drive/folders/16Bg45r57ZTFuXwayRds62Qf5xifHht0u?usp=sharing приступ 10.6.2021.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301</w:t>
      </w:r>
      <w:r w:rsidRPr="00EF008E">
        <w:rPr>
          <w:rFonts w:ascii="Arial" w:hAnsi="Arial" w:cs="Arial"/>
          <w:i/>
          <w:color w:val="000000"/>
          <w:sz w:val="22"/>
          <w:szCs w:val="22"/>
          <w:lang w:val="sr-Cyrl-RS"/>
        </w:rPr>
        <w:tab/>
        <w:t xml:space="preserve">Настављене су активности у оквиру пројекта </w:t>
      </w:r>
      <w:r>
        <w:rPr>
          <w:rFonts w:ascii="Arial" w:hAnsi="Arial" w:cs="Arial"/>
          <w:i/>
          <w:color w:val="000000"/>
          <w:sz w:val="22"/>
          <w:szCs w:val="22"/>
          <w:lang w:val="sr-Cyrl-RS"/>
        </w:rPr>
        <w:t>"</w:t>
      </w:r>
      <w:r w:rsidRPr="00EF008E">
        <w:rPr>
          <w:rFonts w:ascii="Arial" w:hAnsi="Arial" w:cs="Arial"/>
          <w:i/>
          <w:color w:val="000000"/>
          <w:sz w:val="22"/>
          <w:szCs w:val="22"/>
          <w:lang w:val="sr-Cyrl-RS"/>
        </w:rPr>
        <w:t>Кључни кораци ка остваривању родне равноправности</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који се реализује у сарадњи КТРР и UN Women уз подршку ЕУ. Организовано је више истраживања која су и публикована. На пример: Цвејтичанин Кнежевић, Х. и др. Приручник за употребу родно осетљивог језика (2018), Анђелковић, Б. и др. Родна нит дигиталног предузетништва, Центар за истраживање јавних политика, (2019), Смернице за развој женског дигиталног предузетништва, Једнаке могућности, (2019), Дигиталне и предузетничке вештине за жене из руралних подручја, Београд (2019), Рикановић, М., и др. Родно одговорно урбанистичко планирање и пројектовање, Београд (2020), Утицај КОВИД-19 на пандемије и мера за њено спречавање на запосленост и услове рада жена и мушкараца у Србији, SeConS, (2020), Утицај КОВИД-19 пандемије и мера за њено спречавање на социо-економски положај жена које живе на селу са фокусом на пољопривреду, SeConS, (2020). Доступно на: https://drive.google.com/drive/folders/16Bg45r57ZTFuXwayRds62Qf5xifHht0u?usp=sharing приступ 10.6.2021.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302 То се посебно односи на мере подстицаја пољопривреди усмерене ка женама, мере подршке органској биљној и сточарској производњи, мере активног запошљавања жена у руралним подручјима, обуке за примену ИТ за жене предузетнице у руралним срединама, програми иновативне социјалне инклузије у руралним срединама, побољшање имовинске ситуације жена на селу. Извор: Евалуација Стратегије за родну равноправност, посебан циљ 3.1.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303 Посебни циљеви 3.2 (благи поступни помаци и унапређење алата за тестирање и верификацију родне компоненте планских докумената) и 3.3 (нпр. анализа родне равноправности у саобраћају, родна анализа економских програма и финансијских мера, студија родна равноправност у спортским и медијским програмима, студија о медијском извештавању о насиљу према женама, укључивање родне перспективе у Стратегију дигиталних вештина, обуке о родној компоненти у еколошким политикама, програм развоја е-трговине и др. Извор: Евалуација Стратегије РР.</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304 На пример: родно осетљиве евиденције о имовини, база података Републичког геодетског завода.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305 То се посебно односи на сарадњу са EIGE, појединим државама ЕУ и државама региона.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306 Зборник Универзитети између меритократије и патријархата: жене и моћ делања, Универзтитет у Београду, Институт за филозофију и друштвену теорију (ур. Делибашић, Б., Пудар Д., Г. Фикет, И.), (2018), Зборник Родна равноправност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од једнаких могућности до једнаких права, (ур. Варади, Т, Пајванчић, М.), Српска академија наука и уметности (2019), Пајванчић, М., и др. Наша урушена права (2019), Зборник Родна равноправност у високом образовању, (ур. Вујадиновић, Д. и Антонијевић З.), Академска књига, (2019), Зборник Научнице у Србији, Етнографски институт САНУ, (2020), Научни рад и род: синхроне и дијахроне перспективе, Гласник Етнографског института САНУ, (2020), Зборник Парламентаризам у Србији из женског угла (ур. Пајванчић М. Урошевић, Б.) (2020). Зборник Жене у инжењерству, Инжењерска академија, (2020), Николин, С., и др. Преглед програма и мера Развојне агенције Србије и анализа утицаја на родну равноправност, НАЛЕД (2019). Николин, С., и др. Родна анализа програма, резултата и утицаја Фонда за иновациону делатност са препорукама заснованим на идентификованим родним јазовима, НАЛЕД (2019), Рикановић, М. и др. Водич ка родно-осетљивим јавним просторима, Женско архитектонско друштво и UN Women, (2020). Доступно на: https://drive.google.com/drive/folders/16Bg45r57ZTFuXwayRds62Qf5xifHht0u?usp=sharing Приступ 10. 6.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307 Петрушић, Н. и др. Положај и учешће старијих жена у политичком и јавном животу у Србији, ФемПлатз, Амити, (2020); Мапирање жена и девојака са инвалидитетом на руководећим позицијама у организацијама особа са инвалидитетом, ЦСЖ (2019), доступно на: https://drive.google.com/drive/folders/16Bg45r57ZTFuXwayRds62Qf5xifHht0u?usp=sharing Приручник за обуку за изградњу капацитета младих жена и девојака са инвалидитетом (2019), доступно на: http://cilsrbija.org/ebib/202010131839090.PRIRUCNIK_ZA_OBUKU_ZA_IZGRADNJU_KAPACITETA.pdf приступ 10.6.2021.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308 Оп. цит. налаз 12.</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2.3. Кључне препоруке за нову Стратегију за родну равноправност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Прва група препорука односи се на приступ Стратегији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од секторских политика ка интегрисаној јавној политици и укључује: 1. Одвајање од секторских политика и усмеравање и на области на које се до сада стратешки документи о родној равноправности нису усмеравали (развој, зелена и циркуларна економија, заштита животне средине, климатске промене, приступ енергији и енергетској ефикасности, приступ имовини, финансијским тржиштима, дигиталним технологијама и др.). 2. Систематско и свеобухватно укључивање свих рањивих група (поред група које су до сада препознате као рањиве проширити и на друге рањиве групе, на пример бескућници/це, сиромашне особе и др.). 3. Интегрисање родне равноправности у јавне политике (законе, планске документе) које се односе на ванредне ситуације.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Друга група препорука односи се на континуитет са започетим процесима: 1. Изградња културе родне равноправности и превазилажење родних стереотипа. 2. Уродњавање јавних политика, стратегија и закона. 3. Перманентан рад на имплементацији РОБ-а на националном и покрајинском, а нарочито на локалном нивоу. 4. Подизање капацитета механизама за РР, унапређење координације, посебно вертикалне координације. 5. Сарадња институција и ОЦД и координација активности. 6. Међународна и регионална сарадња.</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3. ПРЕГЛЕД КЉУЧНИХ ДОСТИГНУЋА И ИЗАЗОВА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Политика једнаких могућности и унапређење родне равноправности један је од приоритетних циљева Владе у складу са Уставом прописаном обавезом</w:t>
      </w:r>
      <w:r w:rsidRPr="00EF008E">
        <w:rPr>
          <w:rFonts w:ascii="Arial" w:hAnsi="Arial" w:cs="Arial"/>
          <w:color w:val="000000"/>
          <w:sz w:val="22"/>
          <w:szCs w:val="22"/>
          <w:vertAlign w:val="superscript"/>
          <w:lang w:val="sr-Cyrl-RS"/>
        </w:rPr>
        <w:t>309</w:t>
      </w:r>
      <w:r w:rsidRPr="00EF008E">
        <w:rPr>
          <w:rFonts w:ascii="Arial" w:hAnsi="Arial" w:cs="Arial"/>
          <w:color w:val="000000"/>
          <w:sz w:val="22"/>
          <w:szCs w:val="22"/>
          <w:lang w:val="sr-Cyrl-RS"/>
        </w:rPr>
        <w:t xml:space="preserve"> државе да гарантује равноправност жена и мушкараца и води политику једнаких могућности. Континуираним деловањем и ангажманом различитих актера који учествују и креирању и примени јавних политика у овој области у протеклом периоду учињени су значајни помаци на унапређењу родне равноправности у областима превенције и заштите од родно засноване дискриминације</w:t>
      </w:r>
      <w:r w:rsidRPr="00EF008E">
        <w:rPr>
          <w:rFonts w:ascii="Arial" w:hAnsi="Arial" w:cs="Arial"/>
          <w:color w:val="000000"/>
          <w:sz w:val="22"/>
          <w:szCs w:val="22"/>
          <w:vertAlign w:val="superscript"/>
          <w:lang w:val="sr-Cyrl-RS"/>
        </w:rPr>
        <w:t>310</w:t>
      </w:r>
      <w:r w:rsidRPr="00EF008E">
        <w:rPr>
          <w:rFonts w:ascii="Arial" w:hAnsi="Arial" w:cs="Arial"/>
          <w:color w:val="000000"/>
          <w:sz w:val="22"/>
          <w:szCs w:val="22"/>
          <w:lang w:val="sr-Cyrl-RS"/>
        </w:rPr>
        <w:t xml:space="preserve"> и родно заснованог насиља према женама и насиља у породици</w:t>
      </w:r>
      <w:r w:rsidRPr="00EF008E">
        <w:rPr>
          <w:rFonts w:ascii="Arial" w:hAnsi="Arial" w:cs="Arial"/>
          <w:color w:val="000000"/>
          <w:sz w:val="22"/>
          <w:szCs w:val="22"/>
          <w:vertAlign w:val="superscript"/>
          <w:lang w:val="sr-Cyrl-RS"/>
        </w:rPr>
        <w:t>311</w:t>
      </w:r>
      <w:r w:rsidRPr="00EF008E">
        <w:rPr>
          <w:rFonts w:ascii="Arial" w:hAnsi="Arial" w:cs="Arial"/>
          <w:color w:val="000000"/>
          <w:sz w:val="22"/>
          <w:szCs w:val="22"/>
          <w:lang w:val="sr-Cyrl-RS"/>
        </w:rPr>
        <w:t>, у области безбедности</w:t>
      </w:r>
      <w:r w:rsidRPr="00EF008E">
        <w:rPr>
          <w:rFonts w:ascii="Arial" w:hAnsi="Arial" w:cs="Arial"/>
          <w:color w:val="000000"/>
          <w:sz w:val="22"/>
          <w:szCs w:val="22"/>
          <w:vertAlign w:val="superscript"/>
          <w:lang w:val="sr-Cyrl-RS"/>
        </w:rPr>
        <w:t>312</w:t>
      </w:r>
      <w:r w:rsidRPr="00EF008E">
        <w:rPr>
          <w:rFonts w:ascii="Arial" w:hAnsi="Arial" w:cs="Arial"/>
          <w:color w:val="000000"/>
          <w:sz w:val="22"/>
          <w:szCs w:val="22"/>
          <w:lang w:val="sr-Cyrl-RS"/>
        </w:rPr>
        <w:t>, у увођењу родно одговорног буџетирања</w:t>
      </w:r>
      <w:r w:rsidRPr="00EF008E">
        <w:rPr>
          <w:rFonts w:ascii="Arial" w:hAnsi="Arial" w:cs="Arial"/>
          <w:color w:val="000000"/>
          <w:sz w:val="22"/>
          <w:szCs w:val="22"/>
          <w:vertAlign w:val="superscript"/>
          <w:lang w:val="sr-Cyrl-RS"/>
        </w:rPr>
        <w:t>313</w:t>
      </w:r>
      <w:r w:rsidRPr="00EF008E">
        <w:rPr>
          <w:rFonts w:ascii="Arial" w:hAnsi="Arial" w:cs="Arial"/>
          <w:color w:val="000000"/>
          <w:sz w:val="22"/>
          <w:szCs w:val="22"/>
          <w:lang w:val="sr-Cyrl-RS"/>
        </w:rPr>
        <w:t xml:space="preserve"> и заступљености жена у скупштинама на свим нивоима. Напредак је забележен и у унапређењу законодавства,</w:t>
      </w:r>
      <w:r w:rsidRPr="00EF008E">
        <w:rPr>
          <w:rFonts w:ascii="Arial" w:hAnsi="Arial" w:cs="Arial"/>
          <w:color w:val="000000"/>
          <w:sz w:val="22"/>
          <w:szCs w:val="22"/>
          <w:vertAlign w:val="superscript"/>
          <w:lang w:val="sr-Cyrl-RS"/>
        </w:rPr>
        <w:t>314</w:t>
      </w:r>
      <w:r w:rsidRPr="00EF008E">
        <w:rPr>
          <w:rFonts w:ascii="Arial" w:hAnsi="Arial" w:cs="Arial"/>
          <w:color w:val="000000"/>
          <w:sz w:val="22"/>
          <w:szCs w:val="22"/>
          <w:lang w:val="sr-Cyrl-RS"/>
        </w:rPr>
        <w:t xml:space="preserve"> али неки закони су смањили ниво достигнутих права.</w:t>
      </w:r>
      <w:r w:rsidRPr="00EF008E">
        <w:rPr>
          <w:rFonts w:ascii="Arial" w:hAnsi="Arial" w:cs="Arial"/>
          <w:color w:val="000000"/>
          <w:sz w:val="22"/>
          <w:szCs w:val="22"/>
          <w:vertAlign w:val="superscript"/>
          <w:lang w:val="sr-Cyrl-RS"/>
        </w:rPr>
        <w:t>315</w:t>
      </w:r>
      <w:r w:rsidRPr="00EF008E">
        <w:rPr>
          <w:rFonts w:ascii="Arial" w:hAnsi="Arial" w:cs="Arial"/>
          <w:color w:val="000000"/>
          <w:sz w:val="22"/>
          <w:szCs w:val="22"/>
          <w:lang w:val="sr-Cyrl-RS"/>
        </w:rPr>
        <w:t xml:space="preserve"> Унапређено је праћење и извештавање о примени прописа и планских докумената на националном плану и према међународним организацијама.</w:t>
      </w:r>
      <w:r w:rsidRPr="00EF008E">
        <w:rPr>
          <w:rFonts w:ascii="Arial" w:hAnsi="Arial" w:cs="Arial"/>
          <w:color w:val="000000"/>
          <w:sz w:val="22"/>
          <w:szCs w:val="22"/>
          <w:vertAlign w:val="superscript"/>
          <w:lang w:val="sr-Cyrl-RS"/>
        </w:rPr>
        <w:t>316</w:t>
      </w:r>
      <w:r w:rsidRPr="00EF008E">
        <w:rPr>
          <w:rFonts w:ascii="Arial" w:hAnsi="Arial" w:cs="Arial"/>
          <w:color w:val="000000"/>
          <w:sz w:val="22"/>
          <w:szCs w:val="22"/>
          <w:lang w:val="sr-Cyrl-RS"/>
        </w:rPr>
        <w:t xml:space="preserve"> Извесни позитивни помаци бележе се у подизању знања и свести о значају родне равноправности за развој друштва, равноправнијем учешћу жена и мушкараца у родитељству и економији старања, интегрисању родне перспективе у прописе и планска документа и интерсекторској координацији. Приметно је да су постигнућа у различитим областима неуједначена. Ове опште оцене потврђује Индекс родне равноправности за Републику Србију који бележи да је у периоду од 2014. до 2016. године, вредност индекса порасла за 3,4 поена</w:t>
      </w:r>
      <w:r w:rsidRPr="00EF008E">
        <w:rPr>
          <w:rFonts w:ascii="Arial" w:hAnsi="Arial" w:cs="Arial"/>
          <w:color w:val="000000"/>
          <w:sz w:val="22"/>
          <w:szCs w:val="22"/>
          <w:vertAlign w:val="superscript"/>
          <w:lang w:val="sr-Cyrl-RS"/>
        </w:rPr>
        <w:t>317</w:t>
      </w:r>
      <w:r w:rsidRPr="00EF008E">
        <w:rPr>
          <w:rFonts w:ascii="Arial" w:hAnsi="Arial" w:cs="Arial"/>
          <w:color w:val="000000"/>
          <w:sz w:val="22"/>
          <w:szCs w:val="22"/>
          <w:lang w:val="sr-Cyrl-RS"/>
        </w:rPr>
        <w:t>, извештаји националних институција</w:t>
      </w:r>
      <w:r w:rsidRPr="00EF008E">
        <w:rPr>
          <w:rFonts w:ascii="Arial" w:hAnsi="Arial" w:cs="Arial"/>
          <w:color w:val="000000"/>
          <w:sz w:val="22"/>
          <w:szCs w:val="22"/>
          <w:vertAlign w:val="superscript"/>
          <w:lang w:val="sr-Cyrl-RS"/>
        </w:rPr>
        <w:t>318</w:t>
      </w:r>
      <w:r w:rsidRPr="00EF008E">
        <w:rPr>
          <w:rFonts w:ascii="Arial" w:hAnsi="Arial" w:cs="Arial"/>
          <w:color w:val="000000"/>
          <w:sz w:val="22"/>
          <w:szCs w:val="22"/>
          <w:lang w:val="sr-Cyrl-RS"/>
        </w:rPr>
        <w:t>, посебни извештаји ОЦД,</w:t>
      </w:r>
      <w:r w:rsidRPr="00EF008E">
        <w:rPr>
          <w:rFonts w:ascii="Arial" w:hAnsi="Arial" w:cs="Arial"/>
          <w:color w:val="000000"/>
          <w:sz w:val="22"/>
          <w:szCs w:val="22"/>
          <w:vertAlign w:val="superscript"/>
          <w:lang w:val="sr-Cyrl-RS"/>
        </w:rPr>
        <w:t>319</w:t>
      </w:r>
      <w:r w:rsidRPr="00EF008E">
        <w:rPr>
          <w:rFonts w:ascii="Arial" w:hAnsi="Arial" w:cs="Arial"/>
          <w:color w:val="000000"/>
          <w:sz w:val="22"/>
          <w:szCs w:val="22"/>
          <w:lang w:val="sr-Cyrl-RS"/>
        </w:rPr>
        <w:t xml:space="preserve"> као и евалуација Националне стратегије за родну равноправност.</w:t>
      </w:r>
      <w:r w:rsidRPr="00EF008E">
        <w:rPr>
          <w:rFonts w:ascii="Arial" w:hAnsi="Arial" w:cs="Arial"/>
          <w:color w:val="000000"/>
          <w:sz w:val="22"/>
          <w:szCs w:val="22"/>
          <w:vertAlign w:val="superscript"/>
          <w:lang w:val="sr-Cyrl-RS"/>
        </w:rPr>
        <w:t>320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Иако су у протеклом периоду остварени позитивни помаци на унапређењу родне равноправности, започете процесе треба интензивирати, интегрисањем родне перспективе у све јавне политике и буџет, директним интервенцијама у појединим областима, као и јачањем институционалног оквира родне равноправности, како би се елиминисао родни јаз.</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Кључни изазови у овој области су:</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Патријархални културни обрасци и норме, широко распрострањени родни стереотипи и предрасуде још увек су доминантни, а ојачан је и антиродни дискурс и мизогинија, који се недовољно ефикасно сузбијаjу.</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Кашњење у доношењу закона</w:t>
      </w:r>
      <w:r w:rsidRPr="00EF008E">
        <w:rPr>
          <w:rFonts w:ascii="Arial" w:hAnsi="Arial" w:cs="Arial"/>
          <w:color w:val="000000"/>
          <w:sz w:val="22"/>
          <w:szCs w:val="22"/>
          <w:vertAlign w:val="superscript"/>
          <w:lang w:val="sr-Cyrl-RS"/>
        </w:rPr>
        <w:t>321</w:t>
      </w:r>
      <w:r w:rsidRPr="00EF008E">
        <w:rPr>
          <w:rFonts w:ascii="Arial" w:hAnsi="Arial" w:cs="Arial"/>
          <w:color w:val="000000"/>
          <w:sz w:val="22"/>
          <w:szCs w:val="22"/>
          <w:lang w:val="sr-Cyrl-RS"/>
        </w:rPr>
        <w:t xml:space="preserve"> и пратећих прописа за примену закона, одлагање примене закона</w:t>
      </w:r>
      <w:r w:rsidRPr="00EF008E">
        <w:rPr>
          <w:rFonts w:ascii="Arial" w:hAnsi="Arial" w:cs="Arial"/>
          <w:color w:val="000000"/>
          <w:sz w:val="22"/>
          <w:szCs w:val="22"/>
          <w:vertAlign w:val="superscript"/>
          <w:lang w:val="sr-Cyrl-RS"/>
        </w:rPr>
        <w:t>322</w:t>
      </w:r>
      <w:r w:rsidRPr="00EF008E">
        <w:rPr>
          <w:rFonts w:ascii="Arial" w:hAnsi="Arial" w:cs="Arial"/>
          <w:color w:val="000000"/>
          <w:sz w:val="22"/>
          <w:szCs w:val="22"/>
          <w:lang w:val="sr-Cyrl-RS"/>
        </w:rPr>
        <w:t>, кашњење или неусвајање планских докумената</w:t>
      </w:r>
      <w:r w:rsidRPr="00EF008E">
        <w:rPr>
          <w:rFonts w:ascii="Arial" w:hAnsi="Arial" w:cs="Arial"/>
          <w:color w:val="000000"/>
          <w:sz w:val="22"/>
          <w:szCs w:val="22"/>
          <w:vertAlign w:val="superscript"/>
          <w:lang w:val="sr-Cyrl-RS"/>
        </w:rPr>
        <w:t>323</w:t>
      </w:r>
      <w:r w:rsidRPr="00EF008E">
        <w:rPr>
          <w:rFonts w:ascii="Arial" w:hAnsi="Arial" w:cs="Arial"/>
          <w:color w:val="000000"/>
          <w:sz w:val="22"/>
          <w:szCs w:val="22"/>
          <w:lang w:val="sr-Cyrl-RS"/>
        </w:rPr>
        <w:t>, па и непостојање планских докумената значајних за остваривање родне равноправности.</w:t>
      </w:r>
      <w:r w:rsidRPr="00EF008E">
        <w:rPr>
          <w:rFonts w:ascii="Arial" w:hAnsi="Arial" w:cs="Arial"/>
          <w:color w:val="000000"/>
          <w:sz w:val="22"/>
          <w:szCs w:val="22"/>
          <w:vertAlign w:val="superscript"/>
          <w:lang w:val="sr-Cyrl-RS"/>
        </w:rPr>
        <w:t>324</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Непотпуно, недоследно и неравномерно интегрисање родне перспективе у јавне политике (законе, планске документе и буџет) у различитим областима значајним за остваривање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Недовољно препознавање и разумевање специфичних околности у којима се налазе особе из осетљивих група, непотпуно и недоследно интегрисање њихових потреба у јавне политике и мере које доприносе њиховој инклузији у областима значајним за остваривање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Недовољно ефикасно и делотворно спровођење постојећих закона, политика и мера за унапређење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Недостатак имплементационих инструмената и координације активности у овој мултисекторској области и ограничени капацитети механизама РР препрека су за свеобухватне и координисане активности свих актера који учествују у активностима на унапређивању родне равноправности и затварању родног јаза.</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Родни јаз у економији је продубљен.</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Изостаје препознавање и уважавање разлика у потребама и проблемима са којима се сусрећу жене и мушкарци, а посебно рањиве групе, и праћење података и показатеља који о томе говоре. Многи подаци релевантни за сагледавање стања у области родне равноправности недостају, или нису јавно доступни, иако је то законска обавеза. Није успостављен јединствен и стандардизован систем прикупљања, евидентирања, праћења и размене података на начин да олакшава креирање родно одговорних политика.</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Није обезбеђено стабилно, транспарентно и одрживо финансирање јавних политика, мера и активности на унапређивању родне равноправности, као и механизама РР, али и свих других актера који у доменима својих надлежности суделују у креирању и спровођењу јавних политика у овој области.</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Сарадња са ОЦД и академском заједницом није институционализована, а потенцијали ОЦД и академске заједнице још увек су недовољно укључени у креирање и примену јавних политика и буџета у области родне равноправности. Није обезбеђена дугорочна подршка раду женских ОЦД, укључујући и оне које женама пружају специјализоване услуге подршке.</w:t>
      </w:r>
    </w:p>
    <w:p w:rsidR="00EF008E" w:rsidRPr="00EF008E" w:rsidRDefault="00EF008E" w:rsidP="00EF008E">
      <w:pPr>
        <w:spacing w:after="150" w:line="276" w:lineRule="auto"/>
        <w:contextualSpacing w:val="0"/>
        <w:rPr>
          <w:rFonts w:ascii="Arial" w:hAnsi="Arial" w:cs="Arial"/>
          <w:sz w:val="22"/>
          <w:szCs w:val="22"/>
          <w:lang w:val="sr-Cyrl-RS"/>
        </w:rPr>
      </w:pPr>
      <w:r>
        <w:rPr>
          <w:rFonts w:ascii="Arial" w:hAnsi="Arial" w:cs="Arial"/>
          <w:color w:val="000000"/>
          <w:sz w:val="22"/>
          <w:szCs w:val="22"/>
          <w:lang w:val="sr-Cyrl-RS"/>
        </w:rPr>
        <w:t>-</w:t>
      </w:r>
      <w:r w:rsidRPr="00EF008E">
        <w:rPr>
          <w:rFonts w:ascii="Arial" w:hAnsi="Arial" w:cs="Arial"/>
          <w:color w:val="000000"/>
          <w:sz w:val="22"/>
          <w:szCs w:val="22"/>
          <w:lang w:val="sr-Cyrl-RS"/>
        </w:rPr>
        <w:t xml:space="preserve"> Околности изазване пандемијом болести COVID-19 показале су да кризне ситуације различито утичу на жене и мушкарце, а нарочито на особе које припадају рањивим групама, као и да родни аспекти кризних ситуација нису били у довољној мери препознати, што се одразило и на креирање и предузимање мера током ванредног стања и ванредне ситуације, па је неопходно да се код планирања опоравка то промени и да се креирају родно одговорне мере.</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309 Члан 15 Устава РС.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310 Више о томе на: http://ravnopravnost.gov.rs приступ 26.62021.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311 Више о томе у управо усвојеној Националној стратегији за спречавање и борбу против родно заснованог насиља и насиља према женама и у породици за период 2021</w:t>
      </w:r>
      <w:r>
        <w:rPr>
          <w:rFonts w:ascii="Arial" w:hAnsi="Arial" w:cs="Arial"/>
          <w:i/>
          <w:color w:val="000000"/>
          <w:sz w:val="22"/>
          <w:szCs w:val="22"/>
          <w:lang w:val="sr-Cyrl-RS"/>
        </w:rPr>
        <w:t>-</w:t>
      </w:r>
      <w:r w:rsidRPr="00EF008E">
        <w:rPr>
          <w:rFonts w:ascii="Arial" w:hAnsi="Arial" w:cs="Arial"/>
          <w:i/>
          <w:color w:val="000000"/>
          <w:sz w:val="22"/>
          <w:szCs w:val="22"/>
          <w:lang w:val="sr-Cyrl-RS"/>
        </w:rPr>
        <w:t>2025. усвојеној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312 Усвојен је други по реду Национални акциони план за примену Резолуције 1325 СБУН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Жене, мир и безбедност у РС (2017</w:t>
      </w:r>
      <w:r>
        <w:rPr>
          <w:rFonts w:ascii="Arial" w:hAnsi="Arial" w:cs="Arial"/>
          <w:i/>
          <w:color w:val="000000"/>
          <w:sz w:val="22"/>
          <w:szCs w:val="22"/>
          <w:lang w:val="sr-Cyrl-RS"/>
        </w:rPr>
        <w:t>-</w:t>
      </w:r>
      <w:r w:rsidRPr="00EF008E">
        <w:rPr>
          <w:rFonts w:ascii="Arial" w:hAnsi="Arial" w:cs="Arial"/>
          <w:i/>
          <w:color w:val="000000"/>
          <w:sz w:val="22"/>
          <w:szCs w:val="22"/>
          <w:lang w:val="sr-Cyrl-RS"/>
        </w:rPr>
        <w:t>2020) као и друга по реду Стратегија контроле малог и лаког оружја (2019</w:t>
      </w:r>
      <w:r>
        <w:rPr>
          <w:rFonts w:ascii="Arial" w:hAnsi="Arial" w:cs="Arial"/>
          <w:i/>
          <w:color w:val="000000"/>
          <w:sz w:val="22"/>
          <w:szCs w:val="22"/>
          <w:lang w:val="sr-Cyrl-RS"/>
        </w:rPr>
        <w:t>-</w:t>
      </w:r>
      <w:r w:rsidRPr="00EF008E">
        <w:rPr>
          <w:rFonts w:ascii="Arial" w:hAnsi="Arial" w:cs="Arial"/>
          <w:i/>
          <w:color w:val="000000"/>
          <w:sz w:val="22"/>
          <w:szCs w:val="22"/>
          <w:lang w:val="sr-Cyrl-RS"/>
        </w:rPr>
        <w:t>2024).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313 РОБ је уведен у Закон о буџетском систему, а унапређење родне равноправности је један од циљева буџетског система. Примена је постепена а очекује се да се примени на целокупан буџет до 2024.године. Извештај о напретку доступно на https://www.rodnaravnopravnost.gov.rs/index.php/sr/rodna-ravnopravnost/rodno-odgovorno-budzetiranje/izveshtaj-o-napretku-za-2020-godinu приступ 26.6.2021.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314 Усвојени су, на пример, Закон о поступку уписа у катастар непокретности и водова (2018), Закон о азилу и привременој заштити (2018) или новелирани закони који су садржавали родно дискриминаторне норме, на пример измене Закона о пензијском и инвалидском осигурању (2018,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315 На пример, Закон о финансијској подршци породицама са децом (2017)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316 На пример, упркос томе што АП за период (2028</w:t>
      </w:r>
      <w:r>
        <w:rPr>
          <w:rFonts w:ascii="Arial" w:hAnsi="Arial" w:cs="Arial"/>
          <w:i/>
          <w:color w:val="000000"/>
          <w:sz w:val="22"/>
          <w:szCs w:val="22"/>
          <w:lang w:val="sr-Cyrl-RS"/>
        </w:rPr>
        <w:t>-</w:t>
      </w:r>
      <w:r w:rsidRPr="00EF008E">
        <w:rPr>
          <w:rFonts w:ascii="Arial" w:hAnsi="Arial" w:cs="Arial"/>
          <w:i/>
          <w:color w:val="000000"/>
          <w:sz w:val="22"/>
          <w:szCs w:val="22"/>
          <w:lang w:val="sr-Cyrl-RS"/>
        </w:rPr>
        <w:t>2020) година, за примену Националне стратегије за родну равноправност није био усвојен, као и посебним приликама изазваним пандемијом болести КОВИД-19 ове активности су се одвијале.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317 Ово повећање је највећим делом последица повећања вредности индекса у домену моћи, који је забележио највећи пораст, али и умереног или благог повећања вредности индекса у доменима рада, новца, знања и здравља. У поређењу са просеком држава чланица ЕУ (28), Србија бележи нижу вредност индекса за 10,4 поена, при чему се ова разлика смањила у односу на 2014. годину када је износила 12,6 поена. Разлике између Србије и просека ЕУ су највеће у доменима моћи, времена и новца, а најмање у доменима здравља, знања и рада. У погледу укупне вредности индекса, Србија је у односу на државе чланице рангирана на 22. месту, на позицији на којој се налазила и према вредностима индекса за 2014. годину. Ипак у домену новца Србија је на претпоследњем месту.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318</w:t>
      </w:r>
      <w:r w:rsidRPr="00EF008E">
        <w:rPr>
          <w:rFonts w:ascii="Arial" w:hAnsi="Arial" w:cs="Arial"/>
          <w:i/>
          <w:color w:val="000000"/>
          <w:sz w:val="22"/>
          <w:szCs w:val="22"/>
          <w:lang w:val="sr-Cyrl-RS"/>
        </w:rPr>
        <w:tab/>
        <w:t>На пример: Извештај о раду КТРР за 2019. годину; Национални преглед о оствареном напретку у спровођењу пекиншке декларације и Платформе за акцију из 2019. године, Доступно на: https://www.rodnaravnopravnost.gov.rs/sites/default/files/2021-02/Izvestaj%20o%20radu%20KTRR%202019.pdf годишњи извештај и посебна истраживања Повереника за заштиту равноправности доступно на: http://ravnopravnost.gov.rs/wp-content/uploads/2021/04/Poverenik-za-zastitu-ravnopravnosti-Godisnji-izvestaj-za-2020.pdf и Заштитника грађана, доступно на: https://www.ombudsman.rs/index.php/izvestaji/godisnji-izvestaji приступ 26. 6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319</w:t>
      </w:r>
      <w:r w:rsidRPr="00EF008E">
        <w:rPr>
          <w:rFonts w:ascii="Arial" w:hAnsi="Arial" w:cs="Arial"/>
          <w:i/>
          <w:color w:val="000000"/>
          <w:sz w:val="22"/>
          <w:szCs w:val="22"/>
          <w:lang w:val="sr-Cyrl-RS"/>
        </w:rPr>
        <w:tab/>
        <w:t>На пример: Извештаји о напретку за период 2016</w:t>
      </w:r>
      <w:r>
        <w:rPr>
          <w:rFonts w:ascii="Arial" w:hAnsi="Arial" w:cs="Arial"/>
          <w:i/>
          <w:color w:val="000000"/>
          <w:sz w:val="22"/>
          <w:szCs w:val="22"/>
          <w:lang w:val="sr-Cyrl-RS"/>
        </w:rPr>
        <w:t>-</w:t>
      </w:r>
      <w:r w:rsidRPr="00EF008E">
        <w:rPr>
          <w:rFonts w:ascii="Arial" w:hAnsi="Arial" w:cs="Arial"/>
          <w:i/>
          <w:color w:val="000000"/>
          <w:sz w:val="22"/>
          <w:szCs w:val="22"/>
          <w:lang w:val="sr-Cyrl-RS"/>
        </w:rPr>
        <w:t>2018 и извештај о напретку за период 2016</w:t>
      </w:r>
      <w:r>
        <w:rPr>
          <w:rFonts w:ascii="Arial" w:hAnsi="Arial" w:cs="Arial"/>
          <w:i/>
          <w:color w:val="000000"/>
          <w:sz w:val="22"/>
          <w:szCs w:val="22"/>
          <w:lang w:val="sr-Cyrl-RS"/>
        </w:rPr>
        <w:t>-</w:t>
      </w:r>
      <w:r w:rsidRPr="00EF008E">
        <w:rPr>
          <w:rFonts w:ascii="Arial" w:hAnsi="Arial" w:cs="Arial"/>
          <w:i/>
          <w:color w:val="000000"/>
          <w:sz w:val="22"/>
          <w:szCs w:val="22"/>
          <w:lang w:val="sr-Cyrl-RS"/>
        </w:rPr>
        <w:t>2020, ЖПРС, доступно на: http://www.fes-serbia.org приступ 26.62021 бројни извештаји женских ОЦД према CEDAW комитету, доступно на https://tbinternet.ohchr.org/_layouts/15/TreatyBodyExternal/Countries.aspx?CountryCode=SRB&amp;Lang=EN приступ 26.6.2021.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320 Евалуација НАП за родну равноправност 2016</w:t>
      </w:r>
      <w:r>
        <w:rPr>
          <w:rFonts w:ascii="Arial" w:hAnsi="Arial" w:cs="Arial"/>
          <w:i/>
          <w:color w:val="000000"/>
          <w:sz w:val="22"/>
          <w:szCs w:val="22"/>
          <w:lang w:val="sr-Cyrl-RS"/>
        </w:rPr>
        <w:t>-</w:t>
      </w:r>
      <w:r w:rsidRPr="00EF008E">
        <w:rPr>
          <w:rFonts w:ascii="Arial" w:hAnsi="Arial" w:cs="Arial"/>
          <w:i/>
          <w:color w:val="000000"/>
          <w:sz w:val="22"/>
          <w:szCs w:val="22"/>
          <w:lang w:val="sr-Cyrl-RS"/>
        </w:rPr>
        <w:t>2018, Београд: SeConS,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321 Нови Закон о родној равноправности као и измене Закона о забрани дискриминације усвојени су маја 2021. године, након више година чекања на њихово усвајање иако су били припремљени и упућени у процедуру.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322 На пример, Закон о бесплатној правној помоћи иако је усвојен 2018 примењује се тек од 1.10.2019. године.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323 На пример, Стратегија за превенцију и заштиту од дискриминације која је истекла 2018. године, Национална стратегија за спречавање и сузбијање насиља над женама у породици и у партнерским односима која је усвојена тек у мају 2021, АП за родну равноправност за период 2018</w:t>
      </w:r>
      <w:r>
        <w:rPr>
          <w:rFonts w:ascii="Arial" w:hAnsi="Arial" w:cs="Arial"/>
          <w:i/>
          <w:color w:val="000000"/>
          <w:sz w:val="22"/>
          <w:szCs w:val="22"/>
          <w:lang w:val="sr-Cyrl-RS"/>
        </w:rPr>
        <w:t>-</w:t>
      </w:r>
      <w:r w:rsidRPr="00EF008E">
        <w:rPr>
          <w:rFonts w:ascii="Arial" w:hAnsi="Arial" w:cs="Arial"/>
          <w:i/>
          <w:color w:val="000000"/>
          <w:sz w:val="22"/>
          <w:szCs w:val="22"/>
          <w:lang w:val="sr-Cyrl-RS"/>
        </w:rPr>
        <w:t>2020. је истекао а нови није усвојен иако је АП био припремљен и упућен у процедуру, АП за примену Стратегије за социјално укључивање Рома и Ромкиња у РС истекао је 2018. године, и др.</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324 На пример, Стратегија о старењу, Национални програм здравствене заштите жена, деце и омладине, Стратегија за смањење сиромаштва и др.</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4. УПОРЕДНА МЕЂУНАРОДНА ПРАКСА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овом делу представљени су примери упоредне праксе у областима које обухвата Стратегија, који су послужили у раду на изради ове стратегије.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Економија и јавне финансије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Значај укључивања родне равноправности у управљање јавним финансијама подржале су и препознале водеће мултилатералне организације као што су Агенција УН за родну равноправност (UN Women), Светска банка и Међународни монетарни фонд (ММФ). У свом кратком тексту објављеном у фебруару, ММФ подстиче доносиоце економских одлука да промовишу алтернативне родно одговорне политике, док се процена утицаја на род и неједнакост прожима кроз све савете које даје ММФ.</w:t>
      </w:r>
      <w:r w:rsidRPr="00EF008E">
        <w:rPr>
          <w:rFonts w:ascii="Arial" w:hAnsi="Arial" w:cs="Arial"/>
          <w:color w:val="000000"/>
          <w:sz w:val="22"/>
          <w:szCs w:val="22"/>
          <w:vertAlign w:val="superscript"/>
          <w:lang w:val="sr-Cyrl-RS"/>
        </w:rPr>
        <w:t>325</w:t>
      </w:r>
      <w:r w:rsidRPr="00EF008E">
        <w:rPr>
          <w:rFonts w:ascii="Arial" w:hAnsi="Arial" w:cs="Arial"/>
          <w:color w:val="000000"/>
          <w:sz w:val="22"/>
          <w:szCs w:val="22"/>
          <w:lang w:val="sr-Cyrl-RS"/>
        </w:rPr>
        <w:t xml:space="preserve"> Европски институт за родну равноправност (EIG) на својој интернет страници</w:t>
      </w:r>
      <w:r w:rsidRPr="00EF008E">
        <w:rPr>
          <w:rFonts w:ascii="Arial" w:hAnsi="Arial" w:cs="Arial"/>
          <w:color w:val="000000"/>
          <w:sz w:val="22"/>
          <w:szCs w:val="22"/>
          <w:vertAlign w:val="superscript"/>
          <w:lang w:val="sr-Cyrl-RS"/>
        </w:rPr>
        <w:t>326</w:t>
      </w:r>
      <w:r w:rsidRPr="00EF008E">
        <w:rPr>
          <w:rFonts w:ascii="Arial" w:hAnsi="Arial" w:cs="Arial"/>
          <w:color w:val="000000"/>
          <w:sz w:val="22"/>
          <w:szCs w:val="22"/>
          <w:lang w:val="sr-Cyrl-RS"/>
        </w:rPr>
        <w:t xml:space="preserve"> даје примере добрих пракси за интеграцију родне перспективе у све области јавних политика, као и алате, приручнике и друге изворе који могу да се користе.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Образовање и наука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У многим државама у домену високог образовања увођењу родне перспективе приступа се систематски, усвајањем стратегија и акционих планова.</w:t>
      </w:r>
      <w:r w:rsidRPr="00EF008E">
        <w:rPr>
          <w:rFonts w:ascii="Arial" w:hAnsi="Arial" w:cs="Arial"/>
          <w:color w:val="000000"/>
          <w:sz w:val="22"/>
          <w:szCs w:val="22"/>
          <w:vertAlign w:val="superscript"/>
          <w:lang w:val="sr-Cyrl-RS"/>
        </w:rPr>
        <w:t>327</w:t>
      </w:r>
      <w:r w:rsidRPr="00EF008E">
        <w:rPr>
          <w:rFonts w:ascii="Arial" w:hAnsi="Arial" w:cs="Arial"/>
          <w:color w:val="000000"/>
          <w:sz w:val="22"/>
          <w:szCs w:val="22"/>
          <w:lang w:val="sr-Cyrl-RS"/>
        </w:rPr>
        <w:t xml:space="preserve"> Многи универзитети широм Европе усвајају акционе планове којима се подстиче афирмација једнакости и поштовање различитости, у оквиру којих су и мере за остваривање родне равноправности. Тако су, на пример, акционе планове усвојили универзитети у Хелсинкију, Кембриџу, Единбургу, Фрајбургу, Бергену, Оребру, Берлину, Бечу,</w:t>
      </w:r>
      <w:r w:rsidRPr="00EF008E">
        <w:rPr>
          <w:rFonts w:ascii="Arial" w:hAnsi="Arial" w:cs="Arial"/>
          <w:color w:val="000000"/>
          <w:sz w:val="22"/>
          <w:szCs w:val="22"/>
          <w:vertAlign w:val="superscript"/>
          <w:lang w:val="sr-Cyrl-RS"/>
        </w:rPr>
        <w:t>328</w:t>
      </w:r>
      <w:r w:rsidRPr="00EF008E">
        <w:rPr>
          <w:rFonts w:ascii="Arial" w:hAnsi="Arial" w:cs="Arial"/>
          <w:color w:val="000000"/>
          <w:sz w:val="22"/>
          <w:szCs w:val="22"/>
          <w:lang w:val="sr-Cyrl-RS"/>
        </w:rPr>
        <w:t xml:space="preserve"> као и многи други универзитети. Ови планови обухватају мере усмерене на процену, преиспитивање и измену високошколских процедура и пракси које треба да омогуће откривање родних дисбаланса, примену нових стратегија за њихово укидање, као и дефинисање циљева, мера и индикатора за праћење њихових ефеката. На појединим универзитетима постоје посебне канцеларије за једнаке могућности, а на факултетима повереници за једнаке могућности, који пружају савете у вези са остваривањем принципа једнаких могућности, укључујући и поступање по притужбама због нарушавања принципа једнаких могућности у изборним процедурама, сексуалног узнемиравања, прогањања и др.</w:t>
      </w:r>
      <w:r w:rsidRPr="00EF008E">
        <w:rPr>
          <w:rFonts w:ascii="Arial" w:hAnsi="Arial" w:cs="Arial"/>
          <w:color w:val="000000"/>
          <w:sz w:val="22"/>
          <w:szCs w:val="22"/>
          <w:vertAlign w:val="superscript"/>
          <w:lang w:val="sr-Cyrl-RS"/>
        </w:rPr>
        <w:t>329</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Људска безбедност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Примена Резолуције СБ УН 1325 проширила се у протеклих двадесет година усвајањем девет нових резолуција, које су све заједно постале познате као Агенда жена, мира и безбедности.</w:t>
      </w:r>
      <w:r w:rsidRPr="00EF008E">
        <w:rPr>
          <w:rFonts w:ascii="Arial" w:hAnsi="Arial" w:cs="Arial"/>
          <w:color w:val="000000"/>
          <w:sz w:val="22"/>
          <w:szCs w:val="22"/>
          <w:vertAlign w:val="superscript"/>
          <w:lang w:val="sr-Cyrl-RS"/>
        </w:rPr>
        <w:t>330</w:t>
      </w:r>
      <w:r w:rsidRPr="00EF008E">
        <w:rPr>
          <w:rFonts w:ascii="Arial" w:hAnsi="Arial" w:cs="Arial"/>
          <w:color w:val="000000"/>
          <w:sz w:val="22"/>
          <w:szCs w:val="22"/>
          <w:lang w:val="sr-Cyrl-RS"/>
        </w:rPr>
        <w:t xml:space="preserve"> До јануара 2019. године 79 држава чланица УН-а (40% држава чланица УН) усвојило је националне акционе планове за примену Резолуције СБ УН 1325</w:t>
      </w:r>
      <w:r w:rsidRPr="00EF008E">
        <w:rPr>
          <w:rFonts w:ascii="Arial" w:hAnsi="Arial" w:cs="Arial"/>
          <w:color w:val="000000"/>
          <w:sz w:val="22"/>
          <w:szCs w:val="22"/>
          <w:vertAlign w:val="superscript"/>
          <w:lang w:val="sr-Cyrl-RS"/>
        </w:rPr>
        <w:t>331</w:t>
      </w:r>
      <w:r w:rsidRPr="00EF008E">
        <w:rPr>
          <w:rFonts w:ascii="Arial" w:hAnsi="Arial" w:cs="Arial"/>
          <w:color w:val="000000"/>
          <w:sz w:val="22"/>
          <w:szCs w:val="22"/>
          <w:lang w:val="sr-Cyrl-RS"/>
        </w:rPr>
        <w:t>, усвојено је 11 регионалних акционих планова, као што су планови Афричке уније</w:t>
      </w:r>
      <w:r w:rsidRPr="00EF008E">
        <w:rPr>
          <w:rFonts w:ascii="Arial" w:hAnsi="Arial" w:cs="Arial"/>
          <w:color w:val="000000"/>
          <w:sz w:val="22"/>
          <w:szCs w:val="22"/>
          <w:vertAlign w:val="superscript"/>
          <w:lang w:val="sr-Cyrl-RS"/>
        </w:rPr>
        <w:t>332</w:t>
      </w:r>
      <w:r w:rsidRPr="00EF008E">
        <w:rPr>
          <w:rFonts w:ascii="Arial" w:hAnsi="Arial" w:cs="Arial"/>
          <w:color w:val="000000"/>
          <w:sz w:val="22"/>
          <w:szCs w:val="22"/>
          <w:lang w:val="sr-Cyrl-RS"/>
        </w:rPr>
        <w:t xml:space="preserve">, Азија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Пацифичке уније</w:t>
      </w:r>
      <w:r w:rsidRPr="00EF008E">
        <w:rPr>
          <w:rFonts w:ascii="Arial" w:hAnsi="Arial" w:cs="Arial"/>
          <w:color w:val="000000"/>
          <w:sz w:val="22"/>
          <w:szCs w:val="22"/>
          <w:vertAlign w:val="superscript"/>
          <w:lang w:val="sr-Cyrl-RS"/>
        </w:rPr>
        <w:t>333</w:t>
      </w:r>
      <w:r w:rsidRPr="00EF008E">
        <w:rPr>
          <w:rFonts w:ascii="Arial" w:hAnsi="Arial" w:cs="Arial"/>
          <w:color w:val="000000"/>
          <w:sz w:val="22"/>
          <w:szCs w:val="22"/>
          <w:lang w:val="sr-Cyrl-RS"/>
        </w:rPr>
        <w:t>, ЕУ</w:t>
      </w:r>
      <w:r w:rsidRPr="00EF008E">
        <w:rPr>
          <w:rFonts w:ascii="Arial" w:hAnsi="Arial" w:cs="Arial"/>
          <w:color w:val="000000"/>
          <w:sz w:val="22"/>
          <w:szCs w:val="22"/>
          <w:vertAlign w:val="superscript"/>
          <w:lang w:val="sr-Cyrl-RS"/>
        </w:rPr>
        <w:t>334</w:t>
      </w:r>
      <w:r w:rsidRPr="00EF008E">
        <w:rPr>
          <w:rFonts w:ascii="Arial" w:hAnsi="Arial" w:cs="Arial"/>
          <w:color w:val="000000"/>
          <w:sz w:val="22"/>
          <w:szCs w:val="22"/>
          <w:lang w:val="sr-Cyrl-RS"/>
        </w:rPr>
        <w:t>, као и Мисије ОЕБС.</w:t>
      </w:r>
      <w:r w:rsidRPr="00EF008E">
        <w:rPr>
          <w:rFonts w:ascii="Arial" w:hAnsi="Arial" w:cs="Arial"/>
          <w:color w:val="000000"/>
          <w:sz w:val="22"/>
          <w:szCs w:val="22"/>
          <w:vertAlign w:val="superscript"/>
          <w:lang w:val="sr-Cyrl-RS"/>
        </w:rPr>
        <w:t>335</w:t>
      </w:r>
      <w:r w:rsidRPr="00EF008E">
        <w:rPr>
          <w:rFonts w:ascii="Arial" w:hAnsi="Arial" w:cs="Arial"/>
          <w:color w:val="000000"/>
          <w:sz w:val="22"/>
          <w:szCs w:val="22"/>
          <w:lang w:val="sr-Cyrl-RS"/>
        </w:rPr>
        <w:t xml:space="preserve"> Поред Републике Србије која је 2017. године усвојила други НАП за примену Резолуције СБ УН 1325 за период 2017</w:t>
      </w:r>
      <w:r>
        <w:rPr>
          <w:rFonts w:ascii="Arial" w:hAnsi="Arial" w:cs="Arial"/>
          <w:color w:val="000000"/>
          <w:sz w:val="22"/>
          <w:szCs w:val="22"/>
          <w:lang w:val="sr-Cyrl-RS"/>
        </w:rPr>
        <w:t>-</w:t>
      </w:r>
      <w:r w:rsidRPr="00EF008E">
        <w:rPr>
          <w:rFonts w:ascii="Arial" w:hAnsi="Arial" w:cs="Arial"/>
          <w:color w:val="000000"/>
          <w:sz w:val="22"/>
          <w:szCs w:val="22"/>
          <w:lang w:val="sr-Cyrl-RS"/>
        </w:rPr>
        <w:t>2020, друге по реду НАП</w:t>
      </w:r>
      <w:r>
        <w:rPr>
          <w:rFonts w:ascii="Arial" w:hAnsi="Arial" w:cs="Arial"/>
          <w:color w:val="000000"/>
          <w:sz w:val="22"/>
          <w:szCs w:val="22"/>
          <w:lang w:val="sr-Cyrl-RS"/>
        </w:rPr>
        <w:t>-</w:t>
      </w:r>
      <w:r w:rsidRPr="00EF008E">
        <w:rPr>
          <w:rFonts w:ascii="Arial" w:hAnsi="Arial" w:cs="Arial"/>
          <w:color w:val="000000"/>
          <w:sz w:val="22"/>
          <w:szCs w:val="22"/>
          <w:lang w:val="sr-Cyrl-RS"/>
        </w:rPr>
        <w:t>ове усвојиле су Република Словенија (2018</w:t>
      </w:r>
      <w:r>
        <w:rPr>
          <w:rFonts w:ascii="Arial" w:hAnsi="Arial" w:cs="Arial"/>
          <w:color w:val="000000"/>
          <w:sz w:val="22"/>
          <w:szCs w:val="22"/>
          <w:lang w:val="sr-Cyrl-RS"/>
        </w:rPr>
        <w:t>-</w:t>
      </w:r>
      <w:r w:rsidRPr="00EF008E">
        <w:rPr>
          <w:rFonts w:ascii="Arial" w:hAnsi="Arial" w:cs="Arial"/>
          <w:color w:val="000000"/>
          <w:sz w:val="22"/>
          <w:szCs w:val="22"/>
          <w:lang w:val="sr-Cyrl-RS"/>
        </w:rPr>
        <w:t>2020) и Краљевина Шпанија (2017</w:t>
      </w:r>
      <w:r>
        <w:rPr>
          <w:rFonts w:ascii="Arial" w:hAnsi="Arial" w:cs="Arial"/>
          <w:color w:val="000000"/>
          <w:sz w:val="22"/>
          <w:szCs w:val="22"/>
          <w:lang w:val="sr-Cyrl-RS"/>
        </w:rPr>
        <w:t>-</w:t>
      </w:r>
      <w:r w:rsidRPr="00EF008E">
        <w:rPr>
          <w:rFonts w:ascii="Arial" w:hAnsi="Arial" w:cs="Arial"/>
          <w:color w:val="000000"/>
          <w:sz w:val="22"/>
          <w:szCs w:val="22"/>
          <w:lang w:val="sr-Cyrl-RS"/>
        </w:rPr>
        <w:t>2023.) Треће по реду НАП-ове су усвојиле Краљевина Белгија (2017</w:t>
      </w:r>
      <w:r>
        <w:rPr>
          <w:rFonts w:ascii="Arial" w:hAnsi="Arial" w:cs="Arial"/>
          <w:color w:val="000000"/>
          <w:sz w:val="22"/>
          <w:szCs w:val="22"/>
          <w:lang w:val="sr-Cyrl-RS"/>
        </w:rPr>
        <w:t>-</w:t>
      </w:r>
      <w:r w:rsidRPr="00EF008E">
        <w:rPr>
          <w:rFonts w:ascii="Arial" w:hAnsi="Arial" w:cs="Arial"/>
          <w:color w:val="000000"/>
          <w:sz w:val="22"/>
          <w:szCs w:val="22"/>
          <w:lang w:val="sr-Cyrl-RS"/>
        </w:rPr>
        <w:t>2021), Босна и Херцеговина (2018</w:t>
      </w:r>
      <w:r>
        <w:rPr>
          <w:rFonts w:ascii="Arial" w:hAnsi="Arial" w:cs="Arial"/>
          <w:color w:val="000000"/>
          <w:sz w:val="22"/>
          <w:szCs w:val="22"/>
          <w:lang w:val="sr-Cyrl-RS"/>
        </w:rPr>
        <w:t>-</w:t>
      </w:r>
      <w:r w:rsidRPr="00EF008E">
        <w:rPr>
          <w:rFonts w:ascii="Arial" w:hAnsi="Arial" w:cs="Arial"/>
          <w:color w:val="000000"/>
          <w:sz w:val="22"/>
          <w:szCs w:val="22"/>
          <w:lang w:val="sr-Cyrl-RS"/>
        </w:rPr>
        <w:t>2022), Краљевина Данска (2014</w:t>
      </w:r>
      <w:r>
        <w:rPr>
          <w:rFonts w:ascii="Arial" w:hAnsi="Arial" w:cs="Arial"/>
          <w:color w:val="000000"/>
          <w:sz w:val="22"/>
          <w:szCs w:val="22"/>
          <w:lang w:val="sr-Cyrl-RS"/>
        </w:rPr>
        <w:t>-</w:t>
      </w:r>
      <w:r w:rsidRPr="00EF008E">
        <w:rPr>
          <w:rFonts w:ascii="Arial" w:hAnsi="Arial" w:cs="Arial"/>
          <w:color w:val="000000"/>
          <w:sz w:val="22"/>
          <w:szCs w:val="22"/>
          <w:lang w:val="sr-Cyrl-RS"/>
        </w:rPr>
        <w:t>2019), Република Француска (2015</w:t>
      </w:r>
      <w:r>
        <w:rPr>
          <w:rFonts w:ascii="Arial" w:hAnsi="Arial" w:cs="Arial"/>
          <w:color w:val="000000"/>
          <w:sz w:val="22"/>
          <w:szCs w:val="22"/>
          <w:lang w:val="sr-Cyrl-RS"/>
        </w:rPr>
        <w:t>-</w:t>
      </w:r>
      <w:r w:rsidRPr="00EF008E">
        <w:rPr>
          <w:rFonts w:ascii="Arial" w:hAnsi="Arial" w:cs="Arial"/>
          <w:color w:val="000000"/>
          <w:sz w:val="22"/>
          <w:szCs w:val="22"/>
          <w:lang w:val="sr-Cyrl-RS"/>
        </w:rPr>
        <w:t>2018). Савезна Република Немачка (2021</w:t>
      </w:r>
      <w:r>
        <w:rPr>
          <w:rFonts w:ascii="Arial" w:hAnsi="Arial" w:cs="Arial"/>
          <w:color w:val="000000"/>
          <w:sz w:val="22"/>
          <w:szCs w:val="22"/>
          <w:lang w:val="sr-Cyrl-RS"/>
        </w:rPr>
        <w:t>-</w:t>
      </w:r>
      <w:r w:rsidRPr="00EF008E">
        <w:rPr>
          <w:rFonts w:ascii="Arial" w:hAnsi="Arial" w:cs="Arial"/>
          <w:color w:val="000000"/>
          <w:sz w:val="22"/>
          <w:szCs w:val="22"/>
          <w:lang w:val="sr-Cyrl-RS"/>
        </w:rPr>
        <w:t>2024), Република Италија (2016</w:t>
      </w:r>
      <w:r>
        <w:rPr>
          <w:rFonts w:ascii="Arial" w:hAnsi="Arial" w:cs="Arial"/>
          <w:color w:val="000000"/>
          <w:sz w:val="22"/>
          <w:szCs w:val="22"/>
          <w:lang w:val="sr-Cyrl-RS"/>
        </w:rPr>
        <w:t>-</w:t>
      </w:r>
      <w:r w:rsidRPr="00EF008E">
        <w:rPr>
          <w:rFonts w:ascii="Arial" w:hAnsi="Arial" w:cs="Arial"/>
          <w:color w:val="000000"/>
          <w:sz w:val="22"/>
          <w:szCs w:val="22"/>
          <w:lang w:val="sr-Cyrl-RS"/>
        </w:rPr>
        <w:t>2019), Краљевина Шведска (2016</w:t>
      </w:r>
      <w:r>
        <w:rPr>
          <w:rFonts w:ascii="Arial" w:hAnsi="Arial" w:cs="Arial"/>
          <w:color w:val="000000"/>
          <w:sz w:val="22"/>
          <w:szCs w:val="22"/>
          <w:lang w:val="sr-Cyrl-RS"/>
        </w:rPr>
        <w:t>-</w:t>
      </w:r>
      <w:r w:rsidRPr="00EF008E">
        <w:rPr>
          <w:rFonts w:ascii="Arial" w:hAnsi="Arial" w:cs="Arial"/>
          <w:color w:val="000000"/>
          <w:sz w:val="22"/>
          <w:szCs w:val="22"/>
          <w:lang w:val="sr-Cyrl-RS"/>
        </w:rPr>
        <w:t>2020) и Ирска (2019</w:t>
      </w:r>
      <w:r>
        <w:rPr>
          <w:rFonts w:ascii="Arial" w:hAnsi="Arial" w:cs="Arial"/>
          <w:color w:val="000000"/>
          <w:sz w:val="22"/>
          <w:szCs w:val="22"/>
          <w:lang w:val="sr-Cyrl-RS"/>
        </w:rPr>
        <w:t>-</w:t>
      </w:r>
      <w:r w:rsidRPr="00EF008E">
        <w:rPr>
          <w:rFonts w:ascii="Arial" w:hAnsi="Arial" w:cs="Arial"/>
          <w:color w:val="000000"/>
          <w:sz w:val="22"/>
          <w:szCs w:val="22"/>
          <w:lang w:val="sr-Cyrl-RS"/>
        </w:rPr>
        <w:t>2024). Једина земља која је усвојила четврти НАП је Уједињено краљевство (2018</w:t>
      </w:r>
      <w:r>
        <w:rPr>
          <w:rFonts w:ascii="Arial" w:hAnsi="Arial" w:cs="Arial"/>
          <w:color w:val="000000"/>
          <w:sz w:val="22"/>
          <w:szCs w:val="22"/>
          <w:lang w:val="sr-Cyrl-RS"/>
        </w:rPr>
        <w:t>-</w:t>
      </w:r>
      <w:r w:rsidRPr="00EF008E">
        <w:rPr>
          <w:rFonts w:ascii="Arial" w:hAnsi="Arial" w:cs="Arial"/>
          <w:color w:val="000000"/>
          <w:sz w:val="22"/>
          <w:szCs w:val="22"/>
          <w:lang w:val="sr-Cyrl-RS"/>
        </w:rPr>
        <w:t>2022).</w:t>
      </w:r>
      <w:r w:rsidRPr="00EF008E">
        <w:rPr>
          <w:rFonts w:ascii="Arial" w:hAnsi="Arial" w:cs="Arial"/>
          <w:color w:val="000000"/>
          <w:sz w:val="22"/>
          <w:szCs w:val="22"/>
          <w:vertAlign w:val="superscript"/>
          <w:lang w:val="sr-Cyrl-RS"/>
        </w:rPr>
        <w:t>336</w:t>
      </w:r>
      <w:r w:rsidRPr="00EF008E">
        <w:rPr>
          <w:rFonts w:ascii="Arial" w:hAnsi="Arial" w:cs="Arial"/>
          <w:color w:val="000000"/>
          <w:sz w:val="22"/>
          <w:szCs w:val="22"/>
          <w:lang w:val="sr-Cyrl-RS"/>
        </w:rPr>
        <w:t xml:space="preserve"> У већини земаља у свету, укључујући и земље Западног Балкана, учешће жена у процесима помирења је занемариво, што негативно утиче на промену стварности у правцу концепта људске безбедности. Уместо улагања у добробит и благостање појединки и појединаца, државе у оквиру Агенде Жене, мир, безбедност и даље инвестирају у безбедносне структуре: војску, полицију и службе безбедности.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Родно засновано насиље према женама и у породици. Република Аустрија је једна од водећих држава у Европи у борби против родно заснованог насиља.</w:t>
      </w:r>
      <w:r w:rsidRPr="00EF008E">
        <w:rPr>
          <w:rFonts w:ascii="Arial" w:hAnsi="Arial" w:cs="Arial"/>
          <w:color w:val="000000"/>
          <w:sz w:val="22"/>
          <w:szCs w:val="22"/>
          <w:vertAlign w:val="superscript"/>
          <w:lang w:val="sr-Cyrl-RS"/>
        </w:rPr>
        <w:t>337</w:t>
      </w:r>
      <w:r w:rsidRPr="00EF008E">
        <w:rPr>
          <w:rFonts w:ascii="Arial" w:hAnsi="Arial" w:cs="Arial"/>
          <w:color w:val="000000"/>
          <w:sz w:val="22"/>
          <w:szCs w:val="22"/>
          <w:lang w:val="sr-Cyrl-RS"/>
        </w:rPr>
        <w:t xml:space="preserve"> Правни оквир заштите од насиља успостављен је 1996. године Законом о заштити од насиља у породици, којим је успостављен тзв. аустријски модел интервенције у случајевима насиља у породици</w:t>
      </w:r>
      <w:r w:rsidRPr="00EF008E">
        <w:rPr>
          <w:rFonts w:ascii="Arial" w:hAnsi="Arial" w:cs="Arial"/>
          <w:color w:val="000000"/>
          <w:sz w:val="22"/>
          <w:szCs w:val="22"/>
          <w:vertAlign w:val="superscript"/>
          <w:lang w:val="sr-Cyrl-RS"/>
        </w:rPr>
        <w:t>338</w:t>
      </w:r>
      <w:r w:rsidRPr="00EF008E">
        <w:rPr>
          <w:rFonts w:ascii="Arial" w:hAnsi="Arial" w:cs="Arial"/>
          <w:color w:val="000000"/>
          <w:sz w:val="22"/>
          <w:szCs w:val="22"/>
          <w:lang w:val="sr-Cyrl-RS"/>
        </w:rPr>
        <w:t>, потом Законом о заштити од насиља из 2008. године, који је утицао на измене низа закона у циљу побољшања заштите и пружања подршке жртвама.</w:t>
      </w:r>
      <w:r w:rsidRPr="00EF008E">
        <w:rPr>
          <w:rFonts w:ascii="Arial" w:hAnsi="Arial" w:cs="Arial"/>
          <w:color w:val="000000"/>
          <w:sz w:val="22"/>
          <w:szCs w:val="22"/>
          <w:vertAlign w:val="superscript"/>
          <w:lang w:val="sr-Cyrl-RS"/>
        </w:rPr>
        <w:t>339</w:t>
      </w:r>
      <w:r w:rsidRPr="00EF008E">
        <w:rPr>
          <w:rFonts w:ascii="Arial" w:hAnsi="Arial" w:cs="Arial"/>
          <w:color w:val="000000"/>
          <w:sz w:val="22"/>
          <w:szCs w:val="22"/>
          <w:lang w:val="sr-Cyrl-RS"/>
        </w:rPr>
        <w:t xml:space="preserve"> Опсежна реформа система заштите од насиља следила је након усвајања Закона о заштити од насиља у породици 2019. године,</w:t>
      </w:r>
      <w:r w:rsidRPr="00EF008E">
        <w:rPr>
          <w:rFonts w:ascii="Arial" w:hAnsi="Arial" w:cs="Arial"/>
          <w:color w:val="000000"/>
          <w:sz w:val="22"/>
          <w:szCs w:val="22"/>
          <w:vertAlign w:val="superscript"/>
          <w:lang w:val="sr-Cyrl-RS"/>
        </w:rPr>
        <w:t>340</w:t>
      </w:r>
      <w:r w:rsidRPr="00EF008E">
        <w:rPr>
          <w:rFonts w:ascii="Arial" w:hAnsi="Arial" w:cs="Arial"/>
          <w:color w:val="000000"/>
          <w:sz w:val="22"/>
          <w:szCs w:val="22"/>
          <w:lang w:val="sr-Cyrl-RS"/>
        </w:rPr>
        <w:t xml:space="preserve"> а базирана је на програму Савезне владе 2017</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2022. године, у коме се један од приоритета односи на оштрије казне за извршиоце сексуалних и насилних злочина. За случајеве насиља високог ризика примењује се </w:t>
      </w:r>
      <w:r>
        <w:rPr>
          <w:rFonts w:ascii="Arial" w:hAnsi="Arial" w:cs="Arial"/>
          <w:color w:val="000000"/>
          <w:sz w:val="22"/>
          <w:szCs w:val="22"/>
          <w:lang w:val="sr-Cyrl-RS"/>
        </w:rPr>
        <w:t>"</w:t>
      </w:r>
      <w:r w:rsidRPr="00EF008E">
        <w:rPr>
          <w:rFonts w:ascii="Arial" w:hAnsi="Arial" w:cs="Arial"/>
          <w:color w:val="000000"/>
          <w:sz w:val="22"/>
          <w:szCs w:val="22"/>
          <w:lang w:val="sr-Cyrl-RS"/>
        </w:rPr>
        <w:t>конференција случаја</w:t>
      </w:r>
      <w:r>
        <w:rPr>
          <w:rFonts w:ascii="Arial" w:hAnsi="Arial" w:cs="Arial"/>
          <w:color w:val="000000"/>
          <w:sz w:val="22"/>
          <w:szCs w:val="22"/>
          <w:lang w:val="sr-Cyrl-RS"/>
        </w:rPr>
        <w:t>"</w:t>
      </w:r>
      <w:r w:rsidRPr="00EF008E">
        <w:rPr>
          <w:rFonts w:ascii="Arial" w:hAnsi="Arial" w:cs="Arial"/>
          <w:color w:val="000000"/>
          <w:sz w:val="22"/>
          <w:szCs w:val="22"/>
          <w:lang w:val="sr-Cyrl-RS"/>
        </w:rPr>
        <w:t>, а здравствени радници дужни су да пријаве насиље и злостављање. У свим покрајинама постоје Интервентни центри за заштиту од насиља у породици</w:t>
      </w:r>
      <w:r w:rsidRPr="00EF008E">
        <w:rPr>
          <w:rFonts w:ascii="Arial" w:hAnsi="Arial" w:cs="Arial"/>
          <w:color w:val="000000"/>
          <w:sz w:val="22"/>
          <w:szCs w:val="22"/>
          <w:vertAlign w:val="superscript"/>
          <w:lang w:val="sr-Cyrl-RS"/>
        </w:rPr>
        <w:t>341</w:t>
      </w:r>
      <w:r w:rsidRPr="00EF008E">
        <w:rPr>
          <w:rFonts w:ascii="Arial" w:hAnsi="Arial" w:cs="Arial"/>
          <w:color w:val="000000"/>
          <w:sz w:val="22"/>
          <w:szCs w:val="22"/>
          <w:lang w:val="sr-Cyrl-RS"/>
        </w:rPr>
        <w:t>, који се финансирају из буџета и пружају специјализоване услуге подршке жртвама насиља. Услуге пружа више од 130 саветовалишта, као непрофитних организација, чији рад суфинансира аустријска влада, а 30 склоништа за жене, пружају услуге смештаја, психосоцијалну подршку, помоћ у проналажењу посла, правну подршку, правну и психо-социјалну помоћ током трајања судског поступка итд.</w:t>
      </w:r>
      <w:r w:rsidRPr="00EF008E">
        <w:rPr>
          <w:rFonts w:ascii="Arial" w:hAnsi="Arial" w:cs="Arial"/>
          <w:color w:val="000000"/>
          <w:sz w:val="22"/>
          <w:szCs w:val="22"/>
          <w:vertAlign w:val="superscript"/>
          <w:lang w:val="sr-Cyrl-RS"/>
        </w:rPr>
        <w:t>342</w:t>
      </w:r>
      <w:r w:rsidRPr="00EF008E">
        <w:rPr>
          <w:rFonts w:ascii="Arial" w:hAnsi="Arial" w:cs="Arial"/>
          <w:color w:val="000000"/>
          <w:sz w:val="22"/>
          <w:szCs w:val="22"/>
          <w:lang w:val="sr-Cyrl-RS"/>
        </w:rPr>
        <w:t xml:space="preserve"> Женска телефонска линија за помоћ доступна је нон-стоп широм земље, као прва тачка за контакт жртвама породичног насиља.</w:t>
      </w:r>
      <w:r w:rsidRPr="00EF008E">
        <w:rPr>
          <w:rFonts w:ascii="Arial" w:hAnsi="Arial" w:cs="Arial"/>
          <w:color w:val="000000"/>
          <w:sz w:val="22"/>
          <w:szCs w:val="22"/>
          <w:vertAlign w:val="superscript"/>
          <w:lang w:val="sr-Cyrl-RS"/>
        </w:rPr>
        <w:t>343</w:t>
      </w:r>
      <w:r w:rsidRPr="00EF008E">
        <w:rPr>
          <w:rFonts w:ascii="Arial" w:hAnsi="Arial" w:cs="Arial"/>
          <w:color w:val="000000"/>
          <w:sz w:val="22"/>
          <w:szCs w:val="22"/>
          <w:lang w:val="sr-Cyrl-RS"/>
        </w:rPr>
        <w:t xml:space="preserve"> Одељење за статистику криминалитета прикупља полицијске извештаје и класификује их према кривичним делима. У Републици Италији постоје базе родно осетљивих података о насиљу. Једна је у Министарству унутрашњих послова, која садржи податке о кривичним делима, броју пријављених случајева насиља и броју жртава. Друга је у Министарству правде, која садржи податке о броју судских поступака, кривичним делима, трајању поступка од пријаве дела до покретања поступка, укупном трајању поступка. У Краљевини Норвешкој постоје центри за жртве силовања и сексуалног насиља у сваком региону који су повезани са међуопштинским ургентним клиникама, као и Национални центар и пет регионалних ресурсних центара који прикупљају стручне информације у вези са насиљем и његовим последицама, пружају специјализоване обуке за професионалце/ке који раде у овој области и координишу сарадњу између различитих служби и сервиса за подршку жртвама. У Финској Републици је 2010. године применом метода MARAC</w:t>
      </w:r>
      <w:r w:rsidRPr="00EF008E">
        <w:rPr>
          <w:rFonts w:ascii="Arial" w:hAnsi="Arial" w:cs="Arial"/>
          <w:color w:val="000000"/>
          <w:sz w:val="22"/>
          <w:szCs w:val="22"/>
          <w:vertAlign w:val="superscript"/>
          <w:lang w:val="sr-Cyrl-RS"/>
        </w:rPr>
        <w:t>344</w:t>
      </w:r>
      <w:r w:rsidRPr="00EF008E">
        <w:rPr>
          <w:rFonts w:ascii="Arial" w:hAnsi="Arial" w:cs="Arial"/>
          <w:color w:val="000000"/>
          <w:sz w:val="22"/>
          <w:szCs w:val="22"/>
          <w:lang w:val="sr-Cyrl-RS"/>
        </w:rPr>
        <w:t xml:space="preserve"> успостављен мултисекторски систем процене ризика од насиља, а већ крајем 2016. године, у Финској Републици су деловале 32 радне групе MARAC-a. У Краљевини Холандији се од 2018. године користи SASH</w:t>
      </w:r>
      <w:r>
        <w:rPr>
          <w:rFonts w:ascii="Arial" w:hAnsi="Arial" w:cs="Arial"/>
          <w:color w:val="000000"/>
          <w:sz w:val="22"/>
          <w:szCs w:val="22"/>
          <w:lang w:val="sr-Cyrl-RS"/>
        </w:rPr>
        <w:t>-</w:t>
      </w:r>
      <w:r w:rsidRPr="00EF008E">
        <w:rPr>
          <w:rFonts w:ascii="Arial" w:hAnsi="Arial" w:cs="Arial"/>
          <w:color w:val="000000"/>
          <w:sz w:val="22"/>
          <w:szCs w:val="22"/>
          <w:lang w:val="sr-Cyrl-RS"/>
        </w:rPr>
        <w:t>скрининг за прогањање и злостављање</w:t>
      </w:r>
      <w:r w:rsidRPr="00EF008E">
        <w:rPr>
          <w:rFonts w:ascii="Arial" w:hAnsi="Arial" w:cs="Arial"/>
          <w:color w:val="000000"/>
          <w:sz w:val="22"/>
          <w:szCs w:val="22"/>
          <w:vertAlign w:val="superscript"/>
          <w:lang w:val="sr-Cyrl-RS"/>
        </w:rPr>
        <w:t>345</w:t>
      </w:r>
      <w:r w:rsidRPr="00EF008E">
        <w:rPr>
          <w:rFonts w:ascii="Arial" w:hAnsi="Arial" w:cs="Arial"/>
          <w:color w:val="000000"/>
          <w:sz w:val="22"/>
          <w:szCs w:val="22"/>
          <w:lang w:val="sr-Cyrl-RS"/>
        </w:rPr>
        <w:t>, а за процену ризика од опасности од насиља у партнерским односима користи се и алат RIHG</w:t>
      </w:r>
      <w:r w:rsidRPr="00EF008E">
        <w:rPr>
          <w:rFonts w:ascii="Arial" w:hAnsi="Arial" w:cs="Arial"/>
          <w:color w:val="000000"/>
          <w:sz w:val="22"/>
          <w:szCs w:val="22"/>
          <w:vertAlign w:val="superscript"/>
          <w:lang w:val="sr-Cyrl-RS"/>
        </w:rPr>
        <w:t>346</w:t>
      </w:r>
      <w:r w:rsidRPr="00EF008E">
        <w:rPr>
          <w:rFonts w:ascii="Arial" w:hAnsi="Arial" w:cs="Arial"/>
          <w:color w:val="000000"/>
          <w:sz w:val="22"/>
          <w:szCs w:val="22"/>
          <w:lang w:val="sr-Cyrl-RS"/>
        </w:rPr>
        <w:t>, који се обавезно примењује пре доношења одлуке о издавању привремене забране приласка. Краљевина Шведска основала је Национални центар за злостављане и силоване жене у болници у Упсали, где се обављају лекарски прегледи и пружа третман и подршка женама које су изложене насиљу. У Краљевини Шпанији од 2007. године постоји Државна опсерваторија за насиље у породици и родно засновано насиље која делује под покровитељством Министарства за здравље, социјалну политику и равноправност, а Генерално веће правосуђа тромесечно прикупља податке од правосудних тела, који се објављују у Посебном билтену о насиљу према женама.</w:t>
      </w:r>
      <w:r w:rsidRPr="00EF008E">
        <w:rPr>
          <w:rFonts w:ascii="Arial" w:hAnsi="Arial" w:cs="Arial"/>
          <w:color w:val="000000"/>
          <w:sz w:val="22"/>
          <w:szCs w:val="22"/>
          <w:vertAlign w:val="superscript"/>
          <w:lang w:val="sr-Cyrl-RS"/>
        </w:rPr>
        <w:t>347</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Заступљеност жена у парламентима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Према подацима Агенције УН за родну равноправност и оснаживање жена, жене су недовољно заступљене на свим нивоима одлучивања широм света. На највишим позицијама власти жене се налазе у само 22 земље, 10 су председнице државе, а 12 председнице владе.</w:t>
      </w:r>
      <w:r w:rsidRPr="00EF008E">
        <w:rPr>
          <w:rFonts w:ascii="Arial" w:hAnsi="Arial" w:cs="Arial"/>
          <w:color w:val="000000"/>
          <w:sz w:val="22"/>
          <w:szCs w:val="22"/>
          <w:vertAlign w:val="superscript"/>
          <w:lang w:val="sr-Cyrl-RS"/>
        </w:rPr>
        <w:t>348</w:t>
      </w:r>
      <w:r w:rsidRPr="00EF008E">
        <w:rPr>
          <w:rFonts w:ascii="Arial" w:hAnsi="Arial" w:cs="Arial"/>
          <w:color w:val="000000"/>
          <w:sz w:val="22"/>
          <w:szCs w:val="22"/>
          <w:lang w:val="sr-Cyrl-RS"/>
        </w:rPr>
        <w:t xml:space="preserve"> У 119 држава жене никада нису обављале ове функције. На позицији министра је свега 21% жена, које су на челу ресора надлежних за породицу, децу, старије, особе са инвалидитетом, социјална питања, родну равноправност, културу, али и заштиту животне средине, природних ресурса, рад и запошљавање. Само у 14 земаља у саставу владе је 50% жена. Укупна заступљеност жена у свим националним парламентима је 25,4%.</w:t>
      </w:r>
      <w:r w:rsidRPr="00EF008E">
        <w:rPr>
          <w:rFonts w:ascii="Arial" w:hAnsi="Arial" w:cs="Arial"/>
          <w:color w:val="000000"/>
          <w:sz w:val="22"/>
          <w:szCs w:val="22"/>
          <w:vertAlign w:val="superscript"/>
          <w:lang w:val="sr-Cyrl-RS"/>
        </w:rPr>
        <w:t>349</w:t>
      </w:r>
      <w:r w:rsidRPr="00EF008E">
        <w:rPr>
          <w:rFonts w:ascii="Arial" w:hAnsi="Arial" w:cs="Arial"/>
          <w:color w:val="000000"/>
          <w:sz w:val="22"/>
          <w:szCs w:val="22"/>
          <w:lang w:val="sr-Cyrl-RS"/>
        </w:rPr>
        <w:t xml:space="preserve"> У парламентима само три државе жене су заступљене 50% и више</w:t>
      </w:r>
      <w:r w:rsidRPr="00EF008E">
        <w:rPr>
          <w:rFonts w:ascii="Arial" w:hAnsi="Arial" w:cs="Arial"/>
          <w:color w:val="000000"/>
          <w:sz w:val="22"/>
          <w:szCs w:val="22"/>
          <w:vertAlign w:val="superscript"/>
          <w:lang w:val="sr-Cyrl-RS"/>
        </w:rPr>
        <w:t>350</w:t>
      </w:r>
      <w:r w:rsidRPr="00EF008E">
        <w:rPr>
          <w:rFonts w:ascii="Arial" w:hAnsi="Arial" w:cs="Arial"/>
          <w:color w:val="000000"/>
          <w:sz w:val="22"/>
          <w:szCs w:val="22"/>
          <w:lang w:val="sr-Cyrl-RS"/>
        </w:rPr>
        <w:t>, а у 20 држава заступљеност жена у парламентима достигла је или премашила 40%. На позицији председнице парламента је укупно 58 (20,86%) жена. Нешто је већа заступљеност жена (36%) на локалном нивоу. Само у две земље заступљеност жена у овим телима је 50%, а у 18 земаља више од 40%.</w:t>
      </w:r>
      <w:r w:rsidRPr="00EF008E">
        <w:rPr>
          <w:rFonts w:ascii="Arial" w:hAnsi="Arial" w:cs="Arial"/>
          <w:color w:val="000000"/>
          <w:sz w:val="22"/>
          <w:szCs w:val="22"/>
          <w:vertAlign w:val="superscript"/>
          <w:lang w:val="sr-Cyrl-RS"/>
        </w:rPr>
        <w:t>351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Облици неформалног деловања жена у парламентима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Различити неформални облици деловања парламентарки на питањима значајним за родну равноправност постоје у више парламената и делују континуирано или са прекидима више од 30 година.</w:t>
      </w:r>
      <w:r w:rsidRPr="00EF008E">
        <w:rPr>
          <w:rFonts w:ascii="Arial" w:hAnsi="Arial" w:cs="Arial"/>
          <w:color w:val="000000"/>
          <w:sz w:val="22"/>
          <w:szCs w:val="22"/>
          <w:vertAlign w:val="superscript"/>
          <w:lang w:val="sr-Cyrl-RS"/>
        </w:rPr>
        <w:t>352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Њихов статус и начин деловања је различит о чему говори и компаративна пракса</w:t>
      </w:r>
      <w:r w:rsidRPr="00EF008E">
        <w:rPr>
          <w:rFonts w:ascii="Arial" w:hAnsi="Arial" w:cs="Arial"/>
          <w:color w:val="000000"/>
          <w:sz w:val="22"/>
          <w:szCs w:val="22"/>
          <w:vertAlign w:val="superscript"/>
          <w:lang w:val="sr-Cyrl-RS"/>
        </w:rPr>
        <w:t>353</w:t>
      </w:r>
      <w:r w:rsidRPr="00EF008E">
        <w:rPr>
          <w:rFonts w:ascii="Arial" w:hAnsi="Arial" w:cs="Arial"/>
          <w:color w:val="000000"/>
          <w:sz w:val="22"/>
          <w:szCs w:val="22"/>
          <w:lang w:val="sr-Cyrl-RS"/>
        </w:rPr>
        <w:t xml:space="preserve"> у бројним земљама као на пример у: Швајцарској Конфедерацији од 1990. године</w:t>
      </w:r>
      <w:r w:rsidRPr="00EF008E">
        <w:rPr>
          <w:rFonts w:ascii="Arial" w:hAnsi="Arial" w:cs="Arial"/>
          <w:color w:val="000000"/>
          <w:sz w:val="22"/>
          <w:szCs w:val="22"/>
          <w:vertAlign w:val="superscript"/>
          <w:lang w:val="sr-Cyrl-RS"/>
        </w:rPr>
        <w:t>354</w:t>
      </w:r>
      <w:r w:rsidRPr="00EF008E">
        <w:rPr>
          <w:rFonts w:ascii="Arial" w:hAnsi="Arial" w:cs="Arial"/>
          <w:color w:val="000000"/>
          <w:sz w:val="22"/>
          <w:szCs w:val="22"/>
          <w:lang w:val="sr-Cyrl-RS"/>
        </w:rPr>
        <w:t>, Републици Финској и Републици Пољској</w:t>
      </w:r>
      <w:r w:rsidRPr="00EF008E">
        <w:rPr>
          <w:rFonts w:ascii="Arial" w:hAnsi="Arial" w:cs="Arial"/>
          <w:color w:val="000000"/>
          <w:sz w:val="22"/>
          <w:szCs w:val="22"/>
          <w:vertAlign w:val="superscript"/>
          <w:lang w:val="sr-Cyrl-RS"/>
        </w:rPr>
        <w:t>355</w:t>
      </w:r>
      <w:r w:rsidRPr="00EF008E">
        <w:rPr>
          <w:rFonts w:ascii="Arial" w:hAnsi="Arial" w:cs="Arial"/>
          <w:color w:val="000000"/>
          <w:sz w:val="22"/>
          <w:szCs w:val="22"/>
          <w:lang w:val="sr-Cyrl-RS"/>
        </w:rPr>
        <w:t xml:space="preserve"> од 1991. године, Канади и Републици Француској од 1993. године</w:t>
      </w:r>
      <w:r w:rsidRPr="00EF008E">
        <w:rPr>
          <w:rFonts w:ascii="Arial" w:hAnsi="Arial" w:cs="Arial"/>
          <w:color w:val="000000"/>
          <w:sz w:val="22"/>
          <w:szCs w:val="22"/>
          <w:vertAlign w:val="superscript"/>
          <w:lang w:val="sr-Cyrl-RS"/>
        </w:rPr>
        <w:t>356</w:t>
      </w:r>
      <w:r w:rsidRPr="00EF008E">
        <w:rPr>
          <w:rFonts w:ascii="Arial" w:hAnsi="Arial" w:cs="Arial"/>
          <w:color w:val="000000"/>
          <w:sz w:val="22"/>
          <w:szCs w:val="22"/>
          <w:lang w:val="sr-Cyrl-RS"/>
        </w:rPr>
        <w:t>, Краљевини Шведској од 1995. године</w:t>
      </w:r>
      <w:r w:rsidRPr="00EF008E">
        <w:rPr>
          <w:rFonts w:ascii="Arial" w:hAnsi="Arial" w:cs="Arial"/>
          <w:color w:val="000000"/>
          <w:sz w:val="22"/>
          <w:szCs w:val="22"/>
          <w:vertAlign w:val="superscript"/>
          <w:lang w:val="sr-Cyrl-RS"/>
        </w:rPr>
        <w:t>357</w:t>
      </w:r>
      <w:r w:rsidRPr="00EF008E">
        <w:rPr>
          <w:rFonts w:ascii="Arial" w:hAnsi="Arial" w:cs="Arial"/>
          <w:color w:val="000000"/>
          <w:sz w:val="22"/>
          <w:szCs w:val="22"/>
          <w:lang w:val="sr-Cyrl-RS"/>
        </w:rPr>
        <w:t>, Републици Албанији од 1995. године</w:t>
      </w:r>
      <w:r w:rsidRPr="00EF008E">
        <w:rPr>
          <w:rFonts w:ascii="Arial" w:hAnsi="Arial" w:cs="Arial"/>
          <w:color w:val="000000"/>
          <w:sz w:val="22"/>
          <w:szCs w:val="22"/>
          <w:vertAlign w:val="superscript"/>
          <w:lang w:val="sr-Cyrl-RS"/>
        </w:rPr>
        <w:t>358</w:t>
      </w:r>
      <w:r w:rsidRPr="00EF008E">
        <w:rPr>
          <w:rFonts w:ascii="Arial" w:hAnsi="Arial" w:cs="Arial"/>
          <w:color w:val="000000"/>
          <w:sz w:val="22"/>
          <w:szCs w:val="22"/>
          <w:lang w:val="sr-Cyrl-RS"/>
        </w:rPr>
        <w:t>, у Републици Естонији од 1998. године,</w:t>
      </w:r>
      <w:r w:rsidRPr="00EF008E">
        <w:rPr>
          <w:rFonts w:ascii="Arial" w:hAnsi="Arial" w:cs="Arial"/>
          <w:color w:val="000000"/>
          <w:sz w:val="22"/>
          <w:szCs w:val="22"/>
          <w:vertAlign w:val="superscript"/>
          <w:lang w:val="sr-Cyrl-RS"/>
        </w:rPr>
        <w:t>359</w:t>
      </w:r>
      <w:r w:rsidRPr="00EF008E">
        <w:rPr>
          <w:rFonts w:ascii="Arial" w:hAnsi="Arial" w:cs="Arial"/>
          <w:color w:val="000000"/>
          <w:sz w:val="22"/>
          <w:szCs w:val="22"/>
          <w:lang w:val="sr-Cyrl-RS"/>
        </w:rPr>
        <w:t xml:space="preserve"> у Краљевини Данској од 2002. до 2007. године, Републици Литванији од 2002. до 2010. године, Републици Северној Македонији од 2003. године</w:t>
      </w:r>
      <w:r w:rsidRPr="00EF008E">
        <w:rPr>
          <w:rFonts w:ascii="Arial" w:hAnsi="Arial" w:cs="Arial"/>
          <w:color w:val="000000"/>
          <w:sz w:val="22"/>
          <w:szCs w:val="22"/>
          <w:vertAlign w:val="superscript"/>
          <w:lang w:val="sr-Cyrl-RS"/>
        </w:rPr>
        <w:t>360</w:t>
      </w:r>
      <w:r w:rsidRPr="00EF008E">
        <w:rPr>
          <w:rFonts w:ascii="Arial" w:hAnsi="Arial" w:cs="Arial"/>
          <w:color w:val="000000"/>
          <w:sz w:val="22"/>
          <w:szCs w:val="22"/>
          <w:lang w:val="sr-Cyrl-RS"/>
        </w:rPr>
        <w:t>, Краљевини Норвешкој и Републици Аустрији од 2008. године, Грузији од 2009. године, Таџикистану од 2010. године, у Украјини, Киргиској Републици и Сједињеним Америчким Државама од 2011. године</w:t>
      </w:r>
      <w:r w:rsidRPr="00EF008E">
        <w:rPr>
          <w:rFonts w:ascii="Arial" w:hAnsi="Arial" w:cs="Arial"/>
          <w:color w:val="000000"/>
          <w:sz w:val="22"/>
          <w:szCs w:val="22"/>
          <w:vertAlign w:val="superscript"/>
          <w:lang w:val="sr-Cyrl-RS"/>
        </w:rPr>
        <w:t>361</w:t>
      </w:r>
      <w:r w:rsidRPr="00EF008E">
        <w:rPr>
          <w:rFonts w:ascii="Arial" w:hAnsi="Arial" w:cs="Arial"/>
          <w:color w:val="000000"/>
          <w:sz w:val="22"/>
          <w:szCs w:val="22"/>
          <w:lang w:val="sr-Cyrl-RS"/>
        </w:rPr>
        <w:t xml:space="preserve"> и Уједињеном Краљевству од 2012. године.</w:t>
      </w:r>
      <w:r w:rsidRPr="00EF008E">
        <w:rPr>
          <w:rFonts w:ascii="Arial" w:hAnsi="Arial" w:cs="Arial"/>
          <w:color w:val="000000"/>
          <w:sz w:val="22"/>
          <w:szCs w:val="22"/>
          <w:vertAlign w:val="superscript"/>
          <w:lang w:val="sr-Cyrl-RS"/>
        </w:rPr>
        <w:t>362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Политике усклађивања професионалног и породичног живота кључне су за постизање родне равноправности и укључене су у ЕУ политике које промовишу учешће жена у запошљавању и учешће мушкараца у породичном животу. Европски институт за родну равноправност</w:t>
      </w:r>
      <w:r w:rsidRPr="00EF008E">
        <w:rPr>
          <w:rFonts w:ascii="Arial" w:hAnsi="Arial" w:cs="Arial"/>
          <w:color w:val="000000"/>
          <w:sz w:val="22"/>
          <w:szCs w:val="22"/>
          <w:vertAlign w:val="superscript"/>
          <w:lang w:val="sr-Cyrl-RS"/>
        </w:rPr>
        <w:t>363</w:t>
      </w:r>
      <w:r w:rsidRPr="00EF008E">
        <w:rPr>
          <w:rFonts w:ascii="Arial" w:hAnsi="Arial" w:cs="Arial"/>
          <w:color w:val="000000"/>
          <w:sz w:val="22"/>
          <w:szCs w:val="22"/>
          <w:lang w:val="sr-Cyrl-RS"/>
        </w:rPr>
        <w:t xml:space="preserve"> указује на праксе које су омогућиле искорак у правцу усклађивања пословног, породичног и приватног живота. Многе мере су добиле предност јер су биле успешне у промовисању учешћа мушкараца у нези и другим неплаћеним породичним пословима. Примери су: аустријска кампања </w:t>
      </w:r>
      <w:r>
        <w:rPr>
          <w:rFonts w:ascii="Arial" w:hAnsi="Arial" w:cs="Arial"/>
          <w:color w:val="000000"/>
          <w:sz w:val="22"/>
          <w:szCs w:val="22"/>
          <w:lang w:val="sr-Cyrl-RS"/>
        </w:rPr>
        <w:t>"</w:t>
      </w:r>
      <w:r w:rsidRPr="00EF008E">
        <w:rPr>
          <w:rFonts w:ascii="Arial" w:hAnsi="Arial" w:cs="Arial"/>
          <w:color w:val="000000"/>
          <w:sz w:val="22"/>
          <w:szCs w:val="22"/>
          <w:lang w:val="sr-Cyrl-RS"/>
        </w:rPr>
        <w:t>Четири зида, четири руке</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дански програм </w:t>
      </w:r>
      <w:r>
        <w:rPr>
          <w:rFonts w:ascii="Arial" w:hAnsi="Arial" w:cs="Arial"/>
          <w:color w:val="000000"/>
          <w:sz w:val="22"/>
          <w:szCs w:val="22"/>
          <w:lang w:val="sr-Cyrl-RS"/>
        </w:rPr>
        <w:t>"</w:t>
      </w:r>
      <w:r w:rsidRPr="00EF008E">
        <w:rPr>
          <w:rFonts w:ascii="Arial" w:hAnsi="Arial" w:cs="Arial"/>
          <w:color w:val="000000"/>
          <w:sz w:val="22"/>
          <w:szCs w:val="22"/>
          <w:lang w:val="sr-Cyrl-RS"/>
        </w:rPr>
        <w:t>Загрљај са татом</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пољска кампања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Запослени тата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свиђа ми се!</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и радионице компанија за родитељско одсуство за очеве у Републици Аустрији. Неке кампање су усмерене на јачање свести о политикама помирења и родним стереотипима који су препрека родној равноправности у Савезној Републици Немачкој, Републици Малти и Републици Италији. Примери добре праксе у мобилизацији више заинтересованих страна и социјалних партнера показују да успех почива на блиској сарадњи између социјалних партнера, предузећа и локалних власти.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Превентивна здравствена заштита илуструје се примерима позитивних последица вакцинације ХПВ и праксом скрининга грлића материце. У Аустралији, која је била међу првим земљама које су уврстиле вакцинацију четворовалентном ХПВ вакцином</w:t>
      </w:r>
      <w:r w:rsidRPr="00EF008E">
        <w:rPr>
          <w:rFonts w:ascii="Arial" w:hAnsi="Arial" w:cs="Arial"/>
          <w:color w:val="000000"/>
          <w:sz w:val="22"/>
          <w:szCs w:val="22"/>
          <w:vertAlign w:val="superscript"/>
          <w:lang w:val="sr-Cyrl-RS"/>
        </w:rPr>
        <w:t>364</w:t>
      </w:r>
      <w:r w:rsidRPr="00EF008E">
        <w:rPr>
          <w:rFonts w:ascii="Arial" w:hAnsi="Arial" w:cs="Arial"/>
          <w:color w:val="000000"/>
          <w:sz w:val="22"/>
          <w:szCs w:val="22"/>
          <w:lang w:val="sr-Cyrl-RS"/>
        </w:rPr>
        <w:t xml:space="preserve"> у свој национални програм имунизације, од 2007. године обезбеђена је бесплатна вакцинација девојчица, узраста од 12 до 13 година, а вакцинисано је 70% девојчица школског узраста. Од 2013. године програм је проширен и на дечаке истог узраста. Годину дана након увођења ХПВ вакцинације забележен значајан и брз пад учесталости гениталних брадавица код жена (за 52%) и хетеросексуалних мушкараца старости до 30 година. Слично је установљено и у САД, на Новом Зеланду, у Краљевини Шведској, Краљевини Данској и Савезној Републици Немачкој. Примећен је и пад броја преканцерозних промена грлића материце и карцинома грлића материце. За десет година примене вакцине у Аустралији, појава ХПВ се у општој популацији смањила са 22% на 1%.</w:t>
      </w:r>
      <w:r w:rsidRPr="00EF008E">
        <w:rPr>
          <w:rFonts w:ascii="Arial" w:hAnsi="Arial" w:cs="Arial"/>
          <w:color w:val="000000"/>
          <w:sz w:val="22"/>
          <w:szCs w:val="22"/>
          <w:vertAlign w:val="superscript"/>
          <w:lang w:val="sr-Cyrl-RS"/>
        </w:rPr>
        <w:t>365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Скрининг рака грлића материце у земљама у којима је добро организован, број оболелих и умрлих жена од рака грлића материце значајно је смањен. Изразити пад инциденција и морталитета у Енглеској, Републици Финској и Исланду повезан је са квалитетом организованог скрининга. Најбољи пример је Република Финска у којој је организовани скрининг уведен пре више од пола века, а стопе морталитета снижене су за 80%.</w:t>
      </w:r>
      <w:r w:rsidRPr="00EF008E">
        <w:rPr>
          <w:rFonts w:ascii="Arial" w:hAnsi="Arial" w:cs="Arial"/>
          <w:color w:val="000000"/>
          <w:sz w:val="22"/>
          <w:szCs w:val="22"/>
          <w:vertAlign w:val="superscript"/>
          <w:lang w:val="sr-Cyrl-RS"/>
        </w:rPr>
        <w:t>366</w:t>
      </w:r>
      <w:r w:rsidRPr="00EF008E">
        <w:rPr>
          <w:rFonts w:ascii="Arial" w:hAnsi="Arial" w:cs="Arial"/>
          <w:color w:val="000000"/>
          <w:sz w:val="22"/>
          <w:szCs w:val="22"/>
          <w:lang w:val="sr-Cyrl-RS"/>
        </w:rPr>
        <w:t xml:space="preserve"> Посвећеност решавању овог проблема, Република Финска је потврдила учешћем у заједничкој акцији иновативног партнерства за акцију против рака у коју су биле укључене 44 партнерске организације у 24 европске државе са циљем развијања нових приступа у унапређивању контроле рака, промоције здравих стилова живота и контроле како владе спроводе политике за превенцију и сузбијање рака. Акција је била усмерена на нове мере превенције и најсавременије лечење, а Република Финска је у заједничкој акцији координирала део пројекта који се бави превенцијом и скринингом, јер сматра да је примарна превенција пресудна и најефикаснија. Стога, истраживано је како превенцију и промоцију здравља учинити привлачнијом, а један од изазова је како препоруке о превенцији рака учинити познатијим креаторима политика који су важни за унапређење контроле рака.</w:t>
      </w:r>
      <w:r w:rsidRPr="00EF008E">
        <w:rPr>
          <w:rFonts w:ascii="Arial" w:hAnsi="Arial" w:cs="Arial"/>
          <w:color w:val="000000"/>
          <w:sz w:val="22"/>
          <w:szCs w:val="22"/>
          <w:vertAlign w:val="superscript"/>
          <w:lang w:val="sr-Cyrl-RS"/>
        </w:rPr>
        <w:t>367</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325</w:t>
      </w:r>
      <w:r w:rsidRPr="00EF008E">
        <w:rPr>
          <w:rFonts w:ascii="Arial" w:hAnsi="Arial" w:cs="Arial"/>
          <w:i/>
          <w:color w:val="000000"/>
          <w:sz w:val="22"/>
          <w:szCs w:val="22"/>
          <w:lang w:val="sr-Cyrl-RS"/>
        </w:rPr>
        <w:tab/>
        <w:t>Доступно на: https://www.brettonwoodsproject.org/2019/02/the-imf-and-gender-equality-operationalising-change/ приступ 10.6.2021.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326 Доступно на: https://eige.europa.eu/gender-mainstreaming/policy-areas приступ 10.6.2021.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327 L. Husu, Gender Equality in Nordic Academia: Advances and Challenges, у: Вујадиновић, Д., Антонијевић, З. (ур), оп.цит, страна 66.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328The University of Helsinki Equality and Diversity Plan 2019</w:t>
      </w:r>
      <w:r>
        <w:rPr>
          <w:rFonts w:ascii="Arial" w:hAnsi="Arial" w:cs="Arial"/>
          <w:i/>
          <w:color w:val="000000"/>
          <w:sz w:val="22"/>
          <w:szCs w:val="22"/>
          <w:lang w:val="sr-Cyrl-RS"/>
        </w:rPr>
        <w:t>-</w:t>
      </w:r>
      <w:r w:rsidRPr="00EF008E">
        <w:rPr>
          <w:rFonts w:ascii="Arial" w:hAnsi="Arial" w:cs="Arial"/>
          <w:i/>
          <w:color w:val="000000"/>
          <w:sz w:val="22"/>
          <w:szCs w:val="22"/>
          <w:lang w:val="sr-Cyrl-RS"/>
        </w:rPr>
        <w:t>2020, https://www2.helsinki.fi /sites/default/files/atoms/files/equality_and_diversity_plan_2019</w:t>
      </w:r>
      <w:r>
        <w:rPr>
          <w:rFonts w:ascii="Arial" w:hAnsi="Arial" w:cs="Arial"/>
          <w:i/>
          <w:color w:val="000000"/>
          <w:sz w:val="22"/>
          <w:szCs w:val="22"/>
          <w:lang w:val="sr-Cyrl-RS"/>
        </w:rPr>
        <w:t>-</w:t>
      </w:r>
      <w:r w:rsidRPr="00EF008E">
        <w:rPr>
          <w:rFonts w:ascii="Arial" w:hAnsi="Arial" w:cs="Arial"/>
          <w:i/>
          <w:color w:val="000000"/>
          <w:sz w:val="22"/>
          <w:szCs w:val="22"/>
          <w:lang w:val="sr-Cyrl-RS"/>
        </w:rPr>
        <w:t>2020_english.pdf, приступ 2.6.2021; University of Cambridge Equality &amp; Diversity Strategy 2016</w:t>
      </w:r>
      <w:r>
        <w:rPr>
          <w:rFonts w:ascii="Arial" w:hAnsi="Arial" w:cs="Arial"/>
          <w:i/>
          <w:color w:val="000000"/>
          <w:sz w:val="22"/>
          <w:szCs w:val="22"/>
          <w:lang w:val="sr-Cyrl-RS"/>
        </w:rPr>
        <w:t>-</w:t>
      </w:r>
      <w:r w:rsidRPr="00EF008E">
        <w:rPr>
          <w:rFonts w:ascii="Arial" w:hAnsi="Arial" w:cs="Arial"/>
          <w:i/>
          <w:color w:val="000000"/>
          <w:sz w:val="22"/>
          <w:szCs w:val="22"/>
          <w:lang w:val="sr-Cyrl-RS"/>
        </w:rPr>
        <w:t>2021; University of Edinburgh Equality outcomes action plan 2021</w:t>
      </w:r>
      <w:r>
        <w:rPr>
          <w:rFonts w:ascii="Arial" w:hAnsi="Arial" w:cs="Arial"/>
          <w:i/>
          <w:color w:val="000000"/>
          <w:sz w:val="22"/>
          <w:szCs w:val="22"/>
          <w:lang w:val="sr-Cyrl-RS"/>
        </w:rPr>
        <w:t>-</w:t>
      </w:r>
      <w:r w:rsidRPr="00EF008E">
        <w:rPr>
          <w:rFonts w:ascii="Arial" w:hAnsi="Arial" w:cs="Arial"/>
          <w:i/>
          <w:color w:val="000000"/>
          <w:sz w:val="22"/>
          <w:szCs w:val="22"/>
          <w:lang w:val="sr-Cyrl-RS"/>
        </w:rPr>
        <w:t>2025, https://www.ed.ac.uk/files/atoms/files/equality_outcomes_2021</w:t>
      </w:r>
      <w:r>
        <w:rPr>
          <w:rFonts w:ascii="Arial" w:hAnsi="Arial" w:cs="Arial"/>
          <w:i/>
          <w:color w:val="000000"/>
          <w:sz w:val="22"/>
          <w:szCs w:val="22"/>
          <w:lang w:val="sr-Cyrl-RS"/>
        </w:rPr>
        <w:t>-</w:t>
      </w:r>
      <w:r w:rsidRPr="00EF008E">
        <w:rPr>
          <w:rFonts w:ascii="Arial" w:hAnsi="Arial" w:cs="Arial"/>
          <w:i/>
          <w:color w:val="000000"/>
          <w:sz w:val="22"/>
          <w:szCs w:val="22"/>
          <w:lang w:val="sr-Cyrl-RS"/>
        </w:rPr>
        <w:t>2025_and_mainstreaming_progress_ report_2017</w:t>
      </w:r>
      <w:r>
        <w:rPr>
          <w:rFonts w:ascii="Arial" w:hAnsi="Arial" w:cs="Arial"/>
          <w:i/>
          <w:color w:val="000000"/>
          <w:sz w:val="22"/>
          <w:szCs w:val="22"/>
          <w:lang w:val="sr-Cyrl-RS"/>
        </w:rPr>
        <w:t>-</w:t>
      </w:r>
      <w:r w:rsidRPr="00EF008E">
        <w:rPr>
          <w:rFonts w:ascii="Arial" w:hAnsi="Arial" w:cs="Arial"/>
          <w:i/>
          <w:color w:val="000000"/>
          <w:sz w:val="22"/>
          <w:szCs w:val="22"/>
          <w:lang w:val="sr-Cyrl-RS"/>
        </w:rPr>
        <w:t>2021.pdf, приступ 6.6.2021; Albert-Ludwigs-Universität Freiburg Equal Opportunity Plan for 2009 to 2014. https://www.gleichstellung.uni-freiburg.de/Info/Equal_ Opportunity_Plan.pdf,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329 Видети, на пример, Equal Opportunities Officer of the University of Freiburg and Uniklinik Freiburg. https://www.gleichstellungsbuero.uni-freiburg.de/en/UniversityEqualOpportunitiesOfficer,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330 СБ УН усвојио 10 резолуција везаних за агенду Жене, мир, безбедност (WPS): 1325 (2000), 1820 (2008), 1888 (2008), 1889 (2009), 1960 (2010), 2106 (2013), 2122 (2013), 2242 (2015), 2467 (2019), и 2493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331 Доступно на: https://www.euractiv.com/section/defence-and-security/news/global-military-spending-in-2018-reached-post-cold-war-peak/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332 Доступно на: https://www.peacewomen.org/action-plan/regional-action-plan-ecowas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333</w:t>
      </w:r>
      <w:r w:rsidRPr="00EF008E">
        <w:rPr>
          <w:rFonts w:ascii="Arial" w:hAnsi="Arial" w:cs="Arial"/>
          <w:i/>
          <w:color w:val="000000"/>
          <w:sz w:val="22"/>
          <w:szCs w:val="22"/>
          <w:lang w:val="sr-Cyrl-RS"/>
        </w:rPr>
        <w:tab/>
        <w:t>Доступно на: https://asiapacific.unwomen.org/en/focus-areas/peace-and-security/national-action-plans</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334 Доступно на: https://data.consilium.europa.eu/doc/document/ST-11031-2019-INIT/en/pdf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335 Доступно на: https://www.osce.org/files/f/documents/3/4/444577.pdf Жене, мир, безбедност: регионална перспектива, Министарство за рад, запошљавање, борачка и социјална питања, доступно на: https://www. minrzs.gov.rs/sr/aktuelnosti/vesti/zene-mir-i-bezbednostregionalna-perspektiva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336 Доступно на: https://www.wpsnaps.org/nap/irish-national-action-plan-iii/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337 То се констатује у извештају CEDAW Комитета. Видети CEDAW/C/AUT/CO/7-8, 2013, став 24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338 Шире: Logar, R. Austrijski model intervencije u slučajevima nasilja u porodici. Beograd: Autonomni ženski centar, 2005. Доступно на: http://www.womenngo.org.rs/publikacije-dp/Austrijski%20model.pdf. приступ 7.6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339 Доступно на: https://www.parlament.gv.at/PAKT/VHG/XXIII/ME/ME_00193/index.shtml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340 Bundesgesetzblatt Nr. BGBl. I Nr. 105/2019. Доступно на: https://www.ris.bka.gv.at/eli/ bgbl/I/2019/105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341</w:t>
      </w:r>
      <w:r w:rsidRPr="00EF008E">
        <w:rPr>
          <w:rFonts w:ascii="Arial" w:hAnsi="Arial" w:cs="Arial"/>
          <w:i/>
          <w:color w:val="000000"/>
          <w:sz w:val="22"/>
          <w:szCs w:val="22"/>
          <w:lang w:val="sr-Cyrl-RS"/>
        </w:rPr>
        <w:tab/>
        <w:t>Подаци о центрима доступни су на: https://www.aoef.at/index.php/gewaltschutzzentren, а подаци о интервентним центрима на: https://www.interventionsstelle-wien.at.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342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343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344 Пример упитника по MARAC (Multiagency Risk Assessment Conference) моделу процене ризика доступан на: https://www.safershetland.com/assets/files/ RIC%20Without%20Guidance.pdf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345 Report submitted by the Netherlands pursuant to Article 68, paragraph 1 of the Council of Europe Convention on preventing and combating violence against women and domestic violence (Baseline Report). Доступно на: https://rm.coe.int/netherlands-state-repot-grevio/16808d91ac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346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347 Spanish Government Report on the implementation of the Council of Europe convention on Preventing and Combating Violence against Women and Domestic Violence (Istanbul Convention), 31.1.2019.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348 Стање на дан 1. јануар 2020. године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председнице држава (10/152 = 6.6%) и председнице влада (12/193 = 6.2%): Бангладеш (ПВ), Барбадос (ПВ), Белгија (ПВ), Боливија (ПД и ПВ), Данска (ПВ), Естонија (ПД), Етиопија (ПД), Финска (ПВ), Грузија (ПД), Немачка (ПВ), Исланд (ПВ), Непал (ПД), Нови Зеланд (ПВ), Норвешка (ПВ), Сан Марино (ПД), Србија(ПВ), Сингапур (ПД), Словачка (ПД), Швајцарска (ПД и ПВ), Тринидад и Тобаго (ПД). Извор: Women in Politics: 2020, Situation on 1 January 2020, Доступно на: https://www.unwomen.org/-/media/headquarters/attachments/sections/library/publications/2020/women-in-politics-map-2020-en.pdf?la=en&amp;vs=827 приступ 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349 Подаци Интерпарламентарне уније: Global and regional averages of women in national parliaments, Parline, December 2020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доступно на: https://data.ipu.org/women-averages?month=12&amp;year=2020 приступ 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350 Уједињени Арапски Емирати 50%, Куба 53,4% и Руанда 61,3%.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351 Извор: Women’s leadership and political participation, UN Women, 2020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доступно на: https://www.unwomen.org/en/what-we-do/leadership-and-political-participation/facts-and-figures#_edn3 приступ 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352 Видети: Пајванчић, М. Неформални облици деловања у парламенту, (ур. Орловић, С. Ковачевић Д.) Зборник Тридесет година обновљеног вишепартизма у Србији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(не)научене лекције, ФПН, Hanns Zеidel Štiftung, 2020. str. 157</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175. доступно на: https://www.fpn.bg.ac.rs/wp-content/uploads/pdfjoiner.pdf приступ 9.6.2021. Џамбаширевић, Н, Јовановић Д, Улога неформалних парламентарних група у законодавној и контролној функцији парламента Зборник (ур. Стојиљковић, З, Лончар, Ј., Спасојевић, Д.) </w:t>
      </w:r>
      <w:r>
        <w:rPr>
          <w:rFonts w:ascii="Arial" w:hAnsi="Arial" w:cs="Arial"/>
          <w:i/>
          <w:color w:val="000000"/>
          <w:sz w:val="22"/>
          <w:szCs w:val="22"/>
          <w:lang w:val="sr-Cyrl-RS"/>
        </w:rPr>
        <w:t>"</w:t>
      </w:r>
      <w:r w:rsidRPr="00EF008E">
        <w:rPr>
          <w:rFonts w:ascii="Arial" w:hAnsi="Arial" w:cs="Arial"/>
          <w:i/>
          <w:color w:val="000000"/>
          <w:sz w:val="22"/>
          <w:szCs w:val="22"/>
          <w:lang w:val="sr-Cyrl-RS"/>
        </w:rPr>
        <w:t>Парламент и демократија</w:t>
      </w:r>
      <w:r>
        <w:rPr>
          <w:rFonts w:ascii="Arial" w:hAnsi="Arial" w:cs="Arial"/>
          <w:i/>
          <w:color w:val="000000"/>
          <w:sz w:val="22"/>
          <w:szCs w:val="22"/>
          <w:lang w:val="sr-Cyrl-RS"/>
        </w:rPr>
        <w:t>"</w:t>
      </w:r>
      <w:r w:rsidRPr="00EF008E">
        <w:rPr>
          <w:rFonts w:ascii="Arial" w:hAnsi="Arial" w:cs="Arial"/>
          <w:i/>
          <w:color w:val="000000"/>
          <w:sz w:val="22"/>
          <w:szCs w:val="22"/>
          <w:lang w:val="sr-Cyrl-RS"/>
        </w:rPr>
        <w:t>, 2015. стр. 69</w:t>
      </w:r>
      <w:r>
        <w:rPr>
          <w:rFonts w:ascii="Arial" w:hAnsi="Arial" w:cs="Arial"/>
          <w:i/>
          <w:color w:val="000000"/>
          <w:sz w:val="22"/>
          <w:szCs w:val="22"/>
          <w:lang w:val="sr-Cyrl-RS"/>
        </w:rPr>
        <w:t>-</w:t>
      </w:r>
      <w:r w:rsidRPr="00EF008E">
        <w:rPr>
          <w:rFonts w:ascii="Arial" w:hAnsi="Arial" w:cs="Arial"/>
          <w:i/>
          <w:color w:val="000000"/>
          <w:sz w:val="22"/>
          <w:szCs w:val="22"/>
          <w:lang w:val="sr-Cyrl-RS"/>
        </w:rPr>
        <w:t>74. Драшковић, Б. Женска парламентарна мрежа, Зборник (ур. Пајванчић, М. Урошевић Б.) 2020. оп. цит. стр. 107</w:t>
      </w:r>
      <w:r>
        <w:rPr>
          <w:rFonts w:ascii="Arial" w:hAnsi="Arial" w:cs="Arial"/>
          <w:i/>
          <w:color w:val="000000"/>
          <w:sz w:val="22"/>
          <w:szCs w:val="22"/>
          <w:lang w:val="sr-Cyrl-RS"/>
        </w:rPr>
        <w:t>-</w:t>
      </w:r>
      <w:r w:rsidRPr="00EF008E">
        <w:rPr>
          <w:rFonts w:ascii="Arial" w:hAnsi="Arial" w:cs="Arial"/>
          <w:i/>
          <w:color w:val="000000"/>
          <w:sz w:val="22"/>
          <w:szCs w:val="22"/>
          <w:lang w:val="sr-Cyrl-RS"/>
        </w:rPr>
        <w:t>125.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353</w:t>
      </w:r>
      <w:r w:rsidRPr="00EF008E">
        <w:rPr>
          <w:rFonts w:ascii="Arial" w:hAnsi="Arial" w:cs="Arial"/>
          <w:i/>
          <w:color w:val="000000"/>
          <w:sz w:val="22"/>
          <w:szCs w:val="22"/>
          <w:lang w:val="sr-Cyrl-RS"/>
        </w:rPr>
        <w:tab/>
        <w:t>Видети: Women’s Caucuses Fact Sheet, Washington, NDI; доступно на: http://archive.ipu.org/pdf/publications/caucus-e.pdf, http://www.ipu.org/pdf/publications/equality08</w:t>
      </w:r>
      <w:r>
        <w:rPr>
          <w:rFonts w:ascii="Arial" w:hAnsi="Arial" w:cs="Arial"/>
          <w:i/>
          <w:color w:val="000000"/>
          <w:sz w:val="22"/>
          <w:szCs w:val="22"/>
          <w:lang w:val="sr-Cyrl-RS"/>
        </w:rPr>
        <w:t>-</w:t>
      </w:r>
      <w:r w:rsidRPr="00EF008E">
        <w:rPr>
          <w:rFonts w:ascii="Arial" w:hAnsi="Arial" w:cs="Arial"/>
          <w:i/>
          <w:color w:val="000000"/>
          <w:sz w:val="22"/>
          <w:szCs w:val="22"/>
          <w:lang w:val="sr-Cyrl-RS"/>
        </w:rPr>
        <w:t>e.pdf, Equality in Politics: A Sur-vey of Women and Men in Parliaments. Geneva. Inter-Parliamentary Union, 2008. доступно на: http://www.ipu.org/english/surveys.htm#equality08; http://www.ipu.org/pdf/publications/equality08</w:t>
      </w:r>
      <w:r>
        <w:rPr>
          <w:rFonts w:ascii="Arial" w:hAnsi="Arial" w:cs="Arial"/>
          <w:i/>
          <w:color w:val="000000"/>
          <w:sz w:val="22"/>
          <w:szCs w:val="22"/>
          <w:lang w:val="sr-Cyrl-RS"/>
        </w:rPr>
        <w:t>-</w:t>
      </w:r>
      <w:r w:rsidRPr="00EF008E">
        <w:rPr>
          <w:rFonts w:ascii="Arial" w:hAnsi="Arial" w:cs="Arial"/>
          <w:i/>
          <w:color w:val="000000"/>
          <w:sz w:val="22"/>
          <w:szCs w:val="22"/>
          <w:lang w:val="sr-Cyrl-RS"/>
        </w:rPr>
        <w:t>e.pdf, Компаративна студија радних тела парламентарки у државама чланицама ОЕСС (2014) доступно на: https://www.osce.org/hr/odihr/118575?download=true приступљено 4.3.2020.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354 Видети. Марковић, Ј. и др.: Женске парламентарне мреже приредила Библиотека Народнс Скупштине РС, 2012. доступно на: http://www.parlament.gov.rs/narodna-skupstina-/organizacija-i-strucna-sluzba/biblioteka-narodne skupštine приступ 7.3.2020.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355</w:t>
      </w:r>
      <w:r w:rsidRPr="00EF008E">
        <w:rPr>
          <w:rFonts w:ascii="Arial" w:hAnsi="Arial" w:cs="Arial"/>
          <w:i/>
          <w:color w:val="000000"/>
          <w:sz w:val="22"/>
          <w:szCs w:val="22"/>
          <w:lang w:val="sr-Cyrl-RS"/>
        </w:rPr>
        <w:tab/>
        <w:t>Оп. цит. (2012) страна 67. доступно на: https://www.osce.org/hr/odihr/118575?download=true приступ 4.3.2020.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356</w:t>
      </w:r>
      <w:r w:rsidRPr="00EF008E">
        <w:rPr>
          <w:rFonts w:ascii="Arial" w:hAnsi="Arial" w:cs="Arial"/>
          <w:i/>
          <w:color w:val="000000"/>
          <w:sz w:val="22"/>
          <w:szCs w:val="22"/>
          <w:lang w:val="sr-Cyrl-RS"/>
        </w:rPr>
        <w:tab/>
        <w:t xml:space="preserve">У сваком дому Националне скупштине постоји стално радно тело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Делегација за права жена и равноправност полова, доступно на: http://www.assem-blee-nationale.fr/connaissance/delegation-femmes.asp као и на http://www.senat.fr/commission/femmes/ приступ 8.3.2020.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357 У Риксдагу делује више женских мрежа (нпр. Q-осам која окупља парламентарке, Krikon која окупља секретарке радних тела) као и мушка парламентарна мрежа. Доступно на: http://www.europarl.europa.eu/meetdocs/2009_2014/documents/femm/dv/contribution_sweden_/contribution_sweden_en.pdf приступ 7.3.2020.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358</w:t>
      </w:r>
      <w:r w:rsidRPr="00EF008E">
        <w:rPr>
          <w:rFonts w:ascii="Arial" w:hAnsi="Arial" w:cs="Arial"/>
          <w:i/>
          <w:color w:val="000000"/>
          <w:sz w:val="22"/>
          <w:szCs w:val="22"/>
          <w:lang w:val="sr-Cyrl-RS"/>
        </w:rPr>
        <w:tab/>
        <w:t>Оп. цит. страна 36 доступно на: https://www.osce.org/hr/odihr/118575?download=true приступ 4.3.2020.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359</w:t>
      </w:r>
      <w:r w:rsidRPr="00EF008E">
        <w:rPr>
          <w:rFonts w:ascii="Arial" w:hAnsi="Arial" w:cs="Arial"/>
          <w:i/>
          <w:color w:val="000000"/>
          <w:sz w:val="22"/>
          <w:szCs w:val="22"/>
          <w:lang w:val="sr-Cyrl-RS"/>
        </w:rPr>
        <w:tab/>
        <w:t>Оп. цит. страна 57. доступно на: https://www.osce.org/hr/odihr/118575?download=true приступ 4.3.2020.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360 Доступно на: http://www.sobranie.mk/?ItemID=9C370FCE2282B24995726AD076E6F6D5; http://www.sozm.org.mk/ приступљено 7.3.2020.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361 Први састанак женског кокуса одржан је 19.4.1977. године у малој просторији на Каптолу која се називала читаоница. Данас носи име по првој секретарки женског кокуса Линди Бокс (Corrine </w:t>
      </w:r>
      <w:r>
        <w:rPr>
          <w:rFonts w:ascii="Arial" w:hAnsi="Arial" w:cs="Arial"/>
          <w:i/>
          <w:color w:val="000000"/>
          <w:sz w:val="22"/>
          <w:szCs w:val="22"/>
          <w:lang w:val="sr-Cyrl-RS"/>
        </w:rPr>
        <w:t>"</w:t>
      </w:r>
      <w:r w:rsidRPr="00EF008E">
        <w:rPr>
          <w:rFonts w:ascii="Arial" w:hAnsi="Arial" w:cs="Arial"/>
          <w:i/>
          <w:color w:val="000000"/>
          <w:sz w:val="22"/>
          <w:szCs w:val="22"/>
          <w:lang w:val="sr-Cyrl-RS"/>
        </w:rPr>
        <w:t>Lindy</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Boggs Congressional Women’s Reading Room). Марковић, Ј. Остојић, Оп. цит. (2012) стр. 7</w:t>
      </w:r>
      <w:r>
        <w:rPr>
          <w:rFonts w:ascii="Arial" w:hAnsi="Arial" w:cs="Arial"/>
          <w:i/>
          <w:color w:val="000000"/>
          <w:sz w:val="22"/>
          <w:szCs w:val="22"/>
          <w:lang w:val="sr-Cyrl-RS"/>
        </w:rPr>
        <w:t>-</w:t>
      </w:r>
      <w:r w:rsidRPr="00EF008E">
        <w:rPr>
          <w:rFonts w:ascii="Arial" w:hAnsi="Arial" w:cs="Arial"/>
          <w:i/>
          <w:color w:val="000000"/>
          <w:sz w:val="22"/>
          <w:szCs w:val="22"/>
          <w:lang w:val="sr-Cyrl-RS"/>
        </w:rPr>
        <w:t>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362 У Парламенту Уједињеног Краљевства делује група за жене као једна од више више тзв. свепартијских група за различите области равноправности. Марковић, Ј. Остојић, и др. Оп. цит. (2012) стр. 9</w:t>
      </w:r>
      <w:r>
        <w:rPr>
          <w:rFonts w:ascii="Arial" w:hAnsi="Arial" w:cs="Arial"/>
          <w:i/>
          <w:color w:val="000000"/>
          <w:sz w:val="22"/>
          <w:szCs w:val="22"/>
          <w:lang w:val="sr-Cyrl-RS"/>
        </w:rPr>
        <w:t>-</w:t>
      </w:r>
      <w:r w:rsidRPr="00EF008E">
        <w:rPr>
          <w:rFonts w:ascii="Arial" w:hAnsi="Arial" w:cs="Arial"/>
          <w:i/>
          <w:color w:val="000000"/>
          <w:sz w:val="22"/>
          <w:szCs w:val="22"/>
          <w:lang w:val="sr-Cyrl-RS"/>
        </w:rPr>
        <w:t>10.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363</w:t>
      </w:r>
      <w:r w:rsidRPr="00EF008E">
        <w:rPr>
          <w:rFonts w:ascii="Arial" w:hAnsi="Arial" w:cs="Arial"/>
          <w:i/>
          <w:color w:val="000000"/>
          <w:sz w:val="22"/>
          <w:szCs w:val="22"/>
          <w:lang w:val="sr-Cyrl-RS"/>
        </w:rPr>
        <w:tab/>
        <w:t>Supporting reconciliation of work, family and private life, Good practices, стр. 21</w:t>
      </w:r>
      <w:r>
        <w:rPr>
          <w:rFonts w:ascii="Arial" w:hAnsi="Arial" w:cs="Arial"/>
          <w:i/>
          <w:color w:val="000000"/>
          <w:sz w:val="22"/>
          <w:szCs w:val="22"/>
          <w:lang w:val="sr-Cyrl-RS"/>
        </w:rPr>
        <w:t>-</w:t>
      </w:r>
      <w:r w:rsidRPr="00EF008E">
        <w:rPr>
          <w:rFonts w:ascii="Arial" w:hAnsi="Arial" w:cs="Arial"/>
          <w:i/>
          <w:color w:val="000000"/>
          <w:sz w:val="22"/>
          <w:szCs w:val="22"/>
          <w:lang w:val="sr-Cyrl-RS"/>
        </w:rPr>
        <w:t>22, доступно на: https://eige.europa.eu/publications/supporting-reconciliation-work-family-and-private-life-good-practices, приступ: 19.6.2021.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364 Хумани папилома вирус (HPV)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око 40 типова овог болести могу да инфицирају гениталне органе, а неки изазазивају промене на грлићу материце које могу прерасти у рак грлића материце, а неки појаву гениталних брадавица.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365 Извор: Институт за јавно здравље Војводине, доступно на: http://www.izjzv.org.rs/uploads/74163419-f49-3ff2-946-5958efc77a97/HPV_brosura_roditelji.pdf приступ: 18.6.2021.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366 Видети: Национални водич добре клиничке праксе за дијагностиковање и лечење рака грлића материце, доступно на: https://www.zdravlje.gov.rs/view_file.php?file_id=657&amp;cache=sr, приступ: 18.6.2021.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367 Извор: Друштво за канцер Финске (Cancer Society of Finland,), доступно на: https://www.cancersociety.fi/news/releases/finland-helps-boost-cancer-prevention-and-early-detection-in-ipaac-joint-action/, приступ: 18.6.2021.</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5. ОПИС И АНАЛИЗА СТАЊА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стања и анализа проблема структурирани тако да прате приоритетне области које су утврђене овом стратегијом. Поред тога, област људске безбедности садржи и посебан додатак који се односи на родне аспекте пандемије болести COVID-19.</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 xml:space="preserve">5.1. Развојни чиниоци </w:t>
      </w:r>
      <w:r>
        <w:rPr>
          <w:rFonts w:ascii="Arial" w:hAnsi="Arial" w:cs="Arial"/>
          <w:b/>
          <w:color w:val="000000"/>
          <w:sz w:val="22"/>
          <w:szCs w:val="22"/>
          <w:lang w:val="sr-Cyrl-RS"/>
        </w:rPr>
        <w:t>-</w:t>
      </w:r>
      <w:r w:rsidRPr="00EF008E">
        <w:rPr>
          <w:rFonts w:ascii="Arial" w:hAnsi="Arial" w:cs="Arial"/>
          <w:b/>
          <w:color w:val="000000"/>
          <w:sz w:val="22"/>
          <w:szCs w:val="22"/>
          <w:lang w:val="sr-Cyrl-RS"/>
        </w:rPr>
        <w:t xml:space="preserve"> економија и знање</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5.1.1. Економија као подстицај и предуслов развоја друштва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Ова приоритетна област везана је за чиниоце који подстичу развој и укључује: економију, а посебно родни јаз у економији, интегрисање родне перспективе у областима зелене и циркуларне економије, тржиште рада, предузетништво жена, подршку иновацијама и учешћу жена, као и знање као развојни чинилац, а посебно образовање и науку.</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5.1.1.1. Родни јаз у економији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Смањење родног јаза у економији и унапређење економског положаја жена у непосредној је вези са више циљева дефинисаних Агендом 2030, а нарочито: Свет без сиромаштва, Свет без глади, Квалитетно образовање, Родна равноправност, Доступна и обновљива енергија, Достојанствен рад и економски раст, Индустрија иновације и инфраструктура, Смањење неједнакости, Одрживи градови и заједнице, Одговорна потрошња и производња. Унапређење родне равноправности допринеће реализацији циљева из Агенде 2030, а реализација ових циљева створиће претпоставке за смањење родног јаза у економији. Ови процеси су међусобно изразито тесно повезани. Родни јаз значи да жене и мушкарци немају једнаке приступе ресурсима, не учествују једнако у расподели ресурса нити имају једнаке користи од употребе ресурса, а као резултат различитих друштвених улога, неједнаког положаја и родно засноване дискриминације. Тако се на пример у извештају </w:t>
      </w:r>
      <w:r>
        <w:rPr>
          <w:rFonts w:ascii="Arial" w:hAnsi="Arial" w:cs="Arial"/>
          <w:color w:val="000000"/>
          <w:sz w:val="22"/>
          <w:szCs w:val="22"/>
          <w:lang w:val="sr-Cyrl-RS"/>
        </w:rPr>
        <w:t>"</w:t>
      </w:r>
      <w:r w:rsidRPr="00EF008E">
        <w:rPr>
          <w:rFonts w:ascii="Arial" w:hAnsi="Arial" w:cs="Arial"/>
          <w:color w:val="000000"/>
          <w:sz w:val="22"/>
          <w:szCs w:val="22"/>
          <w:lang w:val="sr-Cyrl-RS"/>
        </w:rPr>
        <w:t>Глобални родни јаз</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Светског економског форума, који оцењује родни јаз кроз четири кључне димензије, у 156 земаља објављеном 2021. године указује да се услед глобалне пандемије бележи значајан корак уназад када се ради о смањењу родног јаза и да се време потребно да се глобално родни јаз елиминише овим темпом са 99,5 повећало на 135,6 година. Када је у питању смањење родног јаза у економији ситуација је још неповоњнија и биће потребно још 267,6 година за елиминсање родног јаза. Разлог за то, како се наводи, видљив је у два супротна тренда. Са једне стране, удео жена међу образованим професионалцима континуирано расте, као и смањење платног јаза, док са друге стране општа неједнакост у приходима упорно опстаје као и слабије учешће жена на менаџерским позицијама које износи свега 27%. У овом извештају Република Србија је рангирана на 19. месту, али када су у питању димензије учешћа и шансе у економији, налази се чак на 54. месту, док су подиндикатори унутар ове димензије још нижи (76. за учешће на тржишту рада и једнакост у платама и 79. место за менаџерске позиције).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Родни јаз у економији у Републици Србији видљив је кроз неједнак положај жена и мушкараца на тржишту рада, разликама у висини зараде, пензије и уопште прихода, разликама у предузетничкој активности, приступу ресурсима за подршку запошљавању и самозапошљавању, учешћу у неформалној економији, разликама у власништву над непокретностима и земљом као и учешће у одлучивању у економији. У сваком од ових посматраних елемената жене су и даље у далеко неповољнијем положају, док у групи међу женама постоје нарочито осетљиве</w:t>
      </w:r>
      <w:r w:rsidRPr="00EF008E">
        <w:rPr>
          <w:rFonts w:ascii="Arial" w:hAnsi="Arial" w:cs="Arial"/>
          <w:color w:val="000000"/>
          <w:sz w:val="22"/>
          <w:szCs w:val="22"/>
          <w:vertAlign w:val="superscript"/>
          <w:lang w:val="sr-Cyrl-RS"/>
        </w:rPr>
        <w:t>368</w:t>
      </w:r>
      <w:r w:rsidRPr="00EF008E">
        <w:rPr>
          <w:rFonts w:ascii="Arial" w:hAnsi="Arial" w:cs="Arial"/>
          <w:color w:val="000000"/>
          <w:sz w:val="22"/>
          <w:szCs w:val="22"/>
          <w:lang w:val="sr-Cyrl-RS"/>
        </w:rPr>
        <w:t xml:space="preserve"> групе жена чија је економска ситуација још неповољнија.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Према најновијим подацима Индекса родне равноправности у Републици Србији. у односу на просек ЕУ</w:t>
      </w:r>
      <w:r>
        <w:rPr>
          <w:rFonts w:ascii="Arial" w:hAnsi="Arial" w:cs="Arial"/>
          <w:color w:val="000000"/>
          <w:sz w:val="22"/>
          <w:szCs w:val="22"/>
          <w:lang w:val="sr-Cyrl-RS"/>
        </w:rPr>
        <w:t>-</w:t>
      </w:r>
      <w:r w:rsidRPr="00EF008E">
        <w:rPr>
          <w:rFonts w:ascii="Arial" w:hAnsi="Arial" w:cs="Arial"/>
          <w:color w:val="000000"/>
          <w:sz w:val="22"/>
          <w:szCs w:val="22"/>
          <w:lang w:val="sr-Cyrl-RS"/>
        </w:rPr>
        <w:t>28. Република Србија бележи нижу вредност у два домена која су кључна за економски положај: у домену рада 3,3 и заузима 22. место, и домен новца где је рангирана као претпоследња. Постоје велике разлике у домену новца за различите групе па тако једночлана домаћинства, самохрани родитељи са децом, и породице са више деце имају додатне неповољне карактеристике и изложене су већим ризицима од финансијског сиромаштва. Када је у питању приступ ресурсима у посебно се неповољном положају налазе младе жене и мушкарци, и жене и мушкарци из сеоских подручја. У ризику од финансијског сиромаштва су нарочито старије жене преко 65 година, мушкарци нижег образовања, младе жене и мушкарци.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 домен времена, односно учешће жена и мушкараца у неплаћеном кућном раду за Републику Србију нови подаци биће доступни 2022. године, јер је у току Истраживање о коришћењу времена које, сваких десет година, спроводи РЗС према методологији Еуростата</w:t>
      </w:r>
      <w:r w:rsidRPr="00EF008E">
        <w:rPr>
          <w:rFonts w:ascii="Arial" w:hAnsi="Arial" w:cs="Arial"/>
          <w:color w:val="000000"/>
          <w:sz w:val="22"/>
          <w:szCs w:val="22"/>
          <w:vertAlign w:val="superscript"/>
          <w:lang w:val="sr-Cyrl-RS"/>
        </w:rPr>
        <w:t>369</w:t>
      </w:r>
      <w:r w:rsidRPr="00EF008E">
        <w:rPr>
          <w:rFonts w:ascii="Arial" w:hAnsi="Arial" w:cs="Arial"/>
          <w:color w:val="000000"/>
          <w:sz w:val="22"/>
          <w:szCs w:val="22"/>
          <w:lang w:val="sr-Cyrl-RS"/>
        </w:rPr>
        <w:t>. Према најновијим доступним подацима, без обзира на то да ли су запослене или не, жене у односу на мушкарце двоструко више времена раде у кући, а упола мање проводе на плаћеним пословима. Највише времена у неплаћеним активностима проводе жене и мушкарци у браку са дететом до седам година (нешто мање од осам сати дневно жене и три сата дневно мушкарци). Неплаћени кућни рад, економија неге и бриге и начин на који жене и мушкарци користе своје време од великог значаја је и за њихов економски положај и смањење родног јаза у економији. Законом о родној равноправности (члан 28), предвиђено је редовно праћење и вредновање неплаћеног кућног рада,</w:t>
      </w:r>
      <w:r w:rsidRPr="00EF008E">
        <w:rPr>
          <w:rFonts w:ascii="Arial" w:hAnsi="Arial" w:cs="Arial"/>
          <w:color w:val="000000"/>
          <w:sz w:val="22"/>
          <w:szCs w:val="22"/>
          <w:vertAlign w:val="superscript"/>
          <w:lang w:val="sr-Cyrl-RS"/>
        </w:rPr>
        <w:t>370</w:t>
      </w:r>
      <w:r w:rsidRPr="00EF008E">
        <w:rPr>
          <w:rFonts w:ascii="Arial" w:hAnsi="Arial" w:cs="Arial"/>
          <w:color w:val="000000"/>
          <w:sz w:val="22"/>
          <w:szCs w:val="22"/>
          <w:lang w:val="sr-Cyrl-RS"/>
        </w:rPr>
        <w:t xml:space="preserve"> док је узимање у обзир неплаћеног рада кључно код креирања мера подршке економским активностима, програмима запошљавања и самозапошљавања, а стварање услова за боље усклађивање рада и приватног и породичног живота важно је за све запослене, нарочито за жене, на којима је још увек највећи терет неплаћеног кућног рада.</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5.1.1.2. Тржиште рада и зараде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Стратегија запошљавања у Републици Србији за период од 2021. до 2026. године (СЗЗ) усвојена је као мултисекторска стратегија, како би се постигли бољи резултати кроз координацију са другим релевантним политикама које имају утицај на исходе када је у питању запошљавање. То су образовне, пореске, политике привредног и регионалног развоја као и социјална политика. Како је и родна равноправност међусекторско питање, неопходно је да се у имплементацији ова стратегија и будући АП повежу са већ усвојеном СЗЗ како би се осигурао родно одговорни приступ у планирању, спровођењу и извештавању по свим мерама из СЗЗ и побољшао положај жена и мушкараца на тржишту рада.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Платни јаз за 2018. годину износио је 8,8%, колико су жене биле мање плаћене од мушкараца у Републици Србији. Када се подаци анализирају по степену образовања, платни јаз је много дубљи, па тако за жене без школе и са непотпуном основном школом или основним образовањем износи 21,2%. Посматрано по занимањима највећи платни јаз је у следећим занимањима: занатлије (23,8%), стручњаци и уметници (19%), инжењери, стручни сарадници и техничари (19,3%), и у једноставним занимањима (15,45%). Посматрано по годинама старости најдубљи платни јаз је за жене од 30</w:t>
      </w:r>
      <w:r>
        <w:rPr>
          <w:rFonts w:ascii="Arial" w:hAnsi="Arial" w:cs="Arial"/>
          <w:color w:val="000000"/>
          <w:sz w:val="22"/>
          <w:szCs w:val="22"/>
          <w:lang w:val="sr-Cyrl-RS"/>
        </w:rPr>
        <w:t>-</w:t>
      </w:r>
      <w:r w:rsidRPr="00EF008E">
        <w:rPr>
          <w:rFonts w:ascii="Arial" w:hAnsi="Arial" w:cs="Arial"/>
          <w:color w:val="000000"/>
          <w:sz w:val="22"/>
          <w:szCs w:val="22"/>
          <w:lang w:val="sr-Cyrl-RS"/>
        </w:rPr>
        <w:t>49 година. Чак и међу младим женама и мушкарцима од 15</w:t>
      </w:r>
      <w:r>
        <w:rPr>
          <w:rFonts w:ascii="Arial" w:hAnsi="Arial" w:cs="Arial"/>
          <w:color w:val="000000"/>
          <w:sz w:val="22"/>
          <w:szCs w:val="22"/>
          <w:lang w:val="sr-Cyrl-RS"/>
        </w:rPr>
        <w:t>-</w:t>
      </w:r>
      <w:r w:rsidRPr="00EF008E">
        <w:rPr>
          <w:rFonts w:ascii="Arial" w:hAnsi="Arial" w:cs="Arial"/>
          <w:color w:val="000000"/>
          <w:sz w:val="22"/>
          <w:szCs w:val="22"/>
          <w:lang w:val="sr-Cyrl-RS"/>
        </w:rPr>
        <w:t>29 година присутан је платни јаз од 4,6%.</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Просечна годишња зарада жена износила је 2018. године 917.000 РСД, а просечна годишња зарада мушкараца 1.008.000 РСД, што чини 9% платног јаза у корист мушкараца. Међутим, медијана годишње зараде износи 752.000 РСД за жене и 779.000 РСД за мушкарце па је за 50% жена и мушкараца разлика 3%. Посматрано по секторима делатности најнижа просечна годишња зарада је у три сектора: услуге смештаја и хране (662.000 РСД за жене и 785.000 РСД за мушкарце), административне и помоћне услужне делатности (722.000 РСД за жене и 863.000 РСД за мушкарце) и трговина на велико и мало (735.000 РСД за жене и 848.000 РСД за мушкарце). Највиша просечна годишња зарада је у следећа три сектора: финансијске делатности (1.588.000 РСД за жене и 2.011.000 РСД за мушкарце) па је платни јаз овде чак 21%, снабдевање електричном енергијом (1.474.000 РСД за жене и 1.600.000 РСД мушкарци), а платни јаз 8%, и стручне, научне и техничке делатности (1.306.000 РСД за жене, и 1.471.000 РСД за мушкарце), а платни јаз је 11%. Жене су мање плаћене и у сектору образовања (платни јаз 13%) и здравственој и социјалној заштити (15%). У сектору државна управа, одбрана и обавезно социјално осигурање просечна годишња зарада је 2018. године износила 1.060.000 РСД за жене и 1.055.000 РСД за мушкарце, па је ту платни јаз 1% у корист жена. Међутим ако се погледа медијана годишње зараде види се да постоји разлика од 5% у корист мушкараца.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Када су у питању пензије, у 2019. години у свим категоријама просечна старосна пензија жена нижа је за 20% и 16% код инвалидских пензија. Платни јаз постоји и у односу на врсту пензије. Најниже просечне пензије у номиналној вредности имају корисници/це пољопривредних пензија (11.567 РСД месечно жене и 12.623 РСД мушкарци) што је 45% просечне пензије за жене, или 47% просечне пензије за мушкарце.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Активност и неактивност. Родни јаз у стопи активности износи (13,6). Посматрано према полу у радно способном становништву жене имају нижу стопу активности на тржишту рада 61,3% (мушкарци 74,9%). Ове су стопе, међутим, различите ако се погледа и степен образовања. Тако, најнижу стопу активности имају жене без школе 6% (мушкарци 16,6%), жене са нижим образовањем 25,5% (мушкарци 45,1%), жене са средњим образовањем 51,9% (мушкарци 67,6%), док је код жена са високим образовањем стопа активности виша него код мушкараца и износи 72,3% (мушкарци 71%). Посматрано по годинама старости, највишу стопу активности имају жене и мушкарци 25</w:t>
      </w:r>
      <w:r>
        <w:rPr>
          <w:rFonts w:ascii="Arial" w:hAnsi="Arial" w:cs="Arial"/>
          <w:color w:val="000000"/>
          <w:sz w:val="22"/>
          <w:szCs w:val="22"/>
          <w:lang w:val="sr-Cyrl-RS"/>
        </w:rPr>
        <w:t>-</w:t>
      </w:r>
      <w:r w:rsidRPr="00EF008E">
        <w:rPr>
          <w:rFonts w:ascii="Arial" w:hAnsi="Arial" w:cs="Arial"/>
          <w:color w:val="000000"/>
          <w:sz w:val="22"/>
          <w:szCs w:val="22"/>
          <w:lang w:val="sr-Cyrl-RS"/>
        </w:rPr>
        <w:t>54 и она за жене износи 77,8%, а за мушкарце 88,5%. У периоду од 2015</w:t>
      </w:r>
      <w:r>
        <w:rPr>
          <w:rFonts w:ascii="Arial" w:hAnsi="Arial" w:cs="Arial"/>
          <w:color w:val="000000"/>
          <w:sz w:val="22"/>
          <w:szCs w:val="22"/>
          <w:lang w:val="sr-Cyrl-RS"/>
        </w:rPr>
        <w:t>-</w:t>
      </w:r>
      <w:r w:rsidRPr="00EF008E">
        <w:rPr>
          <w:rFonts w:ascii="Arial" w:hAnsi="Arial" w:cs="Arial"/>
          <w:color w:val="000000"/>
          <w:sz w:val="22"/>
          <w:szCs w:val="22"/>
          <w:lang w:val="sr-Cyrl-RS"/>
        </w:rPr>
        <w:t>2019. године, стопа активности жена повећала се за 5,7 процентних поена. На побољшање перформанси жена на тржишту рада, пре свега у погледу активности и запослености, дошло је и услед институционалних промена. Најнепосреднији утицај на активност жена на тржишту рада имала је законска измена у временској граници за остваривање права на пензију, али и увођење пенала за одлазак у превремену пензију. Континуирано повећање старосне границе за одлазак у пензију несумњиво је повећавало активност и запосленост жена продуживши, вољно или невољно, везаност кохорти старијих жена за тржиште рада.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План да се до 2032. године изједначи одлазак у пензију за жене и мушкарце, не прати и одговарајућа редистрибуција неплаћеног рада, а којим су жене још увек више оптерећене, а што је била до сада нека врста компензације и разлог за разлике које су до сада постојале код пензионисања. С тим у вези, потребно је извршити прилагођавања у пензионом систему и предвидети повећање додатка на осигурање стажа жена све док се терет неплаћеног рада не изједначи.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Родни јаз у стопи неактивности износи (13,6). У 2019. години стопа неактивности износила је 25,1% за мушкарце и 38,7% за жене.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Запосленост. Родни јаз у запослености износи (12,8).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Посматрано према радном статусу у старосној групи 15</w:t>
      </w:r>
      <w:r>
        <w:rPr>
          <w:rFonts w:ascii="Arial" w:hAnsi="Arial" w:cs="Arial"/>
          <w:color w:val="000000"/>
          <w:sz w:val="22"/>
          <w:szCs w:val="22"/>
          <w:lang w:val="sr-Cyrl-RS"/>
        </w:rPr>
        <w:t>-</w:t>
      </w:r>
      <w:r w:rsidRPr="00EF008E">
        <w:rPr>
          <w:rFonts w:ascii="Arial" w:hAnsi="Arial" w:cs="Arial"/>
          <w:color w:val="000000"/>
          <w:sz w:val="22"/>
          <w:szCs w:val="22"/>
          <w:lang w:val="sr-Cyrl-RS"/>
        </w:rPr>
        <w:t>64 година запослено је 54,3% жена и 67,1% мушкараца. Посматрано по годинама старости, у групи 25</w:t>
      </w:r>
      <w:r>
        <w:rPr>
          <w:rFonts w:ascii="Arial" w:hAnsi="Arial" w:cs="Arial"/>
          <w:color w:val="000000"/>
          <w:sz w:val="22"/>
          <w:szCs w:val="22"/>
          <w:lang w:val="sr-Cyrl-RS"/>
        </w:rPr>
        <w:t>-</w:t>
      </w:r>
      <w:r w:rsidRPr="00EF008E">
        <w:rPr>
          <w:rFonts w:ascii="Arial" w:hAnsi="Arial" w:cs="Arial"/>
          <w:color w:val="000000"/>
          <w:sz w:val="22"/>
          <w:szCs w:val="22"/>
          <w:lang w:val="sr-Cyrl-RS"/>
        </w:rPr>
        <w:t>54 година међу запосленима било је 69,1% жена и 79,9% мушкараца. Код младих у старосној групи 15</w:t>
      </w:r>
      <w:r>
        <w:rPr>
          <w:rFonts w:ascii="Arial" w:hAnsi="Arial" w:cs="Arial"/>
          <w:color w:val="000000"/>
          <w:sz w:val="22"/>
          <w:szCs w:val="22"/>
          <w:lang w:val="sr-Cyrl-RS"/>
        </w:rPr>
        <w:t>-</w:t>
      </w:r>
      <w:r w:rsidRPr="00EF008E">
        <w:rPr>
          <w:rFonts w:ascii="Arial" w:hAnsi="Arial" w:cs="Arial"/>
          <w:color w:val="000000"/>
          <w:sz w:val="22"/>
          <w:szCs w:val="22"/>
          <w:lang w:val="sr-Cyrl-RS"/>
        </w:rPr>
        <w:t>24 година међу запосленима је 15,9% девојака и 26,7% младића. У групи преко 55 година међу запосленима било је 20,5% жена и 36,5% мушкараца. Запосленост према сектору делатности у 2019. години показује да су жене биле запослене у секторима услуга (74,9%), индустрије (22,6%), пољопривреде (1,5%) и грађевине (1%). У истом периоду, мушкарци су били запослени у секторима услуга (53,1%), индустрије (34,8%), грађевине (8,1%), и пољопривреде (4%). У државном сектору жене чине већину (53%) у односу на мушкарце (47%).</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Посматрано према занимању жене чине већину запослених у услужним и трговачким занимањима (57%), међу инжењерима, стручним сарадницима и техничарима (53%), стручњацима и уметницима (59%), као и административним службеницима (60%), а у једноставним занимањима чине половину запослених. Мушкарци су већина међу руководиоцима (директорима), функционерима и законодавцима (67%), руковаоцима машина (78%), пољопривредницима (58%), и међу занатлијама (83%).</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Посматрано по дужини радног времена међу запосленима који раде са непуним радним временом жене чине већину (50%</w:t>
      </w:r>
      <w:r>
        <w:rPr>
          <w:rFonts w:ascii="Arial" w:hAnsi="Arial" w:cs="Arial"/>
          <w:color w:val="000000"/>
          <w:sz w:val="22"/>
          <w:szCs w:val="22"/>
          <w:lang w:val="sr-Cyrl-RS"/>
        </w:rPr>
        <w:t>-</w:t>
      </w:r>
      <w:r w:rsidRPr="00EF008E">
        <w:rPr>
          <w:rFonts w:ascii="Arial" w:hAnsi="Arial" w:cs="Arial"/>
          <w:color w:val="000000"/>
          <w:sz w:val="22"/>
          <w:szCs w:val="22"/>
          <w:lang w:val="sr-Cyrl-RS"/>
        </w:rPr>
        <w:t>62%) у свим старосним групама. Најчешћи разлози због којих раде непуно радно време су брига о деци, или неспособним старијим лицима (87%), породични или лични разлози (61%), болест или инвалидитет (51%). Најчешћи разлози због којих мушкарци раде са непуним радним временом су немогућност налажења посла с пуним радним временом (62%), школовање или обука (61%) и остали разлози (54%).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укупној запослености неформална запосленост износи 5,8% за жене и 10,2% за мушкарце. Међу неформално запосленима у старосној групи 15</w:t>
      </w:r>
      <w:r>
        <w:rPr>
          <w:rFonts w:ascii="Arial" w:hAnsi="Arial" w:cs="Arial"/>
          <w:color w:val="000000"/>
          <w:sz w:val="22"/>
          <w:szCs w:val="22"/>
          <w:lang w:val="sr-Cyrl-RS"/>
        </w:rPr>
        <w:t>-</w:t>
      </w:r>
      <w:r w:rsidRPr="00EF008E">
        <w:rPr>
          <w:rFonts w:ascii="Arial" w:hAnsi="Arial" w:cs="Arial"/>
          <w:color w:val="000000"/>
          <w:sz w:val="22"/>
          <w:szCs w:val="22"/>
          <w:lang w:val="sr-Cyrl-RS"/>
        </w:rPr>
        <w:t>64 година је 36% жена и 64% мушкараца. Највећи проценат неформално запослених жена је у старосној групи преко 55 година (41,8%), док је највећи проценат неформално запослених мушкараца међу младима од 15</w:t>
      </w:r>
      <w:r>
        <w:rPr>
          <w:rFonts w:ascii="Arial" w:hAnsi="Arial" w:cs="Arial"/>
          <w:color w:val="000000"/>
          <w:sz w:val="22"/>
          <w:szCs w:val="22"/>
          <w:lang w:val="sr-Cyrl-RS"/>
        </w:rPr>
        <w:t>-</w:t>
      </w:r>
      <w:r w:rsidRPr="00EF008E">
        <w:rPr>
          <w:rFonts w:ascii="Arial" w:hAnsi="Arial" w:cs="Arial"/>
          <w:color w:val="000000"/>
          <w:sz w:val="22"/>
          <w:szCs w:val="22"/>
          <w:lang w:val="sr-Cyrl-RS"/>
        </w:rPr>
        <w:t>24 године старости (69%). Посматрано према радном статусу у старосној групи 15</w:t>
      </w:r>
      <w:r>
        <w:rPr>
          <w:rFonts w:ascii="Arial" w:hAnsi="Arial" w:cs="Arial"/>
          <w:color w:val="000000"/>
          <w:sz w:val="22"/>
          <w:szCs w:val="22"/>
          <w:lang w:val="sr-Cyrl-RS"/>
        </w:rPr>
        <w:t>-</w:t>
      </w:r>
      <w:r w:rsidRPr="00EF008E">
        <w:rPr>
          <w:rFonts w:ascii="Arial" w:hAnsi="Arial" w:cs="Arial"/>
          <w:color w:val="000000"/>
          <w:sz w:val="22"/>
          <w:szCs w:val="22"/>
          <w:lang w:val="sr-Cyrl-RS"/>
        </w:rPr>
        <w:t>64 године самозапослено је 31% жена и 69% мушкараца. Приближно је и у другим старосним групама, осим код младих 15</w:t>
      </w:r>
      <w:r>
        <w:rPr>
          <w:rFonts w:ascii="Arial" w:hAnsi="Arial" w:cs="Arial"/>
          <w:color w:val="000000"/>
          <w:sz w:val="22"/>
          <w:szCs w:val="22"/>
          <w:lang w:val="sr-Cyrl-RS"/>
        </w:rPr>
        <w:t>-</w:t>
      </w:r>
      <w:r w:rsidRPr="00EF008E">
        <w:rPr>
          <w:rFonts w:ascii="Arial" w:hAnsi="Arial" w:cs="Arial"/>
          <w:color w:val="000000"/>
          <w:sz w:val="22"/>
          <w:szCs w:val="22"/>
          <w:lang w:val="sr-Cyrl-RS"/>
        </w:rPr>
        <w:t>24 године, у којој је проценат самозапослених младића 78% према 22% девојака. Жене су самозапослене највише у сектору услуга (64,6%) и сектору пољопривреде (30,1%), док је индустрија на трећем месту (4,8%). Мушкарци су самозапослени у сектору пољопривреде (43,7%), сектору услуга (40,4%), сектору грађевине (8,2%) и индустрији (7,7%).</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Жене су више него мушкарци самозапослене у нерегеристровним предузећима односно тзв. неформалној економији (44,4% жена према 34,1% мушкараца).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Незапосленост. Родни јаз у стопи незапослености износи (</w:t>
      </w:r>
      <w:r>
        <w:rPr>
          <w:rFonts w:ascii="Arial" w:hAnsi="Arial" w:cs="Arial"/>
          <w:color w:val="000000"/>
          <w:sz w:val="22"/>
          <w:szCs w:val="22"/>
          <w:lang w:val="sr-Cyrl-RS"/>
        </w:rPr>
        <w:t>-</w:t>
      </w:r>
      <w:r w:rsidRPr="00EF008E">
        <w:rPr>
          <w:rFonts w:ascii="Arial" w:hAnsi="Arial" w:cs="Arial"/>
          <w:color w:val="000000"/>
          <w:sz w:val="22"/>
          <w:szCs w:val="22"/>
          <w:lang w:val="sr-Cyrl-RS"/>
        </w:rPr>
        <w:t>1,1).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Стопа незапослености у 2019. години износила је 11,5% за жене, и 10.4% за мушкарце. Код укупне регистроване незапослености од 529.508 незапослених у 2019. години 54,2% биле у жене и 45,8% мушкарци. Број незапослених жена на евиденцији НСЗ у 2019. години износио је око 287.000 лица, што је мање за око 93.000 (24,6%) у односу на период 2015</w:t>
      </w:r>
      <w:r>
        <w:rPr>
          <w:rFonts w:ascii="Arial" w:hAnsi="Arial" w:cs="Arial"/>
          <w:color w:val="000000"/>
          <w:sz w:val="22"/>
          <w:szCs w:val="22"/>
          <w:lang w:val="sr-Cyrl-RS"/>
        </w:rPr>
        <w:t>-</w:t>
      </w:r>
      <w:r w:rsidRPr="00EF008E">
        <w:rPr>
          <w:rFonts w:ascii="Arial" w:hAnsi="Arial" w:cs="Arial"/>
          <w:color w:val="000000"/>
          <w:sz w:val="22"/>
          <w:szCs w:val="22"/>
          <w:lang w:val="sr-Cyrl-RS"/>
        </w:rPr>
        <w:t>2019. године. Иако се број незапослених жена на евиденцији смањио током посматраног периода, учешће незапослених жена у укупном броју незапослених лица се повећало за 3% (са 51,2% у 2015. на 54,2% у 2019. години). Разлог повећања учешћа жена је то што се незапосленост мушкараца у посматраном периоду смањила (за око 120.000 лица или 33,1%) више него незапосленост жена. Стопа незапослености младих жена (15</w:t>
      </w:r>
      <w:r>
        <w:rPr>
          <w:rFonts w:ascii="Arial" w:hAnsi="Arial" w:cs="Arial"/>
          <w:color w:val="000000"/>
          <w:sz w:val="22"/>
          <w:szCs w:val="22"/>
          <w:lang w:val="sr-Cyrl-RS"/>
        </w:rPr>
        <w:t>-</w:t>
      </w:r>
      <w:r w:rsidRPr="00EF008E">
        <w:rPr>
          <w:rFonts w:ascii="Arial" w:hAnsi="Arial" w:cs="Arial"/>
          <w:color w:val="000000"/>
          <w:sz w:val="22"/>
          <w:szCs w:val="22"/>
          <w:lang w:val="sr-Cyrl-RS"/>
        </w:rPr>
        <w:t>29 година) износила је 37,4% у 2015. години (виша за 5 п.п. од стопе незапослености младих мушкараца). У периоду 2015</w:t>
      </w:r>
      <w:r>
        <w:rPr>
          <w:rFonts w:ascii="Arial" w:hAnsi="Arial" w:cs="Arial"/>
          <w:color w:val="000000"/>
          <w:sz w:val="22"/>
          <w:szCs w:val="22"/>
          <w:lang w:val="sr-Cyrl-RS"/>
        </w:rPr>
        <w:t>-</w:t>
      </w:r>
      <w:r w:rsidRPr="00EF008E">
        <w:rPr>
          <w:rFonts w:ascii="Arial" w:hAnsi="Arial" w:cs="Arial"/>
          <w:color w:val="000000"/>
          <w:sz w:val="22"/>
          <w:szCs w:val="22"/>
          <w:lang w:val="sr-Cyrl-RS"/>
        </w:rPr>
        <w:t>2019. године младе жене су поправиле свој релативан положај на тржишту рада, па је стопа њихове незапослености опала за чак 14,9 п.п. чиме је родни јаз смањен на 1,7 п.п. у 2019. години (са 5 п.п. колико је износио у 2015. години). И према стопи запослености младе жене су поправиле свој положај, па је стопа запослености повећана за 6,1 п.п. у поменутом периоду, али то није било довољно да се смањи родни јаз, јер је запосленост младих мушкараца расла брже (за 7,2 п.п.). У односу на своје вршњаке, младе жене имају веће потешкоће са активацијом на тржишту рада, с обзиром на то да њихова стопа активности износи 40,1% у 2019. години (нижа за 13,4 п.п. од стопе активности младих мушкараца) и није се мењала током посматраног периода.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Подаци о незапослености особа са инвалидитетом показују да је у 2020. години на евиденцији НСЗ било 12.528 незапослених, активних у тражењу посла, од којих су 42,6% жене. Према нивоу образовања 54,7% има завршену средњу школу, 38,8% су лица без завршене средње школе, а само 6,6% незапослених особа са инвалидитетом има високо образовање. Према годинама старости, 46,7% незапослених особа са инвалидитетом има 50 или више година, 41,8% је између 30</w:t>
      </w:r>
      <w:r>
        <w:rPr>
          <w:rFonts w:ascii="Arial" w:hAnsi="Arial" w:cs="Arial"/>
          <w:color w:val="000000"/>
          <w:sz w:val="22"/>
          <w:szCs w:val="22"/>
          <w:lang w:val="sr-Cyrl-RS"/>
        </w:rPr>
        <w:t>-</w:t>
      </w:r>
      <w:r w:rsidRPr="00EF008E">
        <w:rPr>
          <w:rFonts w:ascii="Arial" w:hAnsi="Arial" w:cs="Arial"/>
          <w:color w:val="000000"/>
          <w:sz w:val="22"/>
          <w:szCs w:val="22"/>
          <w:lang w:val="sr-Cyrl-RS"/>
        </w:rPr>
        <w:t>49 година, а 11,6% су млади до 30 година. Дуже од 12 месеци посао тражи 76,4% незапослених особа са инвалидитетом, а њих 61,9% посао тражи дуже од две године. Неповољна образовна и старосна структура, као и високо учешће у дугорочној незапослености, карактеристике су незапослених особа са инвалидитетом.</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Када су у питању Роми и Ромкиње као једне од рањивих група подаци за 2020. годину, показују да се на евиденцији НСЗ налази 27.595 незапослених Рома, од којих су 50,2% жене. Високо учешће лица без квалификација и нискоквалификованих од 89,5% главно је обележје образовне структуре ове групе незапослених. Средњи ниво образовања има 10%, а високо образовање свега 0,6% Ромкиња. У структури незапослених посматрано и према годинама старости 28,3% су млади до 30 година, 48,6% су лица од 30</w:t>
      </w:r>
      <w:r>
        <w:rPr>
          <w:rFonts w:ascii="Arial" w:hAnsi="Arial" w:cs="Arial"/>
          <w:color w:val="000000"/>
          <w:sz w:val="22"/>
          <w:szCs w:val="22"/>
          <w:lang w:val="sr-Cyrl-RS"/>
        </w:rPr>
        <w:t>-</w:t>
      </w:r>
      <w:r w:rsidRPr="00EF008E">
        <w:rPr>
          <w:rFonts w:ascii="Arial" w:hAnsi="Arial" w:cs="Arial"/>
          <w:color w:val="000000"/>
          <w:sz w:val="22"/>
          <w:szCs w:val="22"/>
          <w:lang w:val="sr-Cyrl-RS"/>
        </w:rPr>
        <w:t>49 година, док 23,1% има 50 или више година. Дугорочна незапосленост Рома и Ромкиња на евиденцији НСЗ је 68,4%, а у веома дугој незапослености налази се 53,7% ових лица.</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5.1.1.3. Предузетништво жена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Стратегије за подршку развоја малих и средњих предузећа, предузетништва и конкурентности за период од 2015. до 2020. године (ММСП) и Национална стратегија за родну равноправност (2016</w:t>
      </w:r>
      <w:r>
        <w:rPr>
          <w:rFonts w:ascii="Arial" w:hAnsi="Arial" w:cs="Arial"/>
          <w:color w:val="000000"/>
          <w:sz w:val="22"/>
          <w:szCs w:val="22"/>
          <w:lang w:val="sr-Cyrl-RS"/>
        </w:rPr>
        <w:t>-</w:t>
      </w:r>
      <w:r w:rsidRPr="00EF008E">
        <w:rPr>
          <w:rFonts w:ascii="Arial" w:hAnsi="Arial" w:cs="Arial"/>
          <w:color w:val="000000"/>
          <w:sz w:val="22"/>
          <w:szCs w:val="22"/>
          <w:lang w:val="sr-Cyrl-RS"/>
        </w:rPr>
        <w:t>2020) препознале су значај интервенција у затварању родног јаза у економији, укључујући развој предузетништва. Недовољно је учињено на системском родно одговорном планирању политика и програма за развој предузетништва. Годишњи извештаји о стању ММСП немају исказане податке о предузетништву жена па нема података како послују предузећа у односу на пол власника, а не постоји ни јавно доступан извештај о напретку у односу на примену Стратегије за ММСП и њен стуб број 6. који се односи на предузетништво жена. И даље не постоји системска родна статистика о предузетништву жена. Потребно је учинити више, посебно када је реч о различитим регистрима, а посебно оним при Агенцији за привредне регистре.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Одређени напредак постигнут је као резултат процеса родно одговорног буџетирања у РЗС, уз увођење нових родних индикатора у пословну статистику. Напредак је постигнут и код Канцеларије за јавне набавке (КЈН) која је од 2020. године почела да прати учешће предузећа у власништву жена у укупном броју закључених уговора или оквирних споразума кроз поступке јавних набавки на годишњем нивоу. У Извештају о учинку за 2020. годину КЈН наводи да је тај проценат износио 23% што је 8% више од процене. За сада најпоузданија процена о учешћу жена у бизнису 31,7% приказана је у истраживању о положају жене у пословном сектору у Републици Србији (Бабовић, 2014), која разликује учешће жена у предузећима (24%) и међу регистрованим предузетницима (32%)</w:t>
      </w:r>
      <w:r w:rsidRPr="00EF008E">
        <w:rPr>
          <w:rFonts w:ascii="Arial" w:hAnsi="Arial" w:cs="Arial"/>
          <w:color w:val="000000"/>
          <w:sz w:val="22"/>
          <w:szCs w:val="22"/>
          <w:vertAlign w:val="superscript"/>
          <w:lang w:val="sr-Cyrl-RS"/>
        </w:rPr>
        <w:t>372</w:t>
      </w:r>
      <w:r w:rsidRPr="00EF008E">
        <w:rPr>
          <w:rFonts w:ascii="Arial" w:hAnsi="Arial" w:cs="Arial"/>
          <w:color w:val="000000"/>
          <w:sz w:val="22"/>
          <w:szCs w:val="22"/>
          <w:lang w:val="sr-Cyrl-RS"/>
        </w:rPr>
        <w:t>.</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На успешност предузетништва као важног аспекта економске активности утиче више фактора: приступ финансијама, афирмативно и повољно пословно окружење, културолошке баријере, избор и врста бизниса и сектора, приступ информацијама и обукама, пословни контакти и приступ мрежама за социјалну подршку, сегрегација по полу у образовању и двоструки терет кућних обавеза и одговорности на радном месту (усклађивање посла, приватног и породичног живота). Ови фактори могу бити изазов и за жене и мушкарце, али чињенице указују на то да су баријере са којима суочавају жене предузетнице често знатно веће, јер теже приступају кредитима, финансијама и капиталу, имају мање могућности за умрежавање, присутна је родна сегреација у образовању, теже усклађују рад, приватни и породични живот и често отежано послују услед предрасуда и стереотипа о женама у бизнису, а нема развијених мера које би системски отклањале ове баријере. То је препознато у Стратегији за ММСП, где је наведено да </w:t>
      </w:r>
      <w:r>
        <w:rPr>
          <w:rFonts w:ascii="Arial" w:hAnsi="Arial" w:cs="Arial"/>
          <w:color w:val="000000"/>
          <w:sz w:val="22"/>
          <w:szCs w:val="22"/>
          <w:lang w:val="sr-Cyrl-RS"/>
        </w:rPr>
        <w:t>"</w:t>
      </w:r>
      <w:r w:rsidRPr="00EF008E">
        <w:rPr>
          <w:rFonts w:ascii="Arial" w:hAnsi="Arial" w:cs="Arial"/>
          <w:color w:val="000000"/>
          <w:sz w:val="22"/>
          <w:szCs w:val="22"/>
          <w:lang w:val="sr-Cyrl-RS"/>
        </w:rPr>
        <w:t>иако је већина ових тешкоћа заједничка за оба пола, постоји посебан утицај на предузетнице које су условљене избором сектора, родном дискриминацијом и постојањем стереотипа, недовољно развијеном и нефлексибилном бригом о деци, потешкоћама у усклађивању породичних, приватних и радних обавеза, или разлика у ставовима жена и мушкараца према предузетништву. Жене такође имају мање имовине и непокретности уписаних на своје име, а што им отежава приступ финансијама.</w:t>
      </w:r>
      <w:r>
        <w:rPr>
          <w:rFonts w:ascii="Arial" w:hAnsi="Arial" w:cs="Arial"/>
          <w:color w:val="000000"/>
          <w:sz w:val="22"/>
          <w:szCs w:val="22"/>
          <w:lang w:val="sr-Cyrl-RS"/>
        </w:rPr>
        <w:t>"</w:t>
      </w:r>
      <w:r w:rsidRPr="00EF008E">
        <w:rPr>
          <w:rFonts w:ascii="Arial" w:hAnsi="Arial" w:cs="Arial"/>
          <w:color w:val="000000"/>
          <w:sz w:val="22"/>
          <w:szCs w:val="22"/>
          <w:vertAlign w:val="superscript"/>
          <w:lang w:val="sr-Cyrl-RS"/>
        </w:rPr>
        <w:t>373</w:t>
      </w:r>
      <w:r w:rsidRPr="00EF008E">
        <w:rPr>
          <w:rFonts w:ascii="Arial" w:hAnsi="Arial" w:cs="Arial"/>
          <w:color w:val="000000"/>
          <w:sz w:val="22"/>
          <w:szCs w:val="22"/>
          <w:lang w:val="sr-Cyrl-RS"/>
        </w:rPr>
        <w:t xml:space="preserve"> Развијање одговарајућих мера да се одговори на те изазове важни су за наредни период.</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оквиру РОБ-а, Републички геодетски завод (РГЗ) је унапредио родну статистику својих евиденција о непокретностима. Према доступним подацима у 2019. години 25% непокретности је у искључивом власништву жена, 65% у искључивом власништву мушкарца и 10% су у заједничком власништву. Министарство привреде је известило</w:t>
      </w:r>
      <w:r w:rsidRPr="00EF008E">
        <w:rPr>
          <w:rFonts w:ascii="Arial" w:hAnsi="Arial" w:cs="Arial"/>
          <w:color w:val="000000"/>
          <w:sz w:val="22"/>
          <w:szCs w:val="22"/>
          <w:vertAlign w:val="superscript"/>
          <w:lang w:val="sr-Cyrl-RS"/>
        </w:rPr>
        <w:t>374</w:t>
      </w:r>
      <w:r w:rsidRPr="00EF008E">
        <w:rPr>
          <w:rFonts w:ascii="Arial" w:hAnsi="Arial" w:cs="Arial"/>
          <w:color w:val="000000"/>
          <w:sz w:val="22"/>
          <w:szCs w:val="22"/>
          <w:lang w:val="sr-Cyrl-RS"/>
        </w:rPr>
        <w:t xml:space="preserve"> да је у 2020. години за започињање пословања подржано 251 пословних субјеката од чега су 100 или 39.8% жене.</w:t>
      </w:r>
      <w:r w:rsidRPr="00EF008E">
        <w:rPr>
          <w:rFonts w:ascii="Arial" w:hAnsi="Arial" w:cs="Arial"/>
          <w:color w:val="000000"/>
          <w:sz w:val="22"/>
          <w:szCs w:val="22"/>
          <w:vertAlign w:val="superscript"/>
          <w:lang w:val="sr-Cyrl-RS"/>
        </w:rPr>
        <w:t>375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2019. години спроведено је неколико родних анализа</w:t>
      </w:r>
      <w:r w:rsidRPr="00EF008E">
        <w:rPr>
          <w:rFonts w:ascii="Arial" w:hAnsi="Arial" w:cs="Arial"/>
          <w:color w:val="000000"/>
          <w:sz w:val="22"/>
          <w:szCs w:val="22"/>
          <w:vertAlign w:val="superscript"/>
          <w:lang w:val="sr-Cyrl-RS"/>
        </w:rPr>
        <w:t>376</w:t>
      </w:r>
      <w:r w:rsidRPr="00EF008E">
        <w:rPr>
          <w:rFonts w:ascii="Arial" w:hAnsi="Arial" w:cs="Arial"/>
          <w:color w:val="000000"/>
          <w:sz w:val="22"/>
          <w:szCs w:val="22"/>
          <w:lang w:val="sr-Cyrl-RS"/>
        </w:rPr>
        <w:t xml:space="preserve"> програма подршке предузетништву у Републици Србији које су указале на кључне препреке за жене у коришћењу постојећих мера за подршку предузетништву, између осталог, и због тога што је подршка предузетништву у Републици Србији које су указале на кључне препреке за жене у коришћењу постојећих мера усмерена на секторе у којима је мање учешће предузетница, док је највећи део подршке усмерен на производњу у секторима у којој су предузећа у власништву жена мање заступљена. Нема континуираних циљаних мера подршке женама за укључивање у иновативне делатности, брзо растуће бизнисе, зелену и циркуларну економију које би омогућиле укључивање жена и превазилажење родно условљених препрека. Родна aнализа програма спроведених 2018. године преко Развојне агенције Србије указују да је удео жена у програмима подршке предузетништву (22,7% и 17,9%) био испод нивоа њиховог учешћа у укупној економији (31,7 %). Кључни покретач </w:t>
      </w:r>
      <w:r>
        <w:rPr>
          <w:rFonts w:ascii="Arial" w:hAnsi="Arial" w:cs="Arial"/>
          <w:color w:val="000000"/>
          <w:sz w:val="22"/>
          <w:szCs w:val="22"/>
          <w:lang w:val="sr-Cyrl-RS"/>
        </w:rPr>
        <w:t>"</w:t>
      </w:r>
      <w:r w:rsidRPr="00EF008E">
        <w:rPr>
          <w:rFonts w:ascii="Arial" w:hAnsi="Arial" w:cs="Arial"/>
          <w:color w:val="000000"/>
          <w:sz w:val="22"/>
          <w:szCs w:val="22"/>
          <w:lang w:val="sr-Cyrl-RS"/>
        </w:rPr>
        <w:t>посредне дискриминације</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који је довео до мањег учешћа бизниса у власништву жена у програмима јесте то што је предност дата производним и прерађивачким активностима, тј. секторима у којима је учешће жена традиционално испод нивоа за остале секторске економије. Основни подаци за програме често нису доступни по полу, што отежава њихову родну анализу, а недостатак података у тренутку покретања новог програма онемогућава унапређење програма из угла родне равноправности. То је отежало и родно одговорно планирање мера током пандемије. Родна анализа буџетских реалокација у 2020. години која укључује и промене у буџету министарства привреде чији се буџет у 2020. години увећао за 695%, а за потребе одговора на кризу изазвану пандемијом COVID-19, показала је да је брза реакција погодовала посебно ММСП сектору, да је обухват био широк што је погодовало и предузетницама, али и онима који обично нису обухваћени, а посебно жене на селу, Ромкиње, пољопривреднице и велики број сезонских радника и радница као и ангажованих у неформалној економији. Анализа је показала да је у првој години пандемије изостао фокус на посебно погођене услужне секторе којима је била потребна много шира подршка, а у којем је ангажован велики број жена, као и да је већина мера била родно недовољно осетљива.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Водећа препорука из родне анализе је неопходност родно одговорног економског опоравка привреде од пандемије кроз унапређење мера из угла родне равноправности и увођење комплементарних додатних мера за подршку предузетништву жена.</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5.1.1.4. Подршка иновацијама и учешће жена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Пословне, технолошке и друштвене иновације су од великог значаја за развој друштва јер доприносе креирању нових одрживијих радних места, развоју и расту предузећа и предузетништва где се креира нова вредност и где се у предузетништво улази ради шансе на тржишту, а не из нужде. Иновације су важне и за традиционалне секторе попут пољопривреде где је нарочито важно да се подстичу. Развој и подршка иновационој делатности уређена је Законом о иновационој делатности. Успостављен је континуирани систем подршке кроз Фонд за иновациону делатност (ФИД) и доступне информације о мерама за подршку развоју иновативне привреде. Подржани су научно технолошки паркови и start</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up центри. У Закону о јавним набавкама препознат је модел </w:t>
      </w:r>
      <w:r>
        <w:rPr>
          <w:rFonts w:ascii="Arial" w:hAnsi="Arial" w:cs="Arial"/>
          <w:color w:val="000000"/>
          <w:sz w:val="22"/>
          <w:szCs w:val="22"/>
          <w:lang w:val="sr-Cyrl-RS"/>
        </w:rPr>
        <w:t>"</w:t>
      </w:r>
      <w:r w:rsidRPr="00EF008E">
        <w:rPr>
          <w:rFonts w:ascii="Arial" w:hAnsi="Arial" w:cs="Arial"/>
          <w:color w:val="000000"/>
          <w:sz w:val="22"/>
          <w:szCs w:val="22"/>
          <w:lang w:val="sr-Cyrl-RS"/>
        </w:rPr>
        <w:t>партнерство за иновације</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чији циљ је развој иновативних добара, услуга или радова и њихову накнадну набавку. Ово је велика промена која омогућава инвестиције у нова иновативна решења и може да допринесе развоју и привреде и друштва. Родна перспектива међутим, није уткана у подршку иновацијама, а посебне мере једва да се користе упркос значајним разликама и приступу ресурсима, па је потребно да се надаље циљано, системски и дугорочно подстиче и учешће жена и предузећа у већинском власништву жена у програмима подршке који подстичу иновације у свим секторима делатности. Програми који су се спроводили као подршка иновационом предузетништву жена углавном су били </w:t>
      </w:r>
      <w:r w:rsidRPr="00EF008E">
        <w:rPr>
          <w:rFonts w:ascii="Arial" w:hAnsi="Arial" w:cs="Arial"/>
          <w:i/>
          <w:color w:val="000000"/>
          <w:sz w:val="22"/>
          <w:szCs w:val="22"/>
          <w:lang w:val="sr-Cyrl-RS"/>
        </w:rPr>
        <w:t>ad hoc</w:t>
      </w:r>
      <w:r w:rsidRPr="00EF008E">
        <w:rPr>
          <w:rFonts w:ascii="Arial" w:hAnsi="Arial" w:cs="Arial"/>
          <w:color w:val="000000"/>
          <w:sz w:val="22"/>
          <w:szCs w:val="22"/>
          <w:lang w:val="sr-Cyrl-RS"/>
        </w:rPr>
        <w:t xml:space="preserve"> и са мањим појединачним додељеним износима. За иновације које долазе из непрофитног сектора и укључују и технолошке и друштвено иновативне аспекте нема одговарајућих програма. Неопходно је развити инфраструктуру за подршку иновацијама да обухвати различите форме организовања, а које погодују и женама (ОЦД, задруге, регистроване предузетнице). Родна анализа програма ФИД показала је да се новац из буџета и грантова улаже на начин који продубљује родни јаз. На пример, кроз грант шему фирме у већинском власништву мушкараца добиле су подршку у једној години колико су предузећа у већинском власништву жена добила током пет година. Као одговор на резултате родне анализе ФИД је у својим информативним кампањама почео да води рачуна о обухвату предузећа чије су власнице жене, али је то још далеко од отклањања свих баријера за веће учешће жена. Помак је направљен и у Заводу за заштиту интелектуалне својине који је на 100-ту годишњицу оснивања Завода припремио монографију Кратак преглед изумитељки ХХ века које су у том заводу заштитиле своје патенте, а у настојању да учини видљивим доприносе жена у овој области. Друштвене иновације у Републици Србији нису препознате кроз стратешки и законски оквир нити се подржавају кроз ФИД и недовољно се препознаје значај који у решавању проблема у друштву могу да имају друштвени иноватори и иноваторке ангажовани у привреди али и у ОЦД, задругама, социјалним задругама, социјалним предузећима или мултисекторским </w:t>
      </w:r>
      <w:r>
        <w:rPr>
          <w:rFonts w:ascii="Arial" w:hAnsi="Arial" w:cs="Arial"/>
          <w:color w:val="000000"/>
          <w:sz w:val="22"/>
          <w:szCs w:val="22"/>
          <w:lang w:val="sr-Cyrl-RS"/>
        </w:rPr>
        <w:t>"</w:t>
      </w:r>
      <w:r w:rsidRPr="00EF008E">
        <w:rPr>
          <w:rFonts w:ascii="Arial" w:hAnsi="Arial" w:cs="Arial"/>
          <w:color w:val="000000"/>
          <w:sz w:val="22"/>
          <w:szCs w:val="22"/>
          <w:lang w:val="sr-Cyrl-RS"/>
        </w:rPr>
        <w:t>хибридним</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структурама, а чији је допринос важан за формулисање иновативних решења којима се решавају различити проблеми у друштву. Подршка иновацијама требало би да се усмери и на друге секторе у којима жене чине велику већину: образовање, здравље, услуге у области социјалне заштите, посебно у сегменту неге и бриге, а што је поље које вапи за другачијим и одрживијим решењима. Видљив помак је и то што је Тим за социјално укључивање и смањење сиромаштва Владе препознао значај друштвених иновација за поспешивање инклузивног развоја, па се од 2016. године спроводи програм раног развоја, пилотирања/тестирања и ширења друштвено иновативних решења у области запошљавања</w:t>
      </w:r>
      <w:r w:rsidRPr="00EF008E">
        <w:rPr>
          <w:rFonts w:ascii="Arial" w:hAnsi="Arial" w:cs="Arial"/>
          <w:color w:val="000000"/>
          <w:sz w:val="22"/>
          <w:szCs w:val="22"/>
          <w:vertAlign w:val="superscript"/>
          <w:lang w:val="sr-Cyrl-RS"/>
        </w:rPr>
        <w:t>377</w:t>
      </w:r>
      <w:r w:rsidRPr="00EF008E">
        <w:rPr>
          <w:rFonts w:ascii="Arial" w:hAnsi="Arial" w:cs="Arial"/>
          <w:color w:val="000000"/>
          <w:sz w:val="22"/>
          <w:szCs w:val="22"/>
          <w:lang w:val="sr-Cyrl-RS"/>
        </w:rPr>
        <w:t xml:space="preserve"> младих, а посебно младих из осетљивих група, као и у услугама социјалне заштите на локалном нивоу</w:t>
      </w:r>
      <w:r w:rsidRPr="00EF008E">
        <w:rPr>
          <w:rFonts w:ascii="Arial" w:hAnsi="Arial" w:cs="Arial"/>
          <w:color w:val="000000"/>
          <w:sz w:val="22"/>
          <w:szCs w:val="22"/>
          <w:vertAlign w:val="superscript"/>
          <w:lang w:val="sr-Cyrl-RS"/>
        </w:rPr>
        <w:t>378</w:t>
      </w:r>
      <w:r w:rsidRPr="00EF008E">
        <w:rPr>
          <w:rFonts w:ascii="Arial" w:hAnsi="Arial" w:cs="Arial"/>
          <w:color w:val="000000"/>
          <w:sz w:val="22"/>
          <w:szCs w:val="22"/>
          <w:lang w:val="sr-Cyrl-RS"/>
        </w:rPr>
        <w:t>. Друштвене иновације примењиве су у свим областима и за најразличитије друштвене изазове и представљају добар начин да се одговори на потребе и да се оснаже различите друштвене групе што се већ показало кроз добре резултате посебно у иницијативама за запошљавање и самозапошљавање, а на којима је радио Тим за социјално укључивање и смањење сиромаштва Владе, као и велики број ОЦД.</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5.1.1.5. Интегрисање родне перспективе у области заштите животне средине, циркуларне и зелене економије, и информационих технологија/дигиталне економије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Нови Закон о родној равноправности (члан 42) регулише примену политике једнаких могућности за жене и мушкарце у области заштите животне средине и обавезу интегрисања родне перспективе и овој интерсекторској области. То је нарочито важно сада када се промовишу нови развојни правци, а који укључују зелену и циркуларну</w:t>
      </w:r>
      <w:r w:rsidRPr="00EF008E">
        <w:rPr>
          <w:rFonts w:ascii="Arial" w:hAnsi="Arial" w:cs="Arial"/>
          <w:color w:val="000000"/>
          <w:sz w:val="22"/>
          <w:szCs w:val="22"/>
          <w:vertAlign w:val="superscript"/>
          <w:lang w:val="sr-Cyrl-RS"/>
        </w:rPr>
        <w:t>379</w:t>
      </w:r>
      <w:r w:rsidRPr="00EF008E">
        <w:rPr>
          <w:rFonts w:ascii="Arial" w:hAnsi="Arial" w:cs="Arial"/>
          <w:color w:val="000000"/>
          <w:sz w:val="22"/>
          <w:szCs w:val="22"/>
          <w:lang w:val="sr-Cyrl-RS"/>
        </w:rPr>
        <w:t xml:space="preserve"> економију о чему постоји и мапа пута која прецизира активности у том смеру, а које ће бити реализоване у наредном периоду у Републици Србији. Прелазак са линеарне на циркуларну економију донеће промене у начину функционисања привреде, као и шансе за отварање нових радних места, развој предузетништва и социјалног предузетништва. Велике промене очекују се као резултат започетих процеса декарбонизације</w:t>
      </w:r>
      <w:r w:rsidRPr="00EF008E">
        <w:rPr>
          <w:rFonts w:ascii="Arial" w:hAnsi="Arial" w:cs="Arial"/>
          <w:color w:val="000000"/>
          <w:sz w:val="22"/>
          <w:szCs w:val="22"/>
          <w:vertAlign w:val="superscript"/>
          <w:lang w:val="sr-Cyrl-RS"/>
        </w:rPr>
        <w:t>380</w:t>
      </w:r>
      <w:r w:rsidRPr="00EF008E">
        <w:rPr>
          <w:rFonts w:ascii="Arial" w:hAnsi="Arial" w:cs="Arial"/>
          <w:color w:val="000000"/>
          <w:sz w:val="22"/>
          <w:szCs w:val="22"/>
          <w:lang w:val="sr-Cyrl-RS"/>
        </w:rPr>
        <w:t xml:space="preserve"> економије у Европи</w:t>
      </w:r>
      <w:r w:rsidRPr="00EF008E">
        <w:rPr>
          <w:rFonts w:ascii="Arial" w:hAnsi="Arial" w:cs="Arial"/>
          <w:color w:val="000000"/>
          <w:sz w:val="22"/>
          <w:szCs w:val="22"/>
          <w:vertAlign w:val="superscript"/>
          <w:lang w:val="sr-Cyrl-RS"/>
        </w:rPr>
        <w:t>381</w:t>
      </w:r>
      <w:r w:rsidRPr="00EF008E">
        <w:rPr>
          <w:rFonts w:ascii="Arial" w:hAnsi="Arial" w:cs="Arial"/>
          <w:color w:val="000000"/>
          <w:sz w:val="22"/>
          <w:szCs w:val="22"/>
          <w:lang w:val="sr-Cyrl-RS"/>
        </w:rPr>
        <w:t xml:space="preserve"> и односе се на готово све секторе укључујући и секторе у којима су жене мање заступљене попут енергетике, или попут заштите животне средине, на пример у делу управљања отпадом и отпадним водама, као и управљања природним ресурсима. Од великог је значаја да се од почетка осигура равноправно укључивање жена и мушкараца у овај процес, једнак приступ знањима, информацијама и ресурсима како би имали и једнаке шансе услед промена у економији. Стратешки документи који се буду припремали у овој области требало би да укључе и аспект родне равноправности. За повећање шанси у запошљавању и самозапошљавању значајно је и укључивање жена а посебно жена из осетљивих група у дигиталну економију, зелену економију, циркуларну економију, као и примену нових технологија, на пример у области рециклаже отпада и третмана отпадних вода. Посебно је важно препознати и досадашње пионирске напоре у сфери циркуларне и зелене економије које долазе из ОЦД сектора, као и улогу које ОЦД имају у овим областима.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Увођење родне димензије у политике климатских промена такође је посебно важно. Крајем 2019. године припремљен је Нацрт извештаја за успостављање мониторинга родно осетљивог извештавања у област климатских промена, у оквиру кога је припремљен Предлог оквира за мониторинг родно осетљивих података у области климатских промена (развијен у оквиру пројекта </w:t>
      </w:r>
      <w:r>
        <w:rPr>
          <w:rFonts w:ascii="Arial" w:hAnsi="Arial" w:cs="Arial"/>
          <w:color w:val="000000"/>
          <w:sz w:val="22"/>
          <w:szCs w:val="22"/>
          <w:lang w:val="sr-Cyrl-RS"/>
        </w:rPr>
        <w:t>"</w:t>
      </w:r>
      <w:r w:rsidRPr="00EF008E">
        <w:rPr>
          <w:rFonts w:ascii="Arial" w:hAnsi="Arial" w:cs="Arial"/>
          <w:color w:val="000000"/>
          <w:sz w:val="22"/>
          <w:szCs w:val="22"/>
          <w:lang w:val="sr-Cyrl-RS"/>
        </w:rPr>
        <w:t>Успостављање оквира транспарентности у Републици Србији</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који спроводи Министарство заштите животне средине, уз подршку UNDP/GEF), који пружа смернице у којим областима је потребно интегрисати родну димензију и аспекте животне средине и у оквиру њега је идентификовано седам ширих области (приступ ресурсима, учешће у домену доношења одлука, привреда и економија, потрошња и стилови живота, образовање, здравље и знање, ставови и понашање у вези са животном средином). Све ово ће послужити за финализацију првог Акционог плана за род и климатске промене (Gender Action Plan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GAP) за Републику Србију, према UNFCCC смерницама</w:t>
      </w:r>
      <w:r w:rsidRPr="00EF008E">
        <w:rPr>
          <w:rFonts w:ascii="Arial" w:hAnsi="Arial" w:cs="Arial"/>
          <w:color w:val="000000"/>
          <w:sz w:val="22"/>
          <w:szCs w:val="22"/>
          <w:vertAlign w:val="superscript"/>
          <w:lang w:val="sr-Cyrl-RS"/>
        </w:rPr>
        <w:t>382</w:t>
      </w:r>
      <w:r w:rsidRPr="00EF008E">
        <w:rPr>
          <w:rFonts w:ascii="Arial" w:hAnsi="Arial" w:cs="Arial"/>
          <w:color w:val="000000"/>
          <w:sz w:val="22"/>
          <w:szCs w:val="22"/>
          <w:lang w:val="sr-Cyrl-RS"/>
        </w:rPr>
        <w:t>.</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Потребно је наставити активности на укључивању родног аспекта у области јавних политика управљања хемикалијама, поготово када је реч о изложености POPs хемикалијама, и то не искључиво у смислу токсиколошких анализа него и социо-економских аспеката који детерминишу различиту изложеност мушкараца и жена у Републици Србији. Ово посебно треба нагласити стога што су претходне родно-сензитивне анализе у овој области показале да: мушкарци мање од жена учествују у активностима и институционалним активностима управљања хемикалијама и заштитом животне средине; као и да су, међу професионалним корисницима у појединим секторима индустрије, транспорта, безбедности, мушкарци потенцијално изложенији POPs хемикалијама.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Родни дисбаланс је високо изражен у технолошком, односно ИКТ сектору, који представља најбоље перспективе за напредовање и у економском погледу и у погледу учешћа у креирању будућности. Подаци о родној структури указују на доминантно учешће мушкараца у ИКТ сектору, који чине две трећине запослених у целом сектору. У ужој области информационих технологија мушкарци заузимају чак 70% радних места, односно учешће жена у ИКТ-у је 30%. Процењује се да је мање од 20% жена на менаџерским позицијама, док је мање од 10% жена на лидерској позицији директора фирме.</w:t>
      </w:r>
      <w:r w:rsidRPr="00EF008E">
        <w:rPr>
          <w:rFonts w:ascii="Arial" w:hAnsi="Arial" w:cs="Arial"/>
          <w:color w:val="000000"/>
          <w:sz w:val="22"/>
          <w:szCs w:val="22"/>
          <w:vertAlign w:val="superscript"/>
          <w:lang w:val="sr-Cyrl-RS"/>
        </w:rPr>
        <w:t>383</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Резолуција Европског парламента од 21. јануара 2021. године о премошћивању дигиталног јаза између полова: учешће жена у дигиталној економији (2019/2168(INI)) наглашава да дигитална транзиција не би смела да запостави никога.</w:t>
      </w:r>
      <w:r w:rsidRPr="00EF008E">
        <w:rPr>
          <w:rFonts w:ascii="Arial" w:hAnsi="Arial" w:cs="Arial"/>
          <w:color w:val="000000"/>
          <w:sz w:val="22"/>
          <w:szCs w:val="22"/>
          <w:vertAlign w:val="superscript"/>
          <w:lang w:val="sr-Cyrl-RS"/>
        </w:rPr>
        <w:t>384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Стратегијом развоја дигиталних вештина у Републици Србији за период од 2020. до 2024. године планиране су и активности на афирмацији области ИКТ међу женама и девојчицама, увођењу посебних програма развоја напредних дигиталних вештина за младе жене, жене из руралних подручја и друге рањиве групе, нарочито у срединама у којима је незапосленост или дигитални родни јаз већи, промоција већег укључивања младих, нарочито девојчица и девојака у ИКТ сектор и др.</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5.1.1.6. Економски положај жена на селу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На неповољан економски положај жена на селу, а који се огледа у мањим шансама за одрживо запошљавање, поред мањег власништва над приватним ресурсима попут земље, обрадивог земљишта и непокретности утиче и неадекватан приступ услугама у заједници које би повећале њихове шансе на тржишту рада (услуге неге и бриге и деци, болеснима и старијима), превоз, приступ информацијама о правима и доступним видовима подршке, приступ информационим технологијама, приступ знањима и програмима доживотног учења који би створили шансе за одрживо запошљавање, самозапошљавање, задругарство и социјално предузетништво. Постојећа подршка женама у пољопривреди и у руралном развоју је недовољна и неопходно је да се замени системском подршком која доприноси одрживим променама и побољшањем квалитета свакодневног живота на селу. Све мере које се предлажу за смањење родног јаза у економији у оквиру ове стратегије нарочито треба да укључе и жене из свих старосних група на селу.</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368 Жене са села, жртве насиља, као и групе лица које се због друштвеног порекла, националне припадности, имовног стања, пола, родног идентитета, сексуалне оријентације, старости, психичког и/или физичког инвалидитета, живота у неразвијеном подручју или из другог разлога налазе у неједнаком положају.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369 Према информацији коју је РЗС доставио радној групи </w:t>
      </w:r>
      <w:r>
        <w:rPr>
          <w:rFonts w:ascii="Arial" w:hAnsi="Arial" w:cs="Arial"/>
          <w:i/>
          <w:color w:val="000000"/>
          <w:sz w:val="22"/>
          <w:szCs w:val="22"/>
          <w:lang w:val="sr-Cyrl-RS"/>
        </w:rPr>
        <w:t>"</w:t>
      </w:r>
      <w:r w:rsidRPr="00EF008E">
        <w:rPr>
          <w:rFonts w:ascii="Arial" w:hAnsi="Arial" w:cs="Arial"/>
          <w:i/>
          <w:color w:val="000000"/>
          <w:sz w:val="22"/>
          <w:szCs w:val="22"/>
          <w:lang w:val="sr-Cyrl-RS"/>
        </w:rPr>
        <w:t>уколико се обезбеде финансијска средства РЗС може да понови Сезонско истраживање о коришћењу времена а које је спроведено 2015. године и које се спроводи у четири временске тачке и на мањем узорку.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370 Анкета о коришћењу времена према Еуростат методологији се спроводи на десет година, али РЗС може да спроводи Сезонска истраживања о коришћењу времена а за шта је неопходно планирати средства. (Извор: сугестија РЗС достављена радној групи).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371 Жене и мушкарци у Републици Србији, РЗС, страна 76.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372 Користимо ауторкин композитни удео од 31,7% као процену учешћа жене у бизнису у Србији док се не ураде нова истраживања и статистика не усагласи са Законом о родној равноправности усвојеним маја 2021. године.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373 https://www.pravno-informacioni-sistem.rs/SlGlasnikPortal/eli/rep/sgrs/vlada/strategija/2015/35/1/reg, приступ мај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374 Податак је радној групи доставило Министарство привреде.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375 Женама су одобрена бесповратна средства у износу од 88.007.122,95 РСД (42,8% од укупно опредељених буџетских средстава по овом програму).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376 Родна анализа економских програма и финансијских мера у Србији, НАЛЕД и Агенција UN WOMEN,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377 Више информација доступно на: http://socijalnoukljucivanje.gov.rs/rs/o-nama/inicijativa-za-zaposljavanje-mladih/ приступ мај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378 Више информација доступно на: http://socijalnoukljucivanje.gov.rs/rs/rezultati-programa-program-lokalnih-inicijativa-za-socijalno-ukljucivanje-i-smanjenje-siromastva-podrska-razvoju-inovativnih-modela-za-socijalno-ukljucivanje-lip-2/ приступ мај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379 Циркуларна економија је обновљива индустријска економија која има промењени концепт производње и потрошње према дизајну, употреби ресурса и односу према стварању отпада. У концепту циркуларне економије отпад не постоји, већ само сировина која се опет може поново употребити за исте или друге производне процесе. Такође, обновљиви извори енергије имају приоритет, енергија се користи ефикасно, подстичу се иновативне технологије, зелене јавне набавке, замена опасних хемикалија мање опасним, а промене у навикама потрошача су неминовне. Доступно на: https://www.ekologija.gov.rs/sites/default/files/2021-01/mapa-puta-za-cirkularnu-ekonomiju-u-srbiji.pdf приступ мај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380 Декарбонизација је процес смањења количине угљеника, углавном угљен-диоксида (СО</w:t>
      </w:r>
      <w:r w:rsidRPr="00EF008E">
        <w:rPr>
          <w:rFonts w:ascii="Arial" w:hAnsi="Arial" w:cs="Arial"/>
          <w:i/>
          <w:color w:val="000000"/>
          <w:sz w:val="22"/>
          <w:szCs w:val="22"/>
          <w:vertAlign w:val="subscript"/>
          <w:lang w:val="sr-Cyrl-RS"/>
        </w:rPr>
        <w:t>2</w:t>
      </w:r>
      <w:r w:rsidRPr="00EF008E">
        <w:rPr>
          <w:rFonts w:ascii="Arial" w:hAnsi="Arial" w:cs="Arial"/>
          <w:i/>
          <w:color w:val="000000"/>
          <w:sz w:val="22"/>
          <w:szCs w:val="22"/>
          <w:lang w:val="sr-Cyrl-RS"/>
        </w:rPr>
        <w:t>), који се шаље у атмосферу. Његов циљ је постићи глобалну економију са ниским емисијама како би се енергетском транзицијом постигла климатска неутралност.</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381</w:t>
      </w:r>
      <w:r w:rsidRPr="00EF008E">
        <w:rPr>
          <w:rFonts w:ascii="Arial" w:hAnsi="Arial" w:cs="Arial"/>
          <w:i/>
          <w:color w:val="000000"/>
          <w:sz w:val="22"/>
          <w:szCs w:val="22"/>
          <w:lang w:val="sr-Cyrl-RS"/>
        </w:rPr>
        <w:tab/>
        <w:t>Доступно на: https://www.europarl.europa.eu/legislative-train/theme-a-european-green-deal/file-revised-regulatory-framework-for-competitive-decarbonised-gas-markets приступ мај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382</w:t>
      </w:r>
      <w:r w:rsidRPr="00EF008E">
        <w:rPr>
          <w:rFonts w:ascii="Arial" w:hAnsi="Arial" w:cs="Arial"/>
          <w:i/>
          <w:color w:val="000000"/>
          <w:sz w:val="22"/>
          <w:szCs w:val="22"/>
          <w:lang w:val="sr-Cyrl-RS"/>
        </w:rPr>
        <w:tab/>
        <w:t>доступно на: https://www.klimatskepromene.rs/wp-content/uploads/2020/08/Gender-and-Climate-Change-monitoring-framework-DRAFT-18122019.pdf, приступ: 8.10.2021.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383 Информација достављена радној групи од стране Министарства туризма, трговине и телекомуникација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384 У резолуцији се поздравља посвећеност Комисије повећању учешћа жена у дигиталној економији и информационом друштву која је део Стратегије за родну равноправност за период 2020</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2025. године позива Комисију да у оквиру дигиталне агенде, Европске дигиталне стратегије и свих других политика и иницијатива у области вештина дигитализације и образовања настави да решава проблем великог родног јаза у сектору ИКТ помоћу конкретних мера посебно усмерених на повећање учешћа жена и девојака у том сектору; наглашава да повећање учешћа жена у дигиталном сектору може имати значајан утицај на борбу против родних неједнакости, стереотипа и дискриминације, побољшање приступа жена тржишту рада и њихових радних услова, као и решавање проблема разлике у платама између жена и мушкараца; позива Комисију и државе чланице да осигурају одговарајућа финансијска средства за програме којима је циљ да привуку више девојака и жена да студирају и раде у области науке, технологије, инжењерства и математике, да успоставе предузетничке програме којима се финансирају жене и девојке које покрећу технолошке пројекте или нова предузећа, да развију стратегије усмерене на повећање дигиталне укључености и дигиталне финансијске укључености девојака и жена у областима повезанима са науком, технологијом, инжењерством и математиком, вештачком интелигенцијом и сектором истраживања и иновација и да заузму приступ на више нивоа у решавању родних јазова на свим нивоима образовања и запошљавања у дигиталном сектору; позива Комисију да приликом преговарања о програмима у оквиру следећег вишегодишњег финансијског оквира и о средствима и зајмовима у оквиру Плана опоравка узме у обзир једнаке могућности жена и мушкараца и дигитални јаз међу половима и да повећа свест жена о тим механизмима; наглашава да укључивање начела родне равноправности у главне токове и доношење родно осетљивог буџета са мерљивим показатељима морају бити део политика којима се подстиче развој ИКТ; позива Комисију да обезбеди укључивање начела родне равноправности у Закон о дигиталним услугама и све будуће предлоге који се односе на дигитални домен; позива Комисију и државе чланице да обезбеде пуно спровођење Министарске изјаве о преузимању обавезе о </w:t>
      </w:r>
      <w:r>
        <w:rPr>
          <w:rFonts w:ascii="Arial" w:hAnsi="Arial" w:cs="Arial"/>
          <w:i/>
          <w:color w:val="000000"/>
          <w:sz w:val="22"/>
          <w:szCs w:val="22"/>
          <w:lang w:val="sr-Cyrl-RS"/>
        </w:rPr>
        <w:t>"</w:t>
      </w:r>
      <w:r w:rsidRPr="00EF008E">
        <w:rPr>
          <w:rFonts w:ascii="Arial" w:hAnsi="Arial" w:cs="Arial"/>
          <w:i/>
          <w:color w:val="000000"/>
          <w:sz w:val="22"/>
          <w:szCs w:val="22"/>
          <w:lang w:val="sr-Cyrl-RS"/>
        </w:rPr>
        <w:t>Женама у дигиталној сфери</w:t>
      </w:r>
      <w:r>
        <w:rPr>
          <w:rFonts w:ascii="Arial" w:hAnsi="Arial" w:cs="Arial"/>
          <w:i/>
          <w:color w:val="000000"/>
          <w:sz w:val="22"/>
          <w:szCs w:val="22"/>
          <w:lang w:val="sr-Cyrl-RS"/>
        </w:rPr>
        <w:t>"</w:t>
      </w:r>
      <w:r w:rsidRPr="00EF008E">
        <w:rPr>
          <w:rFonts w:ascii="Arial" w:hAnsi="Arial" w:cs="Arial"/>
          <w:i/>
          <w:color w:val="000000"/>
          <w:sz w:val="22"/>
          <w:szCs w:val="22"/>
          <w:lang w:val="sr-Cyrl-RS"/>
        </w:rPr>
        <w:t>; позива Комисију да прати спровођење међусекторских националних планова држава чланица у погледу жена у дигиталној сфери. Извор: Информација достављена радној групи од стране Министарства туризма, трговине и телекомуникација.</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5.1.2. Знање као чинилац развоја</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5.1.2.1. Образовање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Родно осетљиво образовање је суштински покретач одрживог развоја и кључни услов изградње инклузивног друштва заснованог на људским правима и социјалној правди. Искуство потврђује да остваривање родне равноправности није могуће без увођења родне перспективе у све нивое и све аспекте образовања. Увођење родне перспективе у образовање подразумева повећање родне осетљивости образовних планова и програма, наставног материјала и образовног процеса, као и унапређење родних компетенција наставног особља. Образовање има кључну трансформативну и оснажујућу улогу у промовисању људских права, превазилажењу родних стереотипа и предрасуда, и препознато је као пут ка родној равноправности и оснаживању жена.</w:t>
      </w:r>
      <w:r w:rsidRPr="00EF008E">
        <w:rPr>
          <w:rFonts w:ascii="Arial" w:hAnsi="Arial" w:cs="Arial"/>
          <w:color w:val="000000"/>
          <w:sz w:val="22"/>
          <w:szCs w:val="22"/>
          <w:vertAlign w:val="superscript"/>
          <w:lang w:val="sr-Cyrl-RS"/>
        </w:rPr>
        <w:t>385</w:t>
      </w:r>
      <w:r w:rsidRPr="00EF008E">
        <w:rPr>
          <w:rFonts w:ascii="Arial" w:hAnsi="Arial" w:cs="Arial"/>
          <w:color w:val="000000"/>
          <w:sz w:val="22"/>
          <w:szCs w:val="22"/>
          <w:lang w:val="sr-Cyrl-RS"/>
        </w:rPr>
        <w:t xml:space="preserve"> Kвалитетно инкулузивно образовање, које је предуслов одрживог развоја и унапређења квалитета живота жена и мушкараца, подразумева једнаку доступност образовања и интегрисање родне перспективе у образовне програме, наставне материјале и образовну праксу. На глобалном нивоу обезбеђивање инклузивног, квалитетног и праведног образовања и промовисање целоживотног учења постављено је као један од циљева (циљ 4.) Агенде 2030.</w:t>
      </w:r>
      <w:r w:rsidRPr="00EF008E">
        <w:rPr>
          <w:rFonts w:ascii="Arial" w:hAnsi="Arial" w:cs="Arial"/>
          <w:color w:val="000000"/>
          <w:sz w:val="22"/>
          <w:szCs w:val="22"/>
          <w:vertAlign w:val="superscript"/>
          <w:lang w:val="sr-Cyrl-RS"/>
        </w:rPr>
        <w:t>386</w:t>
      </w:r>
      <w:r w:rsidRPr="00EF008E">
        <w:rPr>
          <w:rFonts w:ascii="Arial" w:hAnsi="Arial" w:cs="Arial"/>
          <w:color w:val="000000"/>
          <w:sz w:val="22"/>
          <w:szCs w:val="22"/>
          <w:lang w:val="sr-Cyrl-RS"/>
        </w:rPr>
        <w:t xml:space="preserve"> У оквиру овог циља, један од потциљева (потциљ 4.3) односи се на једнаку доступност квалитетног техничког, стручног и терцијарног образовања, као и универзитетског образовања за све жене и мушкарце, а други (потциљ 4.5) на елиминисање родне неједнакости у образовању и обезбеђивање једнаког приступа свим нивоима образовања и стручним обукама за рањиве групе, укључујући особе са инвалидитетом, аутохтоно становништво и децу у рањивим ситуацијама. У Стратегији Европа 2020, образовање је препознато као један од стубова </w:t>
      </w:r>
      <w:r>
        <w:rPr>
          <w:rFonts w:ascii="Arial" w:hAnsi="Arial" w:cs="Arial"/>
          <w:color w:val="000000"/>
          <w:sz w:val="22"/>
          <w:szCs w:val="22"/>
          <w:lang w:val="sr-Cyrl-RS"/>
        </w:rPr>
        <w:t>"</w:t>
      </w:r>
      <w:r w:rsidRPr="00EF008E">
        <w:rPr>
          <w:rFonts w:ascii="Arial" w:hAnsi="Arial" w:cs="Arial"/>
          <w:color w:val="000000"/>
          <w:sz w:val="22"/>
          <w:szCs w:val="22"/>
          <w:lang w:val="sr-Cyrl-RS"/>
        </w:rPr>
        <w:t>Паметног раста</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који почива на знању и науци, а акценат стављен je на борбу против дискриминације, која подразумева унапређење родне равноправности, права особа са инвалидитетом и Рома и Ромкиња, као посебно угрожене и маргинализоване групе.</w:t>
      </w:r>
      <w:r w:rsidRPr="00EF008E">
        <w:rPr>
          <w:rFonts w:ascii="Arial" w:hAnsi="Arial" w:cs="Arial"/>
          <w:color w:val="000000"/>
          <w:sz w:val="22"/>
          <w:szCs w:val="22"/>
          <w:vertAlign w:val="superscript"/>
          <w:lang w:val="sr-Cyrl-RS"/>
        </w:rPr>
        <w:t>387</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Република Србија стратешки је опредељена да развија родно инклузивно образовање, у чије је садржаје и образовну праксу уграђена родна перспектива. Кључни стратешки документ била је Национална стратегија за родну равноправност за период од 2016. до 2020. године,</w:t>
      </w:r>
      <w:r w:rsidRPr="00EF008E">
        <w:rPr>
          <w:rFonts w:ascii="Arial" w:hAnsi="Arial" w:cs="Arial"/>
          <w:color w:val="000000"/>
          <w:sz w:val="22"/>
          <w:szCs w:val="22"/>
          <w:vertAlign w:val="superscript"/>
          <w:lang w:val="sr-Cyrl-RS"/>
        </w:rPr>
        <w:t>388</w:t>
      </w:r>
      <w:r w:rsidRPr="00EF008E">
        <w:rPr>
          <w:rFonts w:ascii="Arial" w:hAnsi="Arial" w:cs="Arial"/>
          <w:color w:val="000000"/>
          <w:sz w:val="22"/>
          <w:szCs w:val="22"/>
          <w:lang w:val="sr-Cyrl-RS"/>
        </w:rPr>
        <w:t xml:space="preserve"> којом је родно осетљиво образовање било утврђено као један од посебних циљева у оквиру првог стратешког циља: </w:t>
      </w:r>
      <w:r>
        <w:rPr>
          <w:rFonts w:ascii="Arial" w:hAnsi="Arial" w:cs="Arial"/>
          <w:color w:val="000000"/>
          <w:sz w:val="22"/>
          <w:szCs w:val="22"/>
          <w:lang w:val="sr-Cyrl-RS"/>
        </w:rPr>
        <w:t>"</w:t>
      </w:r>
      <w:r w:rsidRPr="00EF008E">
        <w:rPr>
          <w:rFonts w:ascii="Arial" w:hAnsi="Arial" w:cs="Arial"/>
          <w:color w:val="000000"/>
          <w:sz w:val="22"/>
          <w:szCs w:val="22"/>
          <w:lang w:val="sr-Cyrl-RS"/>
        </w:rPr>
        <w:t>Промењени родни обрасци и унапређена култура родне равноправности</w:t>
      </w:r>
      <w:r>
        <w:rPr>
          <w:rFonts w:ascii="Arial" w:hAnsi="Arial" w:cs="Arial"/>
          <w:color w:val="000000"/>
          <w:sz w:val="22"/>
          <w:szCs w:val="22"/>
          <w:lang w:val="sr-Cyrl-RS"/>
        </w:rPr>
        <w:t>"</w:t>
      </w:r>
      <w:r w:rsidRPr="00EF008E">
        <w:rPr>
          <w:rFonts w:ascii="Arial" w:hAnsi="Arial" w:cs="Arial"/>
          <w:color w:val="000000"/>
          <w:sz w:val="22"/>
          <w:szCs w:val="22"/>
          <w:lang w:val="sr-Cyrl-RS"/>
        </w:rPr>
        <w:t>. У тој стратегији је констатовано да образовни програми и наставни садржаји на свим нивоима формалног образовања нису родно осетљиви, а у циљу уродњавања образовања утврђено је неколико мера, релевантних и за област високог образовања.</w:t>
      </w:r>
      <w:r w:rsidRPr="00EF008E">
        <w:rPr>
          <w:rFonts w:ascii="Arial" w:hAnsi="Arial" w:cs="Arial"/>
          <w:color w:val="000000"/>
          <w:sz w:val="22"/>
          <w:szCs w:val="22"/>
          <w:vertAlign w:val="superscript"/>
          <w:lang w:val="sr-Cyrl-RS"/>
        </w:rPr>
        <w:t>389</w:t>
      </w:r>
      <w:r w:rsidRPr="00EF008E">
        <w:rPr>
          <w:rFonts w:ascii="Arial" w:hAnsi="Arial" w:cs="Arial"/>
          <w:color w:val="000000"/>
          <w:sz w:val="22"/>
          <w:szCs w:val="22"/>
          <w:lang w:val="sr-Cyrl-RS"/>
        </w:rPr>
        <w:t xml:space="preserve"> Поред тога, као посебан стратешки циљ, предметном стратегијом је утврђено и развијање знања и видљивост академских резултата у области студија рода.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Иако се бележи известан напредак на плану уродњавања образовања, оно је, у целини посматрано, још увек недовољно родно сензибилисано, што потврђују и подаци из Стратегије за родну равноправност (2016</w:t>
      </w:r>
      <w:r>
        <w:rPr>
          <w:rFonts w:ascii="Arial" w:hAnsi="Arial" w:cs="Arial"/>
          <w:color w:val="000000"/>
          <w:sz w:val="22"/>
          <w:szCs w:val="22"/>
          <w:lang w:val="sr-Cyrl-RS"/>
        </w:rPr>
        <w:t>-</w:t>
      </w:r>
      <w:r w:rsidRPr="00EF008E">
        <w:rPr>
          <w:rFonts w:ascii="Arial" w:hAnsi="Arial" w:cs="Arial"/>
          <w:color w:val="000000"/>
          <w:sz w:val="22"/>
          <w:szCs w:val="22"/>
          <w:lang w:val="sr-Cyrl-RS"/>
        </w:rPr>
        <w:t>2020) и извештаји независних тела.</w:t>
      </w:r>
      <w:r w:rsidRPr="00EF008E">
        <w:rPr>
          <w:rFonts w:ascii="Arial" w:hAnsi="Arial" w:cs="Arial"/>
          <w:color w:val="000000"/>
          <w:sz w:val="22"/>
          <w:szCs w:val="22"/>
          <w:vertAlign w:val="superscript"/>
          <w:lang w:val="sr-Cyrl-RS"/>
        </w:rPr>
        <w:t>390</w:t>
      </w:r>
      <w:r w:rsidRPr="00EF008E">
        <w:rPr>
          <w:rFonts w:ascii="Arial" w:hAnsi="Arial" w:cs="Arial"/>
          <w:color w:val="000000"/>
          <w:sz w:val="22"/>
          <w:szCs w:val="22"/>
          <w:lang w:val="sr-Cyrl-RS"/>
        </w:rPr>
        <w:t xml:space="preserve"> У тој стратегији, родно осетљиво образовање било је један од посебних циљева (1.2), а низ мера у овој области планиран је у оквиру циља који се односи на побољшање економског положаја и статуса жена на тржишту рада (2.3), укључујући и охрабривање и подржавање образовања девојчица, девојака и жена за занимања у којима се остварује велика додатна вредност, као што су инжењерство и нове технологије. АП за спровођење ове стратегије за 2016</w:t>
      </w:r>
      <w:r>
        <w:rPr>
          <w:rFonts w:ascii="Arial" w:hAnsi="Arial" w:cs="Arial"/>
          <w:color w:val="000000"/>
          <w:sz w:val="22"/>
          <w:szCs w:val="22"/>
          <w:lang w:val="sr-Cyrl-RS"/>
        </w:rPr>
        <w:t>-</w:t>
      </w:r>
      <w:r w:rsidRPr="00EF008E">
        <w:rPr>
          <w:rFonts w:ascii="Arial" w:hAnsi="Arial" w:cs="Arial"/>
          <w:color w:val="000000"/>
          <w:sz w:val="22"/>
          <w:szCs w:val="22"/>
          <w:lang w:val="sr-Cyrl-RS"/>
        </w:rPr>
        <w:t>2018 садржао је низ мера за унапређивање родне осетљивости образовања: унапређивање родних компетенција запослених у образовању и васпитању кроз увођење обавезних образовних програма о родној равноправности, укључивање садржаја о родној равноправности у испит за добијање лиценце за рад у школама/настави, као и иницирањем ревизије наставних садржаја и уџбеника ради елиминисања родних стереотипа, дискриминаторних садржаја и дискриминаторног језика.</w:t>
      </w:r>
      <w:r w:rsidRPr="00EF008E">
        <w:rPr>
          <w:rFonts w:ascii="Arial" w:hAnsi="Arial" w:cs="Arial"/>
          <w:color w:val="000000"/>
          <w:sz w:val="22"/>
          <w:szCs w:val="22"/>
          <w:vertAlign w:val="superscript"/>
          <w:lang w:val="sr-Cyrl-RS"/>
        </w:rPr>
        <w:t>391</w:t>
      </w:r>
      <w:r w:rsidRPr="00EF008E">
        <w:rPr>
          <w:rFonts w:ascii="Arial" w:hAnsi="Arial" w:cs="Arial"/>
          <w:color w:val="000000"/>
          <w:sz w:val="22"/>
          <w:szCs w:val="22"/>
          <w:lang w:val="sr-Cyrl-RS"/>
        </w:rPr>
        <w:t xml:space="preserve"> Према налазима евалуације АП за спровођење Националне стратегије за родну равноправност за период од 2016. до 2018. године,</w:t>
      </w:r>
      <w:r w:rsidRPr="00EF008E">
        <w:rPr>
          <w:rFonts w:ascii="Arial" w:hAnsi="Arial" w:cs="Arial"/>
          <w:color w:val="000000"/>
          <w:sz w:val="22"/>
          <w:szCs w:val="22"/>
          <w:vertAlign w:val="superscript"/>
          <w:lang w:val="sr-Cyrl-RS"/>
        </w:rPr>
        <w:t>392</w:t>
      </w:r>
      <w:r w:rsidRPr="00EF008E">
        <w:rPr>
          <w:rFonts w:ascii="Arial" w:hAnsi="Arial" w:cs="Arial"/>
          <w:color w:val="000000"/>
          <w:sz w:val="22"/>
          <w:szCs w:val="22"/>
          <w:lang w:val="sr-Cyrl-RS"/>
        </w:rPr>
        <w:t xml:space="preserve"> очекивани резултати нису остварени, а интервенције у области образовања спадају у области ниске делотворности,</w:t>
      </w:r>
      <w:r w:rsidRPr="00EF008E">
        <w:rPr>
          <w:rFonts w:ascii="Arial" w:hAnsi="Arial" w:cs="Arial"/>
          <w:color w:val="000000"/>
          <w:sz w:val="22"/>
          <w:szCs w:val="22"/>
          <w:vertAlign w:val="superscript"/>
          <w:lang w:val="sr-Cyrl-RS"/>
        </w:rPr>
        <w:t>393</w:t>
      </w:r>
      <w:r w:rsidRPr="00EF008E">
        <w:rPr>
          <w:rFonts w:ascii="Arial" w:hAnsi="Arial" w:cs="Arial"/>
          <w:color w:val="000000"/>
          <w:sz w:val="22"/>
          <w:szCs w:val="22"/>
          <w:lang w:val="sr-Cyrl-RS"/>
        </w:rPr>
        <w:t xml:space="preserve"> што је последица одсуства експлицитне и свеобухватне теорије промене у овој области. Због тога, у остваривању родне равноправности у образовању треба применити приступ увођења родне перспективе у секторске политике</w:t>
      </w:r>
      <w:r w:rsidRPr="00EF008E">
        <w:rPr>
          <w:rFonts w:ascii="Arial" w:hAnsi="Arial" w:cs="Arial"/>
          <w:color w:val="000000"/>
          <w:sz w:val="22"/>
          <w:szCs w:val="22"/>
          <w:vertAlign w:val="superscript"/>
          <w:lang w:val="sr-Cyrl-RS"/>
        </w:rPr>
        <w:t>394</w:t>
      </w:r>
      <w:r w:rsidRPr="00EF008E">
        <w:rPr>
          <w:rFonts w:ascii="Arial" w:hAnsi="Arial" w:cs="Arial"/>
          <w:color w:val="000000"/>
          <w:sz w:val="22"/>
          <w:szCs w:val="22"/>
          <w:lang w:val="sr-Cyrl-RS"/>
        </w:rPr>
        <w:t xml:space="preserve"> и укључити циљеве и мере који се односе на родну сегрегацију у образовању.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Стратегију развоја образовања у Републици Србији до 2020. године</w:t>
      </w:r>
      <w:r w:rsidRPr="00EF008E">
        <w:rPr>
          <w:rFonts w:ascii="Arial" w:hAnsi="Arial" w:cs="Arial"/>
          <w:color w:val="000000"/>
          <w:sz w:val="22"/>
          <w:szCs w:val="22"/>
          <w:vertAlign w:val="superscript"/>
          <w:lang w:val="sr-Cyrl-RS"/>
        </w:rPr>
        <w:t>395</w:t>
      </w:r>
      <w:r w:rsidRPr="00EF008E">
        <w:rPr>
          <w:rFonts w:ascii="Arial" w:hAnsi="Arial" w:cs="Arial"/>
          <w:color w:val="000000"/>
          <w:sz w:val="22"/>
          <w:szCs w:val="22"/>
          <w:lang w:val="sr-Cyrl-RS"/>
        </w:rPr>
        <w:t xml:space="preserve"> којом су дефинисани циљеви, правци и приоритети развоја свих нивоа образовања, укључујући и високошколско образовање, нису укључене родне неједнакости у образовању, нити је уродњавање постављено као стратешки приоритет. Закони у области образовања и науке углавном су родно неутрални, иако има закона у које се постепено интегрише родна перспектива. Анализа ових закона показује да у већини закона постоје одредбе о забрани дискриминације и употреби родно осетљиве терминологије, али је евидентан изостанак посебних мера намењених женама и девојчицама, како у вези са школовањем на различитим нивоима образовања, тако и у вези са радом у установама образовања.</w:t>
      </w:r>
      <w:r w:rsidRPr="00EF008E">
        <w:rPr>
          <w:rFonts w:ascii="Arial" w:hAnsi="Arial" w:cs="Arial"/>
          <w:color w:val="000000"/>
          <w:sz w:val="22"/>
          <w:szCs w:val="22"/>
          <w:vertAlign w:val="superscript"/>
          <w:lang w:val="sr-Cyrl-RS"/>
        </w:rPr>
        <w:t>396</w:t>
      </w:r>
      <w:r w:rsidRPr="00EF008E">
        <w:rPr>
          <w:rFonts w:ascii="Arial" w:hAnsi="Arial" w:cs="Arial"/>
          <w:color w:val="000000"/>
          <w:sz w:val="22"/>
          <w:szCs w:val="22"/>
          <w:lang w:val="sr-Cyrl-RS"/>
        </w:rPr>
        <w:t xml:space="preserve"> На пример, Законом о високом образовању</w:t>
      </w:r>
      <w:r w:rsidRPr="00EF008E">
        <w:rPr>
          <w:rFonts w:ascii="Arial" w:hAnsi="Arial" w:cs="Arial"/>
          <w:color w:val="000000"/>
          <w:sz w:val="22"/>
          <w:szCs w:val="22"/>
          <w:vertAlign w:val="superscript"/>
          <w:lang w:val="sr-Cyrl-RS"/>
        </w:rPr>
        <w:t>397</w:t>
      </w:r>
      <w:r w:rsidRPr="00EF008E">
        <w:rPr>
          <w:rFonts w:ascii="Arial" w:hAnsi="Arial" w:cs="Arial"/>
          <w:color w:val="000000"/>
          <w:sz w:val="22"/>
          <w:szCs w:val="22"/>
          <w:lang w:val="sr-Cyrl-RS"/>
        </w:rPr>
        <w:t xml:space="preserve"> прописано је да се мора водити рачуна о заступљености жена и мушкараца приликом именовања чланова Управног одбора, Комисије за акредитацију, Националног акредитационог тела, као и код именовања представника оснивача за савете високошколских установа чији је оснивач Република Србија.</w:t>
      </w:r>
      <w:r w:rsidRPr="00EF008E">
        <w:rPr>
          <w:rFonts w:ascii="Arial" w:hAnsi="Arial" w:cs="Arial"/>
          <w:color w:val="000000"/>
          <w:sz w:val="22"/>
          <w:szCs w:val="22"/>
          <w:vertAlign w:val="superscript"/>
          <w:lang w:val="sr-Cyrl-RS"/>
        </w:rPr>
        <w:t>398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Закључним запажањима CEDAW комитета у вези са Четвртим периодичним извештајем о примени CEDAW кoнвенције,</w:t>
      </w:r>
      <w:r w:rsidRPr="00EF008E">
        <w:rPr>
          <w:rFonts w:ascii="Arial" w:hAnsi="Arial" w:cs="Arial"/>
          <w:color w:val="000000"/>
          <w:sz w:val="22"/>
          <w:szCs w:val="22"/>
          <w:vertAlign w:val="superscript"/>
          <w:lang w:val="sr-Cyrl-RS"/>
        </w:rPr>
        <w:t>399</w:t>
      </w:r>
      <w:r w:rsidRPr="00EF008E">
        <w:rPr>
          <w:rFonts w:ascii="Arial" w:hAnsi="Arial" w:cs="Arial"/>
          <w:color w:val="000000"/>
          <w:sz w:val="22"/>
          <w:szCs w:val="22"/>
          <w:lang w:val="sr-Cyrl-RS"/>
        </w:rPr>
        <w:t xml:space="preserve"> Комитет је похвалио напредак који је Србија постигла у сектору образовања, посебно повећањем стипендија за девојчице и признавањем потребе да се спречи напуштање школовања, али и забринутост због утицаја све доминантније политичке агенде против родне равноправности, која се преводи у стереотипне садржаје наставног материјала, широко распрострањене дискриминаторне родне стереотипе, родну сегрегацију у образовању, напуштање школа Ромкиња и пре завршетка основне школе и њиховог одсуства у образовном систему након навршене 18. године живота, мање укључености девојчица са инвалидитетом у инклузивно образовање у односу на дечаке, родно засновано насиље у образовним установама и прекид спровођења едукативног програма о сексуалности и сексуалном насиљу.</w:t>
      </w:r>
      <w:r w:rsidRPr="00EF008E">
        <w:rPr>
          <w:rFonts w:ascii="Arial" w:hAnsi="Arial" w:cs="Arial"/>
          <w:color w:val="000000"/>
          <w:sz w:val="22"/>
          <w:szCs w:val="22"/>
          <w:vertAlign w:val="superscript"/>
          <w:lang w:val="sr-Cyrl-RS"/>
        </w:rPr>
        <w:t>400</w:t>
      </w:r>
      <w:r w:rsidRPr="00EF008E">
        <w:rPr>
          <w:rFonts w:ascii="Arial" w:hAnsi="Arial" w:cs="Arial"/>
          <w:color w:val="000000"/>
          <w:sz w:val="22"/>
          <w:szCs w:val="22"/>
          <w:lang w:val="sr-Cyrl-RS"/>
        </w:rPr>
        <w:t xml:space="preserve"> Републици Србији је упућен низ препорука: развијање садржаја о родној дискриминацији и родној равноправности и увођење родно осетљивих садржаја у наставне планове и програме и уџбенике на свим нивоима образовања, прилагођене узрасту; интегрисање образовања о сексуалном и репродуктивном здрављу и правима у складу са узрастом, укључујући питања сексуално одговорног понашања; смањење родне сегрегације на свим нивоима образовања и охрабривање девојчица и дечака за нетрадиционална женска/мушка занимања; јачање механизама за задржавање Ромкиња у образовном систему; јачање напора на промовисању и осигуравању инклузивног школског и предшколског образовања у редовним одељењима за ромску децу, посебно девојчице и девојчице са инвалидитетом, прилагођавање школске инфраструктуре и места за спорт и слободно време за девојчице са инвалидитетом и усвајање и примену Националног оквира за праћење инклузивног образовања и индикатора квалитета образовања.</w:t>
      </w:r>
      <w:r w:rsidRPr="00EF008E">
        <w:rPr>
          <w:rFonts w:ascii="Arial" w:hAnsi="Arial" w:cs="Arial"/>
          <w:color w:val="000000"/>
          <w:sz w:val="22"/>
          <w:szCs w:val="22"/>
          <w:vertAlign w:val="superscript"/>
          <w:lang w:val="sr-Cyrl-RS"/>
        </w:rPr>
        <w:t>401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Стратегија развоја образовања и васпитања у Републици Србији до 2030. године</w:t>
      </w:r>
      <w:r w:rsidRPr="00EF008E">
        <w:rPr>
          <w:rFonts w:ascii="Arial" w:hAnsi="Arial" w:cs="Arial"/>
          <w:color w:val="000000"/>
          <w:sz w:val="22"/>
          <w:szCs w:val="22"/>
          <w:vertAlign w:val="superscript"/>
          <w:lang w:val="sr-Cyrl-RS"/>
        </w:rPr>
        <w:t>402</w:t>
      </w:r>
      <w:r w:rsidRPr="00EF008E">
        <w:rPr>
          <w:rFonts w:ascii="Arial" w:hAnsi="Arial" w:cs="Arial"/>
          <w:color w:val="000000"/>
          <w:sz w:val="22"/>
          <w:szCs w:val="22"/>
          <w:lang w:val="sr-Cyrl-RS"/>
        </w:rPr>
        <w:t xml:space="preserve"> предвиђа, између осталог, да нови програми буду осетљиви на питања родне равноправности и специфичности различитих друштвених група, укључујући оне које нису заступљене у довољној мери, као и да се овај приступ примени у уџбеницима и унапређивању капацитета запослених у образовању. Предвиђа се и успостављање Оквира за праћење и вредновање квалитета високошколских установа, чији део су и индикатори који се односе на антидискриминацију, родну равноправност и осетљиве групе. АП за спровођење ове стратегије (2021</w:t>
      </w:r>
      <w:r>
        <w:rPr>
          <w:rFonts w:ascii="Arial" w:hAnsi="Arial" w:cs="Arial"/>
          <w:color w:val="000000"/>
          <w:sz w:val="22"/>
          <w:szCs w:val="22"/>
          <w:lang w:val="sr-Cyrl-RS"/>
        </w:rPr>
        <w:t>-</w:t>
      </w:r>
      <w:r w:rsidRPr="00EF008E">
        <w:rPr>
          <w:rFonts w:ascii="Arial" w:hAnsi="Arial" w:cs="Arial"/>
          <w:color w:val="000000"/>
          <w:sz w:val="22"/>
          <w:szCs w:val="22"/>
          <w:lang w:val="sr-Cyrl-RS"/>
        </w:rPr>
        <w:t>2023) не садржи специфичне мере за остваривање циљева везаних за увођење родне перспективе у наставне програме и материјале, осим преиспитивања статуса предмета Грађанско васпитање у образовно-васпитном систему и редефинисање начина стручног оспособљавања наставника грађанског васпитања, што је релевантно, имајући у виду да се у оквиру овог предмета изучава родна равноправност. Стратегијом развоја дигиталних вештина у Републици Србији за период од 2020. до 2024. године</w:t>
      </w:r>
      <w:r w:rsidRPr="00EF008E">
        <w:rPr>
          <w:rFonts w:ascii="Arial" w:hAnsi="Arial" w:cs="Arial"/>
          <w:color w:val="000000"/>
          <w:sz w:val="22"/>
          <w:szCs w:val="22"/>
          <w:vertAlign w:val="superscript"/>
          <w:lang w:val="sr-Cyrl-RS"/>
        </w:rPr>
        <w:t>403</w:t>
      </w:r>
      <w:r w:rsidRPr="00EF008E">
        <w:rPr>
          <w:rFonts w:ascii="Arial" w:hAnsi="Arial" w:cs="Arial"/>
          <w:color w:val="000000"/>
          <w:sz w:val="22"/>
          <w:szCs w:val="22"/>
          <w:lang w:val="sr-Cyrl-RS"/>
        </w:rPr>
        <w:t xml:space="preserve"> планиране су и активности на афирмацији области ИКТ међу женама и девојчицама, увођењу посебних програма развоја напредних дигиталних вештина за младе жене, жене из руралних подручја и друге рањиве групе, нарочито у срединама у којима је незапосленост или дигитални родни јаз већи, промоција већег укључивања младих, нарочито девојчица и девојака у ИКТ сектор и др.</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Закон о родној равноправности по први пут утврђује конкретне обавезе органа јавне власти и других субјеката који обављају послове у области образовања и васпитања на плану интегрисања родне равноправности у све аспекте образовног процеса, што подразумева искључивање родно стереотипних, сексистичких садржаја и укључивање у програме и уџбенике садржаја везаних за родну равноправност, који афирмишу равноправност и повећају видљивост осетљивих друштвених група, употребу родно осетљивог језика, интегрисање родне перспективе у програме образовања наставног кадра, процењивање садржаја уџбеника и другог наставног материјала са аспекта њиховог утицаја на промоцију родне равноправност и др.</w:t>
      </w:r>
      <w:r w:rsidRPr="00EF008E">
        <w:rPr>
          <w:rFonts w:ascii="Arial" w:hAnsi="Arial" w:cs="Arial"/>
          <w:color w:val="000000"/>
          <w:sz w:val="22"/>
          <w:szCs w:val="22"/>
          <w:vertAlign w:val="superscript"/>
          <w:lang w:val="sr-Cyrl-RS"/>
        </w:rPr>
        <w:t>404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Иако су видљиви позитивни помаци у домену интегрисања родне перспективе у образовање, још увек постоје родни диспаритети и хоризонтална родна сегрегација у приступу образовању, посебно међу рањивим групама. Образовни програми и наставни материјали су недовољно родно осетљиви и засновани су на традиционалној родној матрици. Постоје значајни родни дисбаланси у погледу положаја жена и мушкараца запослених у образовним установама и њиховог учешћа у управљачким структурама.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Приступ свим нивоима образовања у Републици Србији заснован је на принципу једнакости, али постоје значајне разлике и родни диспаритети у погледу образовања деце и младих из појединих маргинализованих и депривираних група. Ради унапређења таквог стања, изменама више закона у области образовања</w:t>
      </w:r>
      <w:r w:rsidRPr="00EF008E">
        <w:rPr>
          <w:rFonts w:ascii="Arial" w:hAnsi="Arial" w:cs="Arial"/>
          <w:color w:val="000000"/>
          <w:sz w:val="22"/>
          <w:szCs w:val="22"/>
          <w:vertAlign w:val="superscript"/>
          <w:lang w:val="sr-Cyrl-RS"/>
        </w:rPr>
        <w:t>405</w:t>
      </w:r>
      <w:r w:rsidRPr="00EF008E">
        <w:rPr>
          <w:rFonts w:ascii="Arial" w:hAnsi="Arial" w:cs="Arial"/>
          <w:color w:val="000000"/>
          <w:sz w:val="22"/>
          <w:szCs w:val="22"/>
          <w:lang w:val="sr-Cyrl-RS"/>
        </w:rPr>
        <w:t xml:space="preserve"> створени су предуслови за побољшање приступа образовању и наставка школовања за жене и девојчице из осетљивих група кроз унапређену процедуру</w:t>
      </w:r>
      <w:r w:rsidRPr="00EF008E">
        <w:rPr>
          <w:rFonts w:ascii="Arial" w:hAnsi="Arial" w:cs="Arial"/>
          <w:color w:val="000000"/>
          <w:sz w:val="22"/>
          <w:szCs w:val="22"/>
          <w:vertAlign w:val="superscript"/>
          <w:lang w:val="sr-Cyrl-RS"/>
        </w:rPr>
        <w:t>406</w:t>
      </w:r>
      <w:r w:rsidRPr="00EF008E">
        <w:rPr>
          <w:rFonts w:ascii="Arial" w:hAnsi="Arial" w:cs="Arial"/>
          <w:color w:val="000000"/>
          <w:sz w:val="22"/>
          <w:szCs w:val="22"/>
          <w:lang w:val="sr-Cyrl-RS"/>
        </w:rPr>
        <w:t xml:space="preserve"> и примену посебних мера</w:t>
      </w:r>
      <w:r w:rsidRPr="00EF008E">
        <w:rPr>
          <w:rFonts w:ascii="Arial" w:hAnsi="Arial" w:cs="Arial"/>
          <w:color w:val="000000"/>
          <w:sz w:val="22"/>
          <w:szCs w:val="22"/>
          <w:vertAlign w:val="superscript"/>
          <w:lang w:val="sr-Cyrl-RS"/>
        </w:rPr>
        <w:t>407</w:t>
      </w:r>
      <w:r w:rsidRPr="00EF008E">
        <w:rPr>
          <w:rFonts w:ascii="Arial" w:hAnsi="Arial" w:cs="Arial"/>
          <w:color w:val="000000"/>
          <w:sz w:val="22"/>
          <w:szCs w:val="22"/>
          <w:lang w:val="sr-Cyrl-RS"/>
        </w:rPr>
        <w:t xml:space="preserve"> у образовању које укључују: олакшане процедуре за упис у основну школу и повећање обухвата Ромкиња и Рома основним образовањем, афирмативне мере за упис у средње школе и повећање обухвата средњим образовањем, индивидуални образовни план, педагошке асистенте, обуке за наставнике, стипендије, кредите, смештај и исхрану (10% капацитета за девојчице и дечаке, девојке и младиће из осетљивих група); афирмативне мере за упис Рома и Ромкиња на високошколске установе.</w:t>
      </w:r>
      <w:r w:rsidRPr="00EF008E">
        <w:rPr>
          <w:rFonts w:ascii="Arial" w:hAnsi="Arial" w:cs="Arial"/>
          <w:color w:val="000000"/>
          <w:sz w:val="22"/>
          <w:szCs w:val="22"/>
          <w:vertAlign w:val="superscript"/>
          <w:lang w:val="sr-Cyrl-RS"/>
        </w:rPr>
        <w:t>408</w:t>
      </w:r>
      <w:r w:rsidRPr="00EF008E">
        <w:rPr>
          <w:rFonts w:ascii="Arial" w:hAnsi="Arial" w:cs="Arial"/>
          <w:color w:val="000000"/>
          <w:sz w:val="22"/>
          <w:szCs w:val="22"/>
          <w:lang w:val="sr-Cyrl-RS"/>
        </w:rPr>
        <w:t xml:space="preserve"> Према подацима из Националног прегледа о оствареном напретку у спровођењу Пекиншке декларације и Платформе за акцију +25</w:t>
      </w:r>
      <w:r w:rsidRPr="00EF008E">
        <w:rPr>
          <w:rFonts w:ascii="Arial" w:hAnsi="Arial" w:cs="Arial"/>
          <w:color w:val="000000"/>
          <w:sz w:val="22"/>
          <w:szCs w:val="22"/>
          <w:vertAlign w:val="superscript"/>
          <w:lang w:val="sr-Cyrl-RS"/>
        </w:rPr>
        <w:t>409</w:t>
      </w:r>
      <w:r w:rsidRPr="00EF008E">
        <w:rPr>
          <w:rFonts w:ascii="Arial" w:hAnsi="Arial" w:cs="Arial"/>
          <w:color w:val="000000"/>
          <w:sz w:val="22"/>
          <w:szCs w:val="22"/>
          <w:lang w:val="sr-Cyrl-RS"/>
        </w:rPr>
        <w:t xml:space="preserve"> евидентни су резултати у погледу повећања приступа девојчица образовању и њиховог задржавања у систему образовања, чему је допринело додељивање стипендија из буџета за средњошколце/ке ромске националности, које прима 930 деце, од чега је 65% девојчица. Обезбеђена је менторска подршка средњошколцима који примају стипендије, а ангажовано је и 225 ромских педагошких асистената у предшколским установама и основним школaма, а учешће жена износи 53%.</w:t>
      </w:r>
      <w:r w:rsidRPr="00EF008E">
        <w:rPr>
          <w:rFonts w:ascii="Arial" w:hAnsi="Arial" w:cs="Arial"/>
          <w:color w:val="000000"/>
          <w:sz w:val="22"/>
          <w:szCs w:val="22"/>
          <w:vertAlign w:val="superscript"/>
          <w:lang w:val="sr-Cyrl-RS"/>
        </w:rPr>
        <w:t>410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Упркос предузетим мерама, стање и даље није потпуно задовољавајуће. У погледу уписа у предшколске установе и основне школе не постоје разлике у стопи уписа девојчица и дечака, али су разлике евидентне у погледу уписа деце ромске националности и деце са инвалидитетом, деце из руралних подручја и из материјално депривираних породица. Упркос значајном повећању капацитета предшколских установа и повећаног броја објеката, према подацима РЗС у 2019/20. години 6.902 деце је остало неуписано у предшколске установе због попуњености капацитета. У контексту праведности и даље су приметне две негативне појаве: разлике између ЈЛС у погледу обухвата деце уопште и обухвата деце из ромских насеља, која су у најмањој мери укључена у предшколско образовање.</w:t>
      </w:r>
      <w:r w:rsidRPr="00EF008E">
        <w:rPr>
          <w:rFonts w:ascii="Arial" w:hAnsi="Arial" w:cs="Arial"/>
          <w:color w:val="000000"/>
          <w:sz w:val="22"/>
          <w:szCs w:val="22"/>
          <w:vertAlign w:val="superscript"/>
          <w:lang w:val="sr-Cyrl-RS"/>
        </w:rPr>
        <w:t>411</w:t>
      </w:r>
      <w:r w:rsidRPr="00EF008E">
        <w:rPr>
          <w:rFonts w:ascii="Arial" w:hAnsi="Arial" w:cs="Arial"/>
          <w:color w:val="000000"/>
          <w:sz w:val="22"/>
          <w:szCs w:val="22"/>
          <w:lang w:val="sr-Cyrl-RS"/>
        </w:rPr>
        <w:t xml:space="preserve"> У општој популацији 58,3% дечака и 63% девојчица обухваћено је образовањем у раном детињству, док је у ромским заједницама само 6,8% дечака и 8% девојчица обухваћено овим програмима. Скоро сва деца из опште популације похађају припремни предшколски програм, али родне разлике постоје код деце из ромских насеља, међу којима је 78,4% дечака и 70,2% девојчица обухваћено овим програмом. Скоро сва деца из опште популације похађају основно образовање (99,5% дечака и девојчица), али је стопа завршавања првог циклуса основног образовања нижа међу децом која живе у ромским насељима (88,9%), док је стопа завршавања другог циклуса основног образовања ове деце још нижа (63,7%). На нивоу средње школе стопа благо пада у општој популацији у односу на основно образовање (97,7%), при чему је стопа обухвата у 2019. години за младиће била 85,9%, а за девојке 88,9%.</w:t>
      </w:r>
      <w:r w:rsidRPr="00EF008E">
        <w:rPr>
          <w:rFonts w:ascii="Arial" w:hAnsi="Arial" w:cs="Arial"/>
          <w:color w:val="000000"/>
          <w:sz w:val="22"/>
          <w:szCs w:val="22"/>
          <w:vertAlign w:val="superscript"/>
          <w:lang w:val="sr-Cyrl-RS"/>
        </w:rPr>
        <w:t>412</w:t>
      </w:r>
      <w:r w:rsidRPr="00EF008E">
        <w:rPr>
          <w:rFonts w:ascii="Arial" w:hAnsi="Arial" w:cs="Arial"/>
          <w:color w:val="000000"/>
          <w:sz w:val="22"/>
          <w:szCs w:val="22"/>
          <w:lang w:val="sr-Cyrl-RS"/>
        </w:rPr>
        <w:t xml:space="preserve"> Стопа уписа у средње школе опада и у популацији деце из ромских насеља (61%), а најнижа је код девојчица из ромских насеља (49,5%).</w:t>
      </w:r>
      <w:r w:rsidRPr="00EF008E">
        <w:rPr>
          <w:rFonts w:ascii="Arial" w:hAnsi="Arial" w:cs="Arial"/>
          <w:color w:val="000000"/>
          <w:sz w:val="22"/>
          <w:szCs w:val="22"/>
          <w:vertAlign w:val="superscript"/>
          <w:lang w:val="sr-Cyrl-RS"/>
        </w:rPr>
        <w:t>413</w:t>
      </w:r>
      <w:r w:rsidRPr="00EF008E">
        <w:rPr>
          <w:rFonts w:ascii="Arial" w:hAnsi="Arial" w:cs="Arial"/>
          <w:color w:val="000000"/>
          <w:sz w:val="22"/>
          <w:szCs w:val="22"/>
          <w:lang w:val="sr-Cyrl-RS"/>
        </w:rPr>
        <w:t xml:space="preserve"> На то превасходно утичу специфичне препреке у образовању које погађају искључиво девојчице ромске националности, које су повезане са родном улогом жена и традиционалним родним обрасцима у ромској заједници.</w:t>
      </w:r>
      <w:r w:rsidRPr="00EF008E">
        <w:rPr>
          <w:rFonts w:ascii="Arial" w:hAnsi="Arial" w:cs="Arial"/>
          <w:color w:val="000000"/>
          <w:sz w:val="22"/>
          <w:szCs w:val="22"/>
          <w:vertAlign w:val="superscript"/>
          <w:lang w:val="sr-Cyrl-RS"/>
        </w:rPr>
        <w:t>414</w:t>
      </w:r>
      <w:r w:rsidRPr="00EF008E">
        <w:rPr>
          <w:rFonts w:ascii="Arial" w:hAnsi="Arial" w:cs="Arial"/>
          <w:color w:val="000000"/>
          <w:sz w:val="22"/>
          <w:szCs w:val="22"/>
          <w:lang w:val="sr-Cyrl-RS"/>
        </w:rPr>
        <w:t xml:space="preserve"> Девојчице су у већини међу младима који завршавају четворогодишње средње стручне школе (53% девојчица и 47% дечака).</w:t>
      </w:r>
      <w:r w:rsidRPr="00EF008E">
        <w:rPr>
          <w:rFonts w:ascii="Arial" w:hAnsi="Arial" w:cs="Arial"/>
          <w:color w:val="000000"/>
          <w:sz w:val="22"/>
          <w:szCs w:val="22"/>
          <w:vertAlign w:val="superscript"/>
          <w:lang w:val="sr-Cyrl-RS"/>
        </w:rPr>
        <w:t>415</w:t>
      </w:r>
      <w:r w:rsidRPr="00EF008E">
        <w:rPr>
          <w:rFonts w:ascii="Arial" w:hAnsi="Arial" w:cs="Arial"/>
          <w:color w:val="000000"/>
          <w:sz w:val="22"/>
          <w:szCs w:val="22"/>
          <w:lang w:val="sr-Cyrl-RS"/>
        </w:rPr>
        <w:t xml:space="preserve"> Трогодишње средње стручне школе завршава скоро два и по пута више дечака него девојчица.</w:t>
      </w:r>
      <w:r w:rsidRPr="00EF008E">
        <w:rPr>
          <w:rFonts w:ascii="Arial" w:hAnsi="Arial" w:cs="Arial"/>
          <w:color w:val="000000"/>
          <w:sz w:val="22"/>
          <w:szCs w:val="22"/>
          <w:vertAlign w:val="superscript"/>
          <w:lang w:val="sr-Cyrl-RS"/>
        </w:rPr>
        <w:t>416</w:t>
      </w:r>
      <w:r w:rsidRPr="00EF008E">
        <w:rPr>
          <w:rFonts w:ascii="Arial" w:hAnsi="Arial" w:cs="Arial"/>
          <w:color w:val="000000"/>
          <w:sz w:val="22"/>
          <w:szCs w:val="22"/>
          <w:lang w:val="sr-Cyrl-RS"/>
        </w:rPr>
        <w:t xml:space="preserve"> Неједнакости су евидентне и у погледу образовања деце са сметњама у развоју и инвалидитетом. Од укупног броја особа са инвалидитетом у Републици Србији, 12,2% није похађало основно образовање, што чини 41,9% укупног становништва Републике Србије које никада није ишло у основну школу. Свака осма особа са инвалидитетом старости 15 и више година никада није ишла у основну школу, док међу општом популацијом овај проценат износи 2,7%.</w:t>
      </w:r>
      <w:r w:rsidRPr="00EF008E">
        <w:rPr>
          <w:rFonts w:ascii="Arial" w:hAnsi="Arial" w:cs="Arial"/>
          <w:color w:val="000000"/>
          <w:sz w:val="22"/>
          <w:szCs w:val="22"/>
          <w:vertAlign w:val="superscript"/>
          <w:lang w:val="sr-Cyrl-RS"/>
        </w:rPr>
        <w:t>417</w:t>
      </w:r>
      <w:r w:rsidRPr="00EF008E">
        <w:rPr>
          <w:rFonts w:ascii="Arial" w:hAnsi="Arial" w:cs="Arial"/>
          <w:color w:val="000000"/>
          <w:sz w:val="22"/>
          <w:szCs w:val="22"/>
          <w:lang w:val="sr-Cyrl-RS"/>
        </w:rPr>
        <w:t xml:space="preserve"> Међутим, најмлађој старосној категорији лица која никада нису похађала основну школу (15</w:t>
      </w:r>
      <w:r>
        <w:rPr>
          <w:rFonts w:ascii="Arial" w:hAnsi="Arial" w:cs="Arial"/>
          <w:color w:val="000000"/>
          <w:sz w:val="22"/>
          <w:szCs w:val="22"/>
          <w:lang w:val="sr-Cyrl-RS"/>
        </w:rPr>
        <w:t>-</w:t>
      </w:r>
      <w:r w:rsidRPr="00EF008E">
        <w:rPr>
          <w:rFonts w:ascii="Arial" w:hAnsi="Arial" w:cs="Arial"/>
          <w:color w:val="000000"/>
          <w:sz w:val="22"/>
          <w:szCs w:val="22"/>
          <w:lang w:val="sr-Cyrl-RS"/>
        </w:rPr>
        <w:t>18 година) припада 1,6% особа са инвалидитетом, 13</w:t>
      </w:r>
      <w:r>
        <w:rPr>
          <w:rFonts w:ascii="Arial" w:hAnsi="Arial" w:cs="Arial"/>
          <w:color w:val="000000"/>
          <w:sz w:val="22"/>
          <w:szCs w:val="22"/>
          <w:lang w:val="sr-Cyrl-RS"/>
        </w:rPr>
        <w:t>-</w:t>
      </w:r>
      <w:r w:rsidRPr="00EF008E">
        <w:rPr>
          <w:rFonts w:ascii="Arial" w:hAnsi="Arial" w:cs="Arial"/>
          <w:color w:val="000000"/>
          <w:sz w:val="22"/>
          <w:szCs w:val="22"/>
          <w:lang w:val="sr-Cyrl-RS"/>
        </w:rPr>
        <w:t>15% деце из једне генерације не заврши основну школу, а 25,3% младих у узрасту 18</w:t>
      </w:r>
      <w:r>
        <w:rPr>
          <w:rFonts w:ascii="Arial" w:hAnsi="Arial" w:cs="Arial"/>
          <w:color w:val="000000"/>
          <w:sz w:val="22"/>
          <w:szCs w:val="22"/>
          <w:lang w:val="sr-Cyrl-RS"/>
        </w:rPr>
        <w:t>-</w:t>
      </w:r>
      <w:r w:rsidRPr="00EF008E">
        <w:rPr>
          <w:rFonts w:ascii="Arial" w:hAnsi="Arial" w:cs="Arial"/>
          <w:color w:val="000000"/>
          <w:sz w:val="22"/>
          <w:szCs w:val="22"/>
          <w:lang w:val="sr-Cyrl-RS"/>
        </w:rPr>
        <w:t>24 година нема завршену средњу школу. Постоје значајне родне разлике: међу мушкарцима са инвалидитетом без стручне спреме је 18,6%, док је жена 81,4% од укупног броја особа са инвалидитетом које нису похађале основну школу.</w:t>
      </w:r>
      <w:r w:rsidRPr="00EF008E">
        <w:rPr>
          <w:rFonts w:ascii="Arial" w:hAnsi="Arial" w:cs="Arial"/>
          <w:color w:val="000000"/>
          <w:sz w:val="22"/>
          <w:szCs w:val="22"/>
          <w:vertAlign w:val="superscript"/>
          <w:lang w:val="sr-Cyrl-RS"/>
        </w:rPr>
        <w:t>418</w:t>
      </w:r>
      <w:r w:rsidRPr="00EF008E">
        <w:rPr>
          <w:rFonts w:ascii="Arial" w:hAnsi="Arial" w:cs="Arial"/>
          <w:color w:val="000000"/>
          <w:sz w:val="22"/>
          <w:szCs w:val="22"/>
          <w:lang w:val="sr-Cyrl-RS"/>
        </w:rPr>
        <w:t xml:space="preserve"> У периоду 2014</w:t>
      </w:r>
      <w:r>
        <w:rPr>
          <w:rFonts w:ascii="Arial" w:hAnsi="Arial" w:cs="Arial"/>
          <w:color w:val="000000"/>
          <w:sz w:val="22"/>
          <w:szCs w:val="22"/>
          <w:lang w:val="sr-Cyrl-RS"/>
        </w:rPr>
        <w:t>-</w:t>
      </w:r>
      <w:r w:rsidRPr="00EF008E">
        <w:rPr>
          <w:rFonts w:ascii="Arial" w:hAnsi="Arial" w:cs="Arial"/>
          <w:color w:val="000000"/>
          <w:sz w:val="22"/>
          <w:szCs w:val="22"/>
          <w:lang w:val="sr-Cyrl-RS"/>
        </w:rPr>
        <w:t>2019. међу децом која завршавају основну школу за децу са сметњама у развоју бележи се тренд опадања броја девојчица у односу на дечаке.</w:t>
      </w:r>
      <w:r w:rsidRPr="00EF008E">
        <w:rPr>
          <w:rFonts w:ascii="Arial" w:hAnsi="Arial" w:cs="Arial"/>
          <w:color w:val="000000"/>
          <w:sz w:val="22"/>
          <w:szCs w:val="22"/>
          <w:vertAlign w:val="superscript"/>
          <w:lang w:val="sr-Cyrl-RS"/>
        </w:rPr>
        <w:t>419</w:t>
      </w:r>
      <w:r w:rsidRPr="00EF008E">
        <w:rPr>
          <w:rFonts w:ascii="Arial" w:hAnsi="Arial" w:cs="Arial"/>
          <w:color w:val="000000"/>
          <w:sz w:val="22"/>
          <w:szCs w:val="22"/>
          <w:lang w:val="sr-Cyrl-RS"/>
        </w:rPr>
        <w:t xml:space="preserve"> У инклузивном образовању у основним школама знатно је више дечака него девојчица (према индивидуалном образовном плану наставу похађа трећина девојчица, а скоро две трећине су дечаци).</w:t>
      </w:r>
      <w:r w:rsidRPr="00EF008E">
        <w:rPr>
          <w:rFonts w:ascii="Arial" w:hAnsi="Arial" w:cs="Arial"/>
          <w:color w:val="000000"/>
          <w:sz w:val="22"/>
          <w:szCs w:val="22"/>
          <w:vertAlign w:val="superscript"/>
          <w:lang w:val="sr-Cyrl-RS"/>
        </w:rPr>
        <w:t>420</w:t>
      </w:r>
      <w:r w:rsidRPr="00EF008E">
        <w:rPr>
          <w:rFonts w:ascii="Arial" w:hAnsi="Arial" w:cs="Arial"/>
          <w:color w:val="000000"/>
          <w:sz w:val="22"/>
          <w:szCs w:val="22"/>
          <w:lang w:val="sr-Cyrl-RS"/>
        </w:rPr>
        <w:t xml:space="preserve"> Према Извештају о напретку у остваривању Циљева одрживог развоја до 2030. године у Републици Србији,</w:t>
      </w:r>
      <w:r w:rsidRPr="00EF008E">
        <w:rPr>
          <w:rFonts w:ascii="Arial" w:hAnsi="Arial" w:cs="Arial"/>
          <w:color w:val="000000"/>
          <w:sz w:val="22"/>
          <w:szCs w:val="22"/>
          <w:vertAlign w:val="superscript"/>
          <w:lang w:val="sr-Cyrl-RS"/>
        </w:rPr>
        <w:t>421</w:t>
      </w:r>
      <w:r w:rsidRPr="00EF008E">
        <w:rPr>
          <w:rFonts w:ascii="Arial" w:hAnsi="Arial" w:cs="Arial"/>
          <w:color w:val="000000"/>
          <w:sz w:val="22"/>
          <w:szCs w:val="22"/>
          <w:lang w:val="sr-Cyrl-RS"/>
        </w:rPr>
        <w:t xml:space="preserve"> у остваривању потциља 4.5. који се односи на елиминисање родне неједнакости у образовању и обезбеђивању једнаког приступа свим нивоима образовања и стручном оспособљавању за рањиве групе, на нивоу основне школе у периоду 2014</w:t>
      </w:r>
      <w:r>
        <w:rPr>
          <w:rFonts w:ascii="Arial" w:hAnsi="Arial" w:cs="Arial"/>
          <w:color w:val="000000"/>
          <w:sz w:val="22"/>
          <w:szCs w:val="22"/>
          <w:lang w:val="sr-Cyrl-RS"/>
        </w:rPr>
        <w:t>-</w:t>
      </w:r>
      <w:r w:rsidRPr="00EF008E">
        <w:rPr>
          <w:rFonts w:ascii="Arial" w:hAnsi="Arial" w:cs="Arial"/>
          <w:color w:val="000000"/>
          <w:sz w:val="22"/>
          <w:szCs w:val="22"/>
          <w:lang w:val="sr-Cyrl-RS"/>
        </w:rPr>
        <w:t>2019. године повећан је диспаритет у корист дечака, док је на нивоу више средње школе диспаритет смањен, а стање је непромењено на нивоу ниже средње школе. Када је у питању диспаритет између деце из најсиромашнијих и најбогатијих домаћинстава, на нивоу основног образовања дошло је до преокрета у корист деце из најсиромашнијих слојева, док се на нивоу ниже средње и више средње школе одржао диспаритет у корист деце из најбогатијих домаћинстава.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Родну сегрегацију у образовању потврђује и чињеница да је међу младима који завршавају средње четворогодишње опште образовање (гимназије) више девојчица (58%) него дечака (42%). Девојчице су у већини и међу младима који завршавају средње стручне четворогодишње школе (53% према 47% дечака). Дечаци су бројнији у подручјима образовања: електротехника, машинство и обрада метала, геодезија и грађевинарство, саобраћај, шумарство и обрада дрвета и геологија и рударство.</w:t>
      </w:r>
      <w:r w:rsidRPr="00EF008E">
        <w:rPr>
          <w:rFonts w:ascii="Arial" w:hAnsi="Arial" w:cs="Arial"/>
          <w:color w:val="000000"/>
          <w:sz w:val="22"/>
          <w:szCs w:val="22"/>
          <w:vertAlign w:val="superscript"/>
          <w:lang w:val="sr-Cyrl-RS"/>
        </w:rPr>
        <w:t>422</w:t>
      </w:r>
      <w:r w:rsidRPr="00EF008E">
        <w:rPr>
          <w:rFonts w:ascii="Arial" w:hAnsi="Arial" w:cs="Arial"/>
          <w:color w:val="000000"/>
          <w:sz w:val="22"/>
          <w:szCs w:val="22"/>
          <w:lang w:val="sr-Cyrl-RS"/>
        </w:rPr>
        <w:t xml:space="preserve"> Високе школе и факултете више уписују и завршавају жене: међу студентима жена је 57%, међу дипломиранима 59%, као и међу онима који су докторирали (57% жена према 43% мушкараца).</w:t>
      </w:r>
      <w:r w:rsidRPr="00EF008E">
        <w:rPr>
          <w:rFonts w:ascii="Arial" w:hAnsi="Arial" w:cs="Arial"/>
          <w:color w:val="000000"/>
          <w:sz w:val="22"/>
          <w:szCs w:val="22"/>
          <w:vertAlign w:val="superscript"/>
          <w:lang w:val="sr-Cyrl-RS"/>
        </w:rPr>
        <w:t>423</w:t>
      </w:r>
      <w:r w:rsidRPr="00EF008E">
        <w:rPr>
          <w:rFonts w:ascii="Arial" w:hAnsi="Arial" w:cs="Arial"/>
          <w:color w:val="000000"/>
          <w:sz w:val="22"/>
          <w:szCs w:val="22"/>
          <w:lang w:val="sr-Cyrl-RS"/>
        </w:rPr>
        <w:t xml:space="preserve"> Према Индексу родне равноправности за 2014. годину, у домену знања</w:t>
      </w:r>
      <w:r w:rsidRPr="00EF008E">
        <w:rPr>
          <w:rFonts w:ascii="Arial" w:hAnsi="Arial" w:cs="Arial"/>
          <w:color w:val="000000"/>
          <w:sz w:val="22"/>
          <w:szCs w:val="22"/>
          <w:vertAlign w:val="superscript"/>
          <w:lang w:val="sr-Cyrl-RS"/>
        </w:rPr>
        <w:t>424</w:t>
      </w:r>
      <w:r w:rsidRPr="00EF008E">
        <w:rPr>
          <w:rFonts w:ascii="Arial" w:hAnsi="Arial" w:cs="Arial"/>
          <w:color w:val="000000"/>
          <w:sz w:val="22"/>
          <w:szCs w:val="22"/>
          <w:lang w:val="sr-Cyrl-RS"/>
        </w:rPr>
        <w:t xml:space="preserve"> разлика између жена и мушкараца у уделу међу дипломцима терцијарног образовања била је само 0,1%, док је 2016. године порасла на 2,5%, при чему је разлика између полова била још већа у области друштвених наука и уметности. Учешће и мушкараца и жена у доживотном учењу је ниско, а низак је и јаз између полова (0,4% током 2014. године).</w:t>
      </w:r>
      <w:r w:rsidRPr="00EF008E">
        <w:rPr>
          <w:rFonts w:ascii="Arial" w:hAnsi="Arial" w:cs="Arial"/>
          <w:color w:val="000000"/>
          <w:sz w:val="22"/>
          <w:szCs w:val="22"/>
          <w:vertAlign w:val="superscript"/>
          <w:lang w:val="sr-Cyrl-RS"/>
        </w:rPr>
        <w:t>425</w:t>
      </w:r>
      <w:r w:rsidRPr="00EF008E">
        <w:rPr>
          <w:rFonts w:ascii="Arial" w:hAnsi="Arial" w:cs="Arial"/>
          <w:color w:val="000000"/>
          <w:sz w:val="22"/>
          <w:szCs w:val="22"/>
          <w:lang w:val="sr-Cyrl-RS"/>
        </w:rPr>
        <w:t xml:space="preserve"> Индекс родне равноправности за 2016. годину</w:t>
      </w:r>
      <w:r w:rsidRPr="00EF008E">
        <w:rPr>
          <w:rFonts w:ascii="Arial" w:hAnsi="Arial" w:cs="Arial"/>
          <w:color w:val="000000"/>
          <w:sz w:val="22"/>
          <w:szCs w:val="22"/>
          <w:vertAlign w:val="superscript"/>
          <w:lang w:val="sr-Cyrl-RS"/>
        </w:rPr>
        <w:t>426</w:t>
      </w:r>
      <w:r w:rsidRPr="00EF008E">
        <w:rPr>
          <w:rFonts w:ascii="Arial" w:hAnsi="Arial" w:cs="Arial"/>
          <w:color w:val="000000"/>
          <w:sz w:val="22"/>
          <w:szCs w:val="22"/>
          <w:lang w:val="sr-Cyrl-RS"/>
        </w:rPr>
        <w:t xml:space="preserve"> показује да и даље постоји хоризонтална родна сегрегација у погледу избора будућег занимања, која се темељи на још увек присутној традиционалној подели занимања на мушка и женска. У домену знања забележено је благо повећање вредности индекса, захваљујући повећању резултата у поддомену учешћа и постигнућа, док је дошло до благе негативне промене у поддомену сегрегације. Сегрегација је и даље изражена јер је међу женама које студирају већи удео оних које се образују у областима образовања, здравља, социјалне заштите, хуманистичким наукама и уметности него што је међу мушкарцима који студирају.</w:t>
      </w:r>
      <w:r w:rsidRPr="00EF008E">
        <w:rPr>
          <w:rFonts w:ascii="Arial" w:hAnsi="Arial" w:cs="Arial"/>
          <w:color w:val="000000"/>
          <w:sz w:val="22"/>
          <w:szCs w:val="22"/>
          <w:vertAlign w:val="superscript"/>
          <w:lang w:val="sr-Cyrl-RS"/>
        </w:rPr>
        <w:t>427</w:t>
      </w:r>
      <w:r w:rsidRPr="00EF008E">
        <w:rPr>
          <w:rFonts w:ascii="Arial" w:hAnsi="Arial" w:cs="Arial"/>
          <w:color w:val="000000"/>
          <w:sz w:val="22"/>
          <w:szCs w:val="22"/>
          <w:lang w:val="sr-Cyrl-RS"/>
        </w:rPr>
        <w:t xml:space="preserve"> То потврђују и налази РЗС: жене чине већину у многим подручјима образовања, као што су здравство (71%), уметност (68%) и природне науке (66%), а мушкарци су бројнији у инжењерству, производњи и грађевинарству (57%), информационим и комуникационим технологијама (66%) и услугама (56%).</w:t>
      </w:r>
      <w:r w:rsidRPr="00EF008E">
        <w:rPr>
          <w:rFonts w:ascii="Arial" w:hAnsi="Arial" w:cs="Arial"/>
          <w:color w:val="000000"/>
          <w:sz w:val="22"/>
          <w:szCs w:val="22"/>
          <w:vertAlign w:val="superscript"/>
          <w:lang w:val="sr-Cyrl-RS"/>
        </w:rPr>
        <w:t>428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Родна осетљивост основног и средњошколског образовања. У програмима наставе и учења основног и средњег образовања нису у довољној мери заступљене теме које афирмишу родну равноправност и код ученика и ученица развијају знања и вештине неопходне за живот у демократском друштву заснованом на принципу недискриминације и родне равноправности, у коме се поштује и уважава разноврсност родних и других идентитета. Програмски садржаји који се односе на васпитање за демократију и грађанско друштво део су Плана и програма наставе и учења за основне и средње школе, а остварују се кроз наставни програм предмета Грађанско васпитање, који има статус обавезног изборног предмета који је пандан предмету Верска настава, а бира се за сваку школску годину. У току 2017. године Завод за унапређивање образовања и васпитања припремио је нове планове и програме наставе и учења за основно образовање и васпитање. Програми су исходовно оријентисани и обезбеђују развој међупредметних компетенција од којих је једна </w:t>
      </w:r>
      <w:r>
        <w:rPr>
          <w:rFonts w:ascii="Arial" w:hAnsi="Arial" w:cs="Arial"/>
          <w:color w:val="000000"/>
          <w:sz w:val="22"/>
          <w:szCs w:val="22"/>
          <w:lang w:val="sr-Cyrl-RS"/>
        </w:rPr>
        <w:t>"</w:t>
      </w:r>
      <w:r w:rsidRPr="00EF008E">
        <w:rPr>
          <w:rFonts w:ascii="Arial" w:hAnsi="Arial" w:cs="Arial"/>
          <w:color w:val="000000"/>
          <w:sz w:val="22"/>
          <w:szCs w:val="22"/>
          <w:lang w:val="sr-Cyrl-RS"/>
        </w:rPr>
        <w:t>Одговорно учешће у демократском друштву</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која се препознаје у исходима који се односе на поштовање људских права и слобода. Циљ наставе и учења нових програма изборног предмета Грађанско васпитање јесте да ученик изучавањем основних принципа, вредности и процедура грађанског друштва постане свестан својих права и одговорности, осетљив за потребе појединаца и заједнице и спреман да активно делује у заједници уважавајући демократске вредности.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Са циљем унапређивања компетенција наставника који остварују наставу Грађанског васпитања израђена су три приручника: приручник за први и други циклус основног образовања и васпитања,</w:t>
      </w:r>
      <w:r w:rsidRPr="00EF008E">
        <w:rPr>
          <w:rFonts w:ascii="Arial" w:hAnsi="Arial" w:cs="Arial"/>
          <w:color w:val="000000"/>
          <w:sz w:val="22"/>
          <w:szCs w:val="22"/>
          <w:vertAlign w:val="superscript"/>
          <w:lang w:val="sr-Cyrl-RS"/>
        </w:rPr>
        <w:t>429</w:t>
      </w:r>
      <w:r w:rsidRPr="00EF008E">
        <w:rPr>
          <w:rFonts w:ascii="Arial" w:hAnsi="Arial" w:cs="Arial"/>
          <w:color w:val="000000"/>
          <w:sz w:val="22"/>
          <w:szCs w:val="22"/>
          <w:lang w:val="sr-Cyrl-RS"/>
        </w:rPr>
        <w:t xml:space="preserve"> и за гимназију.</w:t>
      </w:r>
      <w:r w:rsidRPr="00EF008E">
        <w:rPr>
          <w:rFonts w:ascii="Arial" w:hAnsi="Arial" w:cs="Arial"/>
          <w:color w:val="000000"/>
          <w:sz w:val="22"/>
          <w:szCs w:val="22"/>
          <w:vertAlign w:val="superscript"/>
          <w:lang w:val="sr-Cyrl-RS"/>
        </w:rPr>
        <w:t>430</w:t>
      </w:r>
      <w:r w:rsidRPr="00EF008E">
        <w:rPr>
          <w:rFonts w:ascii="Arial" w:hAnsi="Arial" w:cs="Arial"/>
          <w:color w:val="000000"/>
          <w:sz w:val="22"/>
          <w:szCs w:val="22"/>
          <w:lang w:val="sr-Cyrl-RS"/>
        </w:rPr>
        <w:t xml:space="preserve"> Приручници су припремљени у складу са реформисаним програмима за Грађанско васпитање и оријентисани на достизање исхода и развој компетенција. У садржај приручника увршћене су теме толеранције, поштовања различитости, родне равноправности и недискриминације, које су најзаступљеније у програму Грађанског васпитања за VIII разред основне школе. Приручници наставницима/цама пружају основне информације о овим темама, као и инструкције о правилној употреби релевантних термина, као што су толеранција, различитост, дискриминација, пол, род, родне улоге, сексизам и др, информације о родним и другим стереотипима и предрасудама, о родној дискриминацији и дискриминацији по другим основима и начину реаговања на дискриминацију. Приручници садрже и теме из области родно заснованог насиља према женама и пратећим феноменима, као и информације о прописима и институционалним механизмима за остваривање равноправности. Да ли је дошло до смањења родних стереотипа и предрасуда, који су у ранијем периоду били прилично раширени, није познато, јер је последње истраживање о томе рађено још 2010. године.</w:t>
      </w:r>
      <w:r w:rsidRPr="00EF008E">
        <w:rPr>
          <w:rFonts w:ascii="Arial" w:hAnsi="Arial" w:cs="Arial"/>
          <w:color w:val="000000"/>
          <w:sz w:val="22"/>
          <w:szCs w:val="22"/>
          <w:vertAlign w:val="superscript"/>
          <w:lang w:val="sr-Cyrl-RS"/>
        </w:rPr>
        <w:t>431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гимназијски програм уведени су нови изборни програми: Језик, медији и култура; Појединац, група и друштво; Здравље и спорт; Образовање за одрживи развој; Уметност и дизајн; Примењене науке; Основи геополитике; Економија и бизнис;</w:t>
      </w:r>
      <w:r w:rsidRPr="00EF008E">
        <w:rPr>
          <w:rFonts w:ascii="Arial" w:hAnsi="Arial" w:cs="Arial"/>
          <w:sz w:val="22"/>
          <w:szCs w:val="22"/>
          <w:lang w:val="sr-Cyrl-RS"/>
        </w:rPr>
        <w:br/>
      </w:r>
      <w:r w:rsidRPr="00EF008E">
        <w:rPr>
          <w:rFonts w:ascii="Arial" w:hAnsi="Arial" w:cs="Arial"/>
          <w:color w:val="000000"/>
          <w:sz w:val="22"/>
          <w:szCs w:val="22"/>
          <w:lang w:val="sr-Cyrl-RS"/>
        </w:rPr>
        <w:t>Религије и цивилизације; Методологија научног истраживања и Савремене технологије. У оквиру других наставних предмета, у мери у којој је то могуће уводе се исходи који се односе на поштовање родне равноправности, различитости и интеркултурални дијалог.</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Упркос позитивним помацима, стање није задовољавајуће. Зато је у Стратегији развоја образовања у Републици Србији до 2030. године, као једна од мера за унапређење наставе и учења, планирана примена приступа који обезбеђује да програми наставе и учења буду осетљиви на родну равноправност и специфичности различитих друштвених група укључујући и осетљиве друштвене групе.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Уџбеници и други наставни материјал још увек обилују родно стереотипним садржајима. Права жена сагледавају се у оквиру борбе за праведнији поредак, али недостају посебне теме које се односе на питања важна за разумевање родне (не)равноправности, присуство мушких и женских ликова је веома неуједначено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и на сликама и у тексту представљено је вишеструко више мушких него женских ликова, а посебно је неуједначен број знаменитих личности представљених у уџбеницима, као и цитираних аутора, који су претежно мушкарци. Жене су у односу на мушкарце несразмерно представљене као кључни носиоци послова у домаћинству и као супруге и мајке са стереотипним родним особинама. У већем броју анализираних уџбеника систематски се користи родно стереотипни језик.</w:t>
      </w:r>
      <w:r w:rsidRPr="00EF008E">
        <w:rPr>
          <w:rFonts w:ascii="Arial" w:hAnsi="Arial" w:cs="Arial"/>
          <w:color w:val="000000"/>
          <w:sz w:val="22"/>
          <w:szCs w:val="22"/>
          <w:vertAlign w:val="superscript"/>
          <w:lang w:val="sr-Cyrl-RS"/>
        </w:rPr>
        <w:t>432</w:t>
      </w:r>
      <w:r w:rsidRPr="00EF008E">
        <w:rPr>
          <w:rFonts w:ascii="Arial" w:hAnsi="Arial" w:cs="Arial"/>
          <w:color w:val="000000"/>
          <w:sz w:val="22"/>
          <w:szCs w:val="22"/>
          <w:lang w:val="sr-Cyrl-RS"/>
        </w:rPr>
        <w:t xml:space="preserve"> Садржаји кроз које се перпетуирају стереотипне улоге полова односе се на представљање професионалних улога. Професије, сфера рада и руководећи положаји су готово ексклузивно представљени кроз мушке ликове.</w:t>
      </w:r>
      <w:r w:rsidRPr="00EF008E">
        <w:rPr>
          <w:rFonts w:ascii="Arial" w:hAnsi="Arial" w:cs="Arial"/>
          <w:color w:val="000000"/>
          <w:sz w:val="22"/>
          <w:szCs w:val="22"/>
          <w:vertAlign w:val="superscript"/>
          <w:lang w:val="sr-Cyrl-RS"/>
        </w:rPr>
        <w:t>433</w:t>
      </w:r>
      <w:r w:rsidRPr="00EF008E">
        <w:rPr>
          <w:rFonts w:ascii="Arial" w:hAnsi="Arial" w:cs="Arial"/>
          <w:color w:val="000000"/>
          <w:sz w:val="22"/>
          <w:szCs w:val="22"/>
          <w:lang w:val="sr-Cyrl-RS"/>
        </w:rPr>
        <w:t xml:space="preserve"> Родна анализа наставних програма и уџбеника за српски језик од I до IV разреда основне школе</w:t>
      </w:r>
      <w:r w:rsidRPr="00EF008E">
        <w:rPr>
          <w:rFonts w:ascii="Arial" w:hAnsi="Arial" w:cs="Arial"/>
          <w:color w:val="000000"/>
          <w:sz w:val="22"/>
          <w:szCs w:val="22"/>
          <w:vertAlign w:val="superscript"/>
          <w:lang w:val="sr-Cyrl-RS"/>
        </w:rPr>
        <w:t>434</w:t>
      </w:r>
      <w:r w:rsidRPr="00EF008E">
        <w:rPr>
          <w:rFonts w:ascii="Arial" w:hAnsi="Arial" w:cs="Arial"/>
          <w:color w:val="000000"/>
          <w:sz w:val="22"/>
          <w:szCs w:val="22"/>
          <w:lang w:val="sr-Cyrl-RS"/>
        </w:rPr>
        <w:t xml:space="preserve"> показала је да концепт родне равноправности није укључен у појмовни апарат ни у наставним програмима нити у уџбеницима за прва четири разреда основне школе. Ниједан од понуђених садржаја у свом називу не обухвата тему родне равноправности, нити обрада датих садржаја подразумева објашњење услова за остваривање родне равноправности, као ни изворе родне неравноправности у друштву.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За родну осетљивост образовања од значаја је и </w:t>
      </w:r>
      <w:r>
        <w:rPr>
          <w:rFonts w:ascii="Arial" w:hAnsi="Arial" w:cs="Arial"/>
          <w:color w:val="000000"/>
          <w:sz w:val="22"/>
          <w:szCs w:val="22"/>
          <w:lang w:val="sr-Cyrl-RS"/>
        </w:rPr>
        <w:t>"</w:t>
      </w:r>
      <w:r w:rsidRPr="00EF008E">
        <w:rPr>
          <w:rFonts w:ascii="Arial" w:hAnsi="Arial" w:cs="Arial"/>
          <w:color w:val="000000"/>
          <w:sz w:val="22"/>
          <w:szCs w:val="22"/>
          <w:lang w:val="sr-Cyrl-RS"/>
        </w:rPr>
        <w:t>скривени</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курикулум, којим се ученицима и ученицама преносе непрописани и непланирани вредносни ставови и обрасци понашања.</w:t>
      </w:r>
      <w:r w:rsidRPr="00EF008E">
        <w:rPr>
          <w:rFonts w:ascii="Arial" w:hAnsi="Arial" w:cs="Arial"/>
          <w:color w:val="000000"/>
          <w:sz w:val="22"/>
          <w:szCs w:val="22"/>
          <w:vertAlign w:val="superscript"/>
          <w:lang w:val="sr-Cyrl-RS"/>
        </w:rPr>
        <w:t>435</w:t>
      </w:r>
      <w:r w:rsidRPr="00EF008E">
        <w:rPr>
          <w:rFonts w:ascii="Arial" w:hAnsi="Arial" w:cs="Arial"/>
          <w:color w:val="000000"/>
          <w:sz w:val="22"/>
          <w:szCs w:val="22"/>
          <w:lang w:val="sr-Cyrl-RS"/>
        </w:rPr>
        <w:t xml:space="preserve"> Ови ставови и обрасци, који се преносе путем формалних и неформалних контаката и имплицитне организационе културе, углавном репродукују традиционалне родне матрице. С обзиром да је </w:t>
      </w:r>
      <w:r>
        <w:rPr>
          <w:rFonts w:ascii="Arial" w:hAnsi="Arial" w:cs="Arial"/>
          <w:color w:val="000000"/>
          <w:sz w:val="22"/>
          <w:szCs w:val="22"/>
          <w:lang w:val="sr-Cyrl-RS"/>
        </w:rPr>
        <w:t>"</w:t>
      </w:r>
      <w:r w:rsidRPr="00EF008E">
        <w:rPr>
          <w:rFonts w:ascii="Arial" w:hAnsi="Arial" w:cs="Arial"/>
          <w:color w:val="000000"/>
          <w:sz w:val="22"/>
          <w:szCs w:val="22"/>
          <w:lang w:val="sr-Cyrl-RS"/>
        </w:rPr>
        <w:t>скривени</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курикулум предуслов за стварање толерантног и инклузивног образовног окружења, као и за увођење родне перспективе у планове рада са децом и младима, у протеклом периоду спроведен је низ активности на унапређењу компетенција наставног особља за грађанске вредности и родну равноправност.</w:t>
      </w:r>
      <w:r w:rsidRPr="00EF008E">
        <w:rPr>
          <w:rFonts w:ascii="Arial" w:hAnsi="Arial" w:cs="Arial"/>
          <w:color w:val="000000"/>
          <w:sz w:val="22"/>
          <w:szCs w:val="22"/>
          <w:vertAlign w:val="superscript"/>
          <w:lang w:val="sr-Cyrl-RS"/>
        </w:rPr>
        <w:t>436</w:t>
      </w:r>
      <w:r w:rsidRPr="00EF008E">
        <w:rPr>
          <w:rFonts w:ascii="Arial" w:hAnsi="Arial" w:cs="Arial"/>
          <w:color w:val="000000"/>
          <w:sz w:val="22"/>
          <w:szCs w:val="22"/>
          <w:lang w:val="sr-Cyrl-RS"/>
        </w:rPr>
        <w:t xml:space="preserve"> Поред осталог, реализована је обука </w:t>
      </w:r>
      <w:r>
        <w:rPr>
          <w:rFonts w:ascii="Arial" w:hAnsi="Arial" w:cs="Arial"/>
          <w:color w:val="000000"/>
          <w:sz w:val="22"/>
          <w:szCs w:val="22"/>
          <w:lang w:val="sr-Cyrl-RS"/>
        </w:rPr>
        <w:t>"</w:t>
      </w:r>
      <w:r w:rsidRPr="00EF008E">
        <w:rPr>
          <w:rFonts w:ascii="Arial" w:hAnsi="Arial" w:cs="Arial"/>
          <w:color w:val="000000"/>
          <w:sz w:val="22"/>
          <w:szCs w:val="22"/>
          <w:lang w:val="sr-Cyrl-RS"/>
        </w:rPr>
        <w:t>Наставници као носиоци квалитетног образовању за сву децу</w:t>
      </w:r>
      <w:r>
        <w:rPr>
          <w:rFonts w:ascii="Arial" w:hAnsi="Arial" w:cs="Arial"/>
          <w:color w:val="000000"/>
          <w:sz w:val="22"/>
          <w:szCs w:val="22"/>
          <w:lang w:val="sr-Cyrl-RS"/>
        </w:rPr>
        <w:t>"</w:t>
      </w:r>
      <w:r w:rsidRPr="00EF008E">
        <w:rPr>
          <w:rFonts w:ascii="Arial" w:hAnsi="Arial" w:cs="Arial"/>
          <w:color w:val="000000"/>
          <w:sz w:val="22"/>
          <w:szCs w:val="22"/>
          <w:lang w:val="sr-Cyrl-RS"/>
        </w:rPr>
        <w:t>, која је део јединствене листе обука од посебног значаја, а коју је похађало 275 просветних саветника/ца и спољних сарадника/ца. Неки од семинара на којима су наставници/це добили потребна знања, вештине и алате за реализацију активности са ученицима/цама основних и средњих школа усмерени су на теме које се тичу родне равноправности,</w:t>
      </w:r>
      <w:r w:rsidRPr="00EF008E">
        <w:rPr>
          <w:rFonts w:ascii="Arial" w:hAnsi="Arial" w:cs="Arial"/>
          <w:color w:val="000000"/>
          <w:sz w:val="22"/>
          <w:szCs w:val="22"/>
          <w:vertAlign w:val="superscript"/>
          <w:lang w:val="sr-Cyrl-RS"/>
        </w:rPr>
        <w:t>437</w:t>
      </w:r>
      <w:r w:rsidRPr="00EF008E">
        <w:rPr>
          <w:rFonts w:ascii="Arial" w:hAnsi="Arial" w:cs="Arial"/>
          <w:color w:val="000000"/>
          <w:sz w:val="22"/>
          <w:szCs w:val="22"/>
          <w:lang w:val="sr-Cyrl-RS"/>
        </w:rPr>
        <w:t xml:space="preserve"> док су се неки програми бавили проблемом родно заснованих облика насиља. Овај процес треба наставити јер програмима за развој родних компетенција треба обухватити целокупно наставно особље на свим нивоима образовања.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Родна осетљивост високошколског образовања један је од кључних услова зa делотворно спровођење политике родне равноправности и једнаких могућности у свим областима друштвеног живота. Законом о високом образовању прописано је да се високо образовање заснива на принципима уважавања хуманистичких и демократских вредности националне и европске традиције и вредности културног наслеђа и поштовање људских права и грађанских слобода, укључујући забрану свих видова дискриминације,</w:t>
      </w:r>
      <w:r w:rsidRPr="00EF008E">
        <w:rPr>
          <w:rFonts w:ascii="Arial" w:hAnsi="Arial" w:cs="Arial"/>
          <w:color w:val="000000"/>
          <w:sz w:val="22"/>
          <w:szCs w:val="22"/>
          <w:vertAlign w:val="superscript"/>
          <w:lang w:val="sr-Cyrl-RS"/>
        </w:rPr>
        <w:t>438</w:t>
      </w:r>
      <w:r w:rsidRPr="00EF008E">
        <w:rPr>
          <w:rFonts w:ascii="Arial" w:hAnsi="Arial" w:cs="Arial"/>
          <w:color w:val="000000"/>
          <w:sz w:val="22"/>
          <w:szCs w:val="22"/>
          <w:lang w:val="sr-Cyrl-RS"/>
        </w:rPr>
        <w:t xml:space="preserve"> али се родна равноправност експлицитно не помиње. Закон садржи клаузулу о употреби родно осетљивог језика, али је у целини родно неутралан. Правилник о стандардима за акредитацију студијских програма</w:t>
      </w:r>
      <w:r w:rsidRPr="00EF008E">
        <w:rPr>
          <w:rFonts w:ascii="Arial" w:hAnsi="Arial" w:cs="Arial"/>
          <w:color w:val="000000"/>
          <w:sz w:val="22"/>
          <w:szCs w:val="22"/>
          <w:vertAlign w:val="superscript"/>
          <w:lang w:val="sr-Cyrl-RS"/>
        </w:rPr>
        <w:t>439</w:t>
      </w:r>
      <w:r w:rsidRPr="00EF008E">
        <w:rPr>
          <w:rFonts w:ascii="Arial" w:hAnsi="Arial" w:cs="Arial"/>
          <w:color w:val="000000"/>
          <w:sz w:val="22"/>
          <w:szCs w:val="22"/>
          <w:lang w:val="sr-Cyrl-RS"/>
        </w:rPr>
        <w:t xml:space="preserve"> не садржи ни један родно осетљив услов у погледу стицања општих компетенција дипломираних студената и студенткиња. Њиме се образовне установе упућују да приликом креирања студијских програма опште квалификације дипломираних студената и студенткиња утврђују у складу са Националним оквиром квалификација,</w:t>
      </w:r>
      <w:r w:rsidRPr="00EF008E">
        <w:rPr>
          <w:rFonts w:ascii="Arial" w:hAnsi="Arial" w:cs="Arial"/>
          <w:color w:val="000000"/>
          <w:sz w:val="22"/>
          <w:szCs w:val="22"/>
          <w:vertAlign w:val="superscript"/>
          <w:lang w:val="sr-Cyrl-RS"/>
        </w:rPr>
        <w:t>440</w:t>
      </w:r>
      <w:r w:rsidRPr="00EF008E">
        <w:rPr>
          <w:rFonts w:ascii="Arial" w:hAnsi="Arial" w:cs="Arial"/>
          <w:color w:val="000000"/>
          <w:sz w:val="22"/>
          <w:szCs w:val="22"/>
          <w:lang w:val="sr-Cyrl-RS"/>
        </w:rPr>
        <w:t xml:space="preserve"> али овај пропис којим је за сваки ниво образовања утврђен сет општих знања, вештина, способности и ставова, не садржи ни један дескриптор који се односи на људска права и родну равноправност, што се негативно одражава на дефинисање квалификација које студенти и студенткиње стичу на одређеним врстама и нивоима студија. Правилник о стандардима и поступку за акредитацију високошколских установа</w:t>
      </w:r>
      <w:r w:rsidRPr="00EF008E">
        <w:rPr>
          <w:rFonts w:ascii="Arial" w:hAnsi="Arial" w:cs="Arial"/>
          <w:color w:val="000000"/>
          <w:sz w:val="22"/>
          <w:szCs w:val="22"/>
          <w:vertAlign w:val="superscript"/>
          <w:lang w:val="sr-Cyrl-RS"/>
        </w:rPr>
        <w:t>441</w:t>
      </w:r>
      <w:r w:rsidRPr="00EF008E">
        <w:rPr>
          <w:rFonts w:ascii="Arial" w:hAnsi="Arial" w:cs="Arial"/>
          <w:color w:val="000000"/>
          <w:sz w:val="22"/>
          <w:szCs w:val="22"/>
          <w:lang w:val="sr-Cyrl-RS"/>
        </w:rPr>
        <w:t xml:space="preserve"> не садржи ни један стандард који се тиче остваривања родне равноправности. Једино је у стандардима који се тичу студената прописано да високошколска установа пружа додатну подршку студентима из осетљивих група. Овај стандард није на адекватан начин операционализован.</w:t>
      </w:r>
      <w:r w:rsidRPr="00EF008E">
        <w:rPr>
          <w:rFonts w:ascii="Arial" w:hAnsi="Arial" w:cs="Arial"/>
          <w:color w:val="000000"/>
          <w:sz w:val="22"/>
          <w:szCs w:val="22"/>
          <w:vertAlign w:val="superscript"/>
          <w:lang w:val="sr-Cyrl-RS"/>
        </w:rPr>
        <w:t>442</w:t>
      </w:r>
      <w:r w:rsidRPr="00EF008E">
        <w:rPr>
          <w:rFonts w:ascii="Arial" w:hAnsi="Arial" w:cs="Arial"/>
          <w:color w:val="000000"/>
          <w:sz w:val="22"/>
          <w:szCs w:val="22"/>
          <w:lang w:val="sr-Cyrl-RS"/>
        </w:rPr>
        <w:t xml:space="preserve"> Ни Правилник о стандардима за самовредновање и оцењивање квалитета високошколских установа и студијских програма</w:t>
      </w:r>
      <w:r w:rsidRPr="00EF008E">
        <w:rPr>
          <w:rFonts w:ascii="Arial" w:hAnsi="Arial" w:cs="Arial"/>
          <w:color w:val="000000"/>
          <w:sz w:val="22"/>
          <w:szCs w:val="22"/>
          <w:vertAlign w:val="superscript"/>
          <w:lang w:val="sr-Cyrl-RS"/>
        </w:rPr>
        <w:t>443</w:t>
      </w:r>
      <w:r w:rsidRPr="00EF008E">
        <w:rPr>
          <w:rFonts w:ascii="Arial" w:hAnsi="Arial" w:cs="Arial"/>
          <w:color w:val="000000"/>
          <w:sz w:val="22"/>
          <w:szCs w:val="22"/>
          <w:lang w:val="sr-Cyrl-RS"/>
        </w:rPr>
        <w:t xml:space="preserve"> не садржи стандарде релевантне за остваривање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Aнализе курикулума појединих студијских програма и силабуса наставних предмета</w:t>
      </w:r>
      <w:r w:rsidRPr="00EF008E">
        <w:rPr>
          <w:rFonts w:ascii="Arial" w:hAnsi="Arial" w:cs="Arial"/>
          <w:color w:val="000000"/>
          <w:sz w:val="22"/>
          <w:szCs w:val="22"/>
          <w:vertAlign w:val="superscript"/>
          <w:lang w:val="sr-Cyrl-RS"/>
        </w:rPr>
        <w:t>444</w:t>
      </w:r>
      <w:r w:rsidRPr="00EF008E">
        <w:rPr>
          <w:rFonts w:ascii="Arial" w:hAnsi="Arial" w:cs="Arial"/>
          <w:color w:val="000000"/>
          <w:sz w:val="22"/>
          <w:szCs w:val="22"/>
          <w:lang w:val="sr-Cyrl-RS"/>
        </w:rPr>
        <w:t xml:space="preserve"> показале су да родна перспектива није интегрисана у њихове садржаје, да су уџбеници углавном родно неутрални, а у некима су присутни и родно стереотипни приступи у тумачењу друштвених појава. Образовни материјал који се користи у високошколском образовању у највећем броју случајева је родно неосетљив. Нема равномерне заступљености примера мушких и женских родних улога, а постојећи прикази рода и родних улога су стереотипни и ослањању се на традиционалне патријархалне парадигме. Готово нигде није заступљен родно осетљив језик, већ се термини и изрази користе скоро искључиво у мушком роду, нити се користи адекватан терминолошки апарат који упућује на друштвену конструкцију рода и родних улога и сл. Уџбеници који имају чак и делимично приступ родне осетљивости и баве се питањима о женама или неким другим друштвено рањивим групама, то чине или недовољно или, што је још чешћа појава, на неодговарајући начин, тако што искључују или омаловажавају друштвено рањиве групе, дискриминишу обичаје, културу и веру мањинских етничких група, нетрадиционалне породице, ЛГБТ популације итд.</w:t>
      </w:r>
      <w:r w:rsidRPr="00EF008E">
        <w:rPr>
          <w:rFonts w:ascii="Arial" w:hAnsi="Arial" w:cs="Arial"/>
          <w:color w:val="000000"/>
          <w:sz w:val="22"/>
          <w:szCs w:val="22"/>
          <w:vertAlign w:val="superscript"/>
          <w:lang w:val="sr-Cyrl-RS"/>
        </w:rPr>
        <w:t>445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Област високог образовања у Републици Србији карактеришу родна неравноправност, снажна вертикална сегрегација и недовољна заступљеност жена у доношењу одлука и креирању политика на универзитетима и у научној заједници. Истраживања показују да је положај жена у систему високог образовања неповољнији у односу на положај мушкараца. Постоји висок родни дисбаланс у погледу заступљености жена на руководећим позицијама, у развоју професионалне каријере жене се суочавају са специфичним родно заснованим баријерама, а постоје и знатне разлике у начину на које жене и мушкарци у науци комбинују свој професионални и породични живот, с обзиром на то да каријерни успех жена није праћен еманципацијом унутар приватног домена, што жене ставља у позицију двоструке оптерећености.</w:t>
      </w:r>
      <w:r w:rsidRPr="00EF008E">
        <w:rPr>
          <w:rFonts w:ascii="Arial" w:hAnsi="Arial" w:cs="Arial"/>
          <w:color w:val="000000"/>
          <w:sz w:val="22"/>
          <w:szCs w:val="22"/>
          <w:vertAlign w:val="superscript"/>
          <w:lang w:val="sr-Cyrl-RS"/>
        </w:rPr>
        <w:t>446</w:t>
      </w:r>
      <w:r w:rsidRPr="00EF008E">
        <w:rPr>
          <w:rFonts w:ascii="Arial" w:hAnsi="Arial" w:cs="Arial"/>
          <w:color w:val="000000"/>
          <w:sz w:val="22"/>
          <w:szCs w:val="22"/>
          <w:lang w:val="sr-Cyrl-RS"/>
        </w:rPr>
        <w:t xml:space="preserve"> Анализа нормативног оквира академског рада указује на изостанак поимања значаја родне равноправности и проблема родних неједнакости, родно условљених каријера академских радника и радница и њихових неједнаких услова рада, чиме се отвара додатни простор за креирање родних неједнакости унутар система високог образовања.</w:t>
      </w:r>
      <w:r w:rsidRPr="00EF008E">
        <w:rPr>
          <w:rFonts w:ascii="Arial" w:hAnsi="Arial" w:cs="Arial"/>
          <w:color w:val="000000"/>
          <w:sz w:val="22"/>
          <w:szCs w:val="22"/>
          <w:vertAlign w:val="superscript"/>
          <w:lang w:val="sr-Cyrl-RS"/>
        </w:rPr>
        <w:t>447</w:t>
      </w:r>
      <w:r w:rsidRPr="00EF008E">
        <w:rPr>
          <w:rFonts w:ascii="Arial" w:hAnsi="Arial" w:cs="Arial"/>
          <w:color w:val="000000"/>
          <w:sz w:val="22"/>
          <w:szCs w:val="22"/>
          <w:lang w:val="sr-Cyrl-RS"/>
        </w:rPr>
        <w:t xml:space="preserve"> Посебно забрињава што ни жене, ни мушкарци на руководећим позицијама у вискошколским установама не увиђају да је академска заједница обележена родним поделама, сматрајући да је академски сектор меритократски и имун на дискриминацију.</w:t>
      </w:r>
      <w:r w:rsidRPr="00EF008E">
        <w:rPr>
          <w:rFonts w:ascii="Arial" w:hAnsi="Arial" w:cs="Arial"/>
          <w:color w:val="000000"/>
          <w:sz w:val="22"/>
          <w:szCs w:val="22"/>
          <w:vertAlign w:val="superscript"/>
          <w:lang w:val="sr-Cyrl-RS"/>
        </w:rPr>
        <w:t>448</w:t>
      </w:r>
      <w:r w:rsidRPr="00EF008E">
        <w:rPr>
          <w:rFonts w:ascii="Arial" w:hAnsi="Arial" w:cs="Arial"/>
          <w:color w:val="000000"/>
          <w:sz w:val="22"/>
          <w:szCs w:val="22"/>
          <w:lang w:val="sr-Cyrl-RS"/>
        </w:rPr>
        <w:t xml:space="preserve"> У високом образовању у Републици Србији готово потпуно изостаје и регулатива и пракса уношења родне перспективе у садржаје учења на институционалном универзитетском нивоу, на плану наставних програма и наставних планова као и наставних материјала и уџбеника.</w:t>
      </w:r>
      <w:r w:rsidRPr="00EF008E">
        <w:rPr>
          <w:rFonts w:ascii="Arial" w:hAnsi="Arial" w:cs="Arial"/>
          <w:color w:val="000000"/>
          <w:sz w:val="22"/>
          <w:szCs w:val="22"/>
          <w:vertAlign w:val="superscript"/>
          <w:lang w:val="sr-Cyrl-RS"/>
        </w:rPr>
        <w:t>449</w:t>
      </w:r>
      <w:r w:rsidRPr="00EF008E">
        <w:rPr>
          <w:rFonts w:ascii="Arial" w:hAnsi="Arial" w:cs="Arial"/>
          <w:color w:val="000000"/>
          <w:sz w:val="22"/>
          <w:szCs w:val="22"/>
          <w:lang w:val="sr-Cyrl-RS"/>
        </w:rPr>
        <w:t xml:space="preserve"> У литератури је препознато да је за додатну едукацију и родну сензитивизацију знања од посебног значаја увођење и афирмација предмета и студијских програма Студија рода на свим нивоима високог образовања, са циљем да се кроз интердисциплинарни приступ подстакне критичко промишљање знања и његово дограђивање из родне перспективе.</w:t>
      </w:r>
      <w:r w:rsidRPr="00EF008E">
        <w:rPr>
          <w:rFonts w:ascii="Arial" w:hAnsi="Arial" w:cs="Arial"/>
          <w:color w:val="000000"/>
          <w:sz w:val="22"/>
          <w:szCs w:val="22"/>
          <w:vertAlign w:val="superscript"/>
          <w:lang w:val="sr-Cyrl-RS"/>
        </w:rPr>
        <w:t>450</w:t>
      </w:r>
      <w:r w:rsidRPr="00EF008E">
        <w:rPr>
          <w:rFonts w:ascii="Arial" w:hAnsi="Arial" w:cs="Arial"/>
          <w:color w:val="000000"/>
          <w:sz w:val="22"/>
          <w:szCs w:val="22"/>
          <w:lang w:val="sr-Cyrl-RS"/>
        </w:rPr>
        <w:t xml:space="preserve"> Међутим, у овом домену бележи се назадовање у последњих неколико година. Смањује се број студената и студенткиња који похађају студије рода (2017/18 − 14; 2016/17 − 15 на мастер програму и једна студенткиња докторских студија), а изостаје и адекватна финансијска подршка студентима и студенткињама као и предавачицама и истраживачицама у овој области.</w:t>
      </w:r>
      <w:r w:rsidRPr="00EF008E">
        <w:rPr>
          <w:rFonts w:ascii="Arial" w:hAnsi="Arial" w:cs="Arial"/>
          <w:color w:val="000000"/>
          <w:sz w:val="22"/>
          <w:szCs w:val="22"/>
          <w:vertAlign w:val="superscript"/>
          <w:lang w:val="sr-Cyrl-RS"/>
        </w:rPr>
        <w:t>451</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385 Gender in education and training, EIGE, 2016. страна 3; Милић, А. Патријархални поредак, револуција и сазнање о положају жене, у: Милић, Анђелка (ур.), Положај жене као мерило модернизације, Београд: Институт за новију историју Србије, 1998, стр. 558</w:t>
      </w:r>
      <w:r>
        <w:rPr>
          <w:rFonts w:ascii="Arial" w:hAnsi="Arial" w:cs="Arial"/>
          <w:i/>
          <w:color w:val="000000"/>
          <w:sz w:val="22"/>
          <w:szCs w:val="22"/>
          <w:lang w:val="sr-Cyrl-RS"/>
        </w:rPr>
        <w:t>-</w:t>
      </w:r>
      <w:r w:rsidRPr="00EF008E">
        <w:rPr>
          <w:rFonts w:ascii="Arial" w:hAnsi="Arial" w:cs="Arial"/>
          <w:i/>
          <w:color w:val="000000"/>
          <w:sz w:val="22"/>
          <w:szCs w:val="22"/>
          <w:lang w:val="sr-Cyrl-RS"/>
        </w:rPr>
        <w:t>559.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386 Опширније: УН, Агенда одрживог развоја 2030, доступно на: https://sdgs.un.org/2030agenda</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387 Стратегија Европа 2020, https://europa.rs/images/publikacije/29-Evropa_2020.pdf, приступ 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388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389 У питању су биле следеће мере: Увођење обавезних родно осетљивих и антидискриминаторних образовних програма и наставних садржаја на свим нивоима образовања, укључивши образовање одраслих и образовање медијских професионалаца/професионалки; Ревизија наставних садржаја и уџбеника ради елиминисања родних стереотипа, дискриминаторних садржаја и дискриминаторског језика; Унапређивање компетенција запослених у образовању и васпитању путем увођења обавезних образовних програма о родној равноправности; Увођење родно осетљивог језика у све наставне садржаје; Укључивање женског доприноса науци, култури и уметности у садржаје наставних предмета.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390 Посебан извештај Повереника за заштиту равноправности о дискциминацији жена, Повереник за заштиту равноправности, Београд, 2015.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391 Низ активности планиран је и Нацртом АП за спровођење Националне стратегије 2019</w:t>
      </w:r>
      <w:r>
        <w:rPr>
          <w:rFonts w:ascii="Arial" w:hAnsi="Arial" w:cs="Arial"/>
          <w:i/>
          <w:color w:val="000000"/>
          <w:sz w:val="22"/>
          <w:szCs w:val="22"/>
          <w:lang w:val="sr-Cyrl-RS"/>
        </w:rPr>
        <w:t>-</w:t>
      </w:r>
      <w:r w:rsidRPr="00EF008E">
        <w:rPr>
          <w:rFonts w:ascii="Arial" w:hAnsi="Arial" w:cs="Arial"/>
          <w:i/>
          <w:color w:val="000000"/>
          <w:sz w:val="22"/>
          <w:szCs w:val="22"/>
          <w:lang w:val="sr-Cyrl-RS"/>
        </w:rPr>
        <w:t>2020, али он није усвојен.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392 Евалуација НАП-а за родну равноправност 2016</w:t>
      </w:r>
      <w:r>
        <w:rPr>
          <w:rFonts w:ascii="Arial" w:hAnsi="Arial" w:cs="Arial"/>
          <w:i/>
          <w:color w:val="000000"/>
          <w:sz w:val="22"/>
          <w:szCs w:val="22"/>
          <w:lang w:val="sr-Cyrl-RS"/>
        </w:rPr>
        <w:t>-</w:t>
      </w:r>
      <w:r w:rsidRPr="00EF008E">
        <w:rPr>
          <w:rFonts w:ascii="Arial" w:hAnsi="Arial" w:cs="Arial"/>
          <w:i/>
          <w:color w:val="000000"/>
          <w:sz w:val="22"/>
          <w:szCs w:val="22"/>
          <w:lang w:val="sr-Cyrl-RS"/>
        </w:rPr>
        <w:t>2018, SeConS, Београд,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393 Исто, страна 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394 Исто. страна 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395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107/12.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396 Петрушић, Н., Бекер, К., Интегрисање родне перспективе у законодавство, у: Пајванчић, М., Урошевић, Б. (ур), Парламентаризам у Србији из женског угла, Мисија ОЕБС у Србији, 2020, стр. 41</w:t>
      </w:r>
      <w:r>
        <w:rPr>
          <w:rFonts w:ascii="Arial" w:hAnsi="Arial" w:cs="Arial"/>
          <w:i/>
          <w:color w:val="000000"/>
          <w:sz w:val="22"/>
          <w:szCs w:val="22"/>
          <w:lang w:val="sr-Cyrl-RS"/>
        </w:rPr>
        <w:t>-</w:t>
      </w:r>
      <w:r w:rsidRPr="00EF008E">
        <w:rPr>
          <w:rFonts w:ascii="Arial" w:hAnsi="Arial" w:cs="Arial"/>
          <w:i/>
          <w:color w:val="000000"/>
          <w:sz w:val="22"/>
          <w:szCs w:val="22"/>
          <w:lang w:val="sr-Cyrl-RS"/>
        </w:rPr>
        <w:t>82.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397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88/17, 73/18, 27/18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67/19 и 6/20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398 Члан 16. став 2, члан 20. став 4. и члан 62. став 7. Закона о високом образовању.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399 Комитет за елиминисање дискриминације жена, Закључна запажања у вези са Четвртим периодичном извештајем РС, CEDAW/C/SRB/CO/4 од 8. марта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400 Исто, пар. 33.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401 Исто, пар. 34.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402</w:t>
      </w:r>
      <w:r w:rsidRPr="00EF008E">
        <w:rPr>
          <w:rFonts w:ascii="Arial" w:hAnsi="Arial" w:cs="Arial"/>
          <w:i/>
          <w:color w:val="000000"/>
          <w:sz w:val="22"/>
          <w:szCs w:val="22"/>
          <w:lang w:val="sr-Cyrl-RS"/>
        </w:rPr>
        <w:tab/>
        <w:t>Доступно на: https://www.srbija.gov.rs/extfile/sr/552501/strategija-razvoj-obrazovanja-srbija-2030-0061-cyr.zip,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403</w:t>
      </w:r>
      <w:r w:rsidRPr="00EF008E">
        <w:rPr>
          <w:rFonts w:ascii="Arial" w:hAnsi="Arial" w:cs="Arial"/>
          <w:i/>
          <w:color w:val="000000"/>
          <w:sz w:val="22"/>
          <w:szCs w:val="22"/>
          <w:lang w:val="sr-Cyrl-RS"/>
        </w:rPr>
        <w:tab/>
        <w:t>Доступно на: https://www.srbija.gov.rs/dokument/45678/strategije-programi-planovi-.php,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404 Члан 37.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405 Закон о основама система образовања и васпитања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88/17, 27/18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10/19, Закон о предшколском васпитању и образовању,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18/10, 101/17, 113/17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95/18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10/19, Закон о основном образовању и васпитању,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55/13, 101/17, 27/18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и 10/19, Закон о средњем образовању и васпитању,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55/13, 101/17 и 27/18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Закон о дуалном образовању,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број 101/17, Закон о уџбеницима,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406 Министарство просвете, науке и технолошког развоја РСе, Прилог за припрему Свеобухватног прегледа, март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407 Уведене 2009. године, доступно на: http://socijalnoukljucivanje.gov.rs/wp-content/uploads/2016/07/Analiza-primene-afirmativnih-mera-u-oblasti-obrazovanja-Roma-i-Romkinja-i-preporuke-za-unapredjenje-mera.pdf, страна 12 приступ јун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408 Анализа примене афирмативних мера у области образовања Рома и Ромкиња и препоруке за унапређење мера, Тим за социјално укључивање и смањење сиромаштва Владе РС, јун 2016.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409</w:t>
      </w:r>
      <w:r w:rsidRPr="00EF008E">
        <w:rPr>
          <w:rFonts w:ascii="Arial" w:hAnsi="Arial" w:cs="Arial"/>
          <w:i/>
          <w:color w:val="000000"/>
          <w:sz w:val="22"/>
          <w:szCs w:val="22"/>
          <w:lang w:val="sr-Cyrl-RS"/>
        </w:rPr>
        <w:tab/>
        <w:t>Доступно на: https://www.rodnaravnopravnost.gov.rs/sites/default/files/2020-04/Nacionalni% 20pregled %20 Pekinska%20deklaracija%20SRB.pdf,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410 Исто, страна 42.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411 Стратегија развоја образовања у РС до 2030. године, страна 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412 Истраживање вишеструких показатеља за 2019. годину (MICS 6), Републички завод за статистику и УНИЦЕФ, 2019, доступно на: https://www.unicef.org/serbia/media/16056/file/MICS%206%20Istra%C5%BEivanje%20vi%C5%A1estrukih%20pokazatelja%20za%202019.%20godinu.pdf, приступ 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413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414 Ситуациона анализа образовања и социјалне укључености ромских девојчица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резултати истраживања, CARE, Нови Сад, 2013.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415 Жене и мушкарци у Србији, Републички завод за статистику, 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416 Исто, страна 57.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417 Марковић, М. М, Особе са инвалидитетом у Србији, Републички завод за статистику, 2014.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418 Стоп напуштању школе, Тим за социјално укључивање и смањење сиромаштва, 2016. Доступно на: http://socijalnoukljucivanje.gov.rs/wp-content/uploads/2016/06/stop_napustanju_skole.pdf,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419 Жене и мушкарци у Србији, оп. цит. страна 58.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420 Исто, страна 50.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421 Извештај о напретку у остваривању Циљева одрживог развоја до 2030. године у РС, Републички завод за статистику, Доступно на: http://sdg.indikatori.rs/media/1545/izvestaj-o-napretku-u-ostvarivanju-ciljeva-odrzivog-razvoja-do-2030-godine-u-srbiji_web.pdf,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422 Жене и мушкарци у Србији, оп. цит, страна 50.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423 Исто, страна 50.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424 Према методологији коју је развио Европски институт за родну равноправност, и оквиру домена знања мере се родне неједнакости у образовним достигнућима и партиципацији, као и сегрегација. Поддомен образовних достигнућа и партиципације приказује стање у погледу успеха жена и мушкараца да остваре високо образовање и да се укључе у формалне и неформалне облике образовања. Стање се мери преко два индикатора: процента жена и мушкараца који су стекли универзитетску диплому и учешћа жена и мушкараца у формалном и неформалном образовању и обуци током живота. Други поддомен је усмерен на родну сегрегацију у високом образовању, која се мери преко удела жена и мушкараца међу особама које студирају у областима образовања, здравља, социјалне заштите, хуманистичким наукама и уметности.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425 Индекс родне равноправности у РС, Мерење родне равноправности у Србији 2014, Тим за социјално укључивање и смањење сиромаштва Владе РС, 2016. страна 51.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426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427 Исто. страна 53.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428 Жене и мушкарци у Србији, оп. цит, страна 50.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429</w:t>
      </w:r>
      <w:r w:rsidRPr="00EF008E">
        <w:rPr>
          <w:rFonts w:ascii="Arial" w:hAnsi="Arial" w:cs="Arial"/>
          <w:i/>
          <w:color w:val="000000"/>
          <w:sz w:val="22"/>
          <w:szCs w:val="22"/>
          <w:lang w:val="sr-Cyrl-RS"/>
        </w:rPr>
        <w:tab/>
        <w:t>Доступно на: https://zuov.gov.rs/wp-content/uploads/2020/10/Prirucnik-prvi-ciklus-approved.pdf и https://zuov.gov.rs/wp-content/uploads/2020/10/Prirucnik-drugi-ciklus-approved.pdf.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430 Доступно на: https://zuov.gov.rs/wp-content/uploads/2020/12/gradjansko-srednja-skola.pdf.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431 Ђорић, Г., и др. Образовање за родну равноправност, Анализа наставног материјала за Грађанско васпитање, УНДП, 2010, страна 119.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432 Милинковић, М. Родне разлике у образовним исходима: студија добијених мера и тренутна ситуација у Европи, Универзитет у Београду, Филозофски факултет, Одељење за психологију; јануар 2014.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433 Захаријевски Стјепановић, Д. и др. Образовање за родну равноправност, Анализа наставног материјала за основну и средњу школу, 2010., страна 123.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434 Родна анализа наставних програма и уџбеника за српски језик од првог до четвртог разреда основне школе, Тим за социјално укључивање и смањење сиромаштва Владе РС,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435 Јарић, И. Јавни и скривени курикулуми средњошколске наставе социологије: образовне реформе у Србији (1960</w:t>
      </w:r>
      <w:r>
        <w:rPr>
          <w:rFonts w:ascii="Arial" w:hAnsi="Arial" w:cs="Arial"/>
          <w:i/>
          <w:color w:val="000000"/>
          <w:sz w:val="22"/>
          <w:szCs w:val="22"/>
          <w:lang w:val="sr-Cyrl-RS"/>
        </w:rPr>
        <w:t>-</w:t>
      </w:r>
      <w:r w:rsidRPr="00EF008E">
        <w:rPr>
          <w:rFonts w:ascii="Arial" w:hAnsi="Arial" w:cs="Arial"/>
          <w:i/>
          <w:color w:val="000000"/>
          <w:sz w:val="22"/>
          <w:szCs w:val="22"/>
          <w:lang w:val="sr-Cyrl-RS"/>
        </w:rPr>
        <w:t>2006), Универзитет у Београду, Филозофски факултет, 2012. страна 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436</w:t>
      </w:r>
      <w:r w:rsidRPr="00EF008E">
        <w:rPr>
          <w:rFonts w:ascii="Arial" w:hAnsi="Arial" w:cs="Arial"/>
          <w:i/>
          <w:color w:val="000000"/>
          <w:sz w:val="22"/>
          <w:szCs w:val="22"/>
          <w:lang w:val="sr-Cyrl-RS"/>
        </w:rPr>
        <w:tab/>
        <w:t>У Каталогу програма сталног стручног усавршавања наставника, васпитача и стручних сарадника за школску 2018/19, 2019/20. и 2020/21. годину одобрено је 19 програма из области родне равноправности и заштите од насиља и дискриминације. Усвојен је Каталог програма сталног стручног усавршавања наставника, васпитача и стручних сарадника за школску 2018/19, 2019/20. и 2020/21. годину. Укупно је 32 програма који се баве људским правима. У области унапређивања компетенција за грађанске вредности налази се седам програма, а 24 програма имају за циљ унапређивање капацитета наставника и других стручних сарадника за деловање у области заштите од родно заснованог насиља и дискриминације. Доступно на: https://zuov.gov.rs/katalog-programa-strucnog-usavrsavanja-za-skolsku-2018-2019-2019-2020-i-2020-2021-godinu/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437 Нпр. Група МОСТ </w:t>
      </w:r>
      <w:r>
        <w:rPr>
          <w:rFonts w:ascii="Arial" w:hAnsi="Arial" w:cs="Arial"/>
          <w:i/>
          <w:color w:val="000000"/>
          <w:sz w:val="22"/>
          <w:szCs w:val="22"/>
          <w:lang w:val="sr-Cyrl-RS"/>
        </w:rPr>
        <w:t>"</w:t>
      </w:r>
      <w:r w:rsidRPr="00EF008E">
        <w:rPr>
          <w:rFonts w:ascii="Arial" w:hAnsi="Arial" w:cs="Arial"/>
          <w:i/>
          <w:color w:val="000000"/>
          <w:sz w:val="22"/>
          <w:szCs w:val="22"/>
          <w:lang w:val="sr-Cyrl-RS"/>
        </w:rPr>
        <w:t>Родна равноправност</w:t>
      </w:r>
      <w:r>
        <w:rPr>
          <w:rFonts w:ascii="Arial" w:hAnsi="Arial" w:cs="Arial"/>
          <w:i/>
          <w:color w:val="000000"/>
          <w:sz w:val="22"/>
          <w:szCs w:val="22"/>
          <w:lang w:val="sr-Cyrl-RS"/>
        </w:rPr>
        <w:t>"</w:t>
      </w:r>
      <w:r w:rsidRPr="00EF008E">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438 Члан 4. Закона о високом образовању.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439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13/19.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440 Закон о Националном оквиру квалификација РС,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27/20.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441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13/19.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442</w:t>
      </w:r>
      <w:r w:rsidRPr="00EF008E">
        <w:rPr>
          <w:rFonts w:ascii="Arial" w:hAnsi="Arial" w:cs="Arial"/>
          <w:i/>
          <w:color w:val="000000"/>
          <w:sz w:val="22"/>
          <w:szCs w:val="22"/>
          <w:lang w:val="sr-Cyrl-RS"/>
        </w:rPr>
        <w:tab/>
        <w:t>Повереница за заштиту равноправности иницирала је 2018. године допуну Правилника о стандардима и поступку за акредитацију високошколских установа увођењем стандарда приступачности којима би се осигурало несметано кретање и приступ особа са инвалидитетом, стандарда који се односе на прилагођавање уџбеника, учила и помоћних наставних средстава, односно одговарајућих помагала асистивних технологија, у складу са Правилником о начину прилагођавањa садржаја и/или формата уџбеника и стандарда који се односе на свима доступан начин презентовања информација на сајтовима високошколских установа. Иницијатива за измену стандарда у поступку за акредитацију високошколских установа, 110-00-10/2018-02 од 1. новембра 2018. године. Доступно на: http://ravnopravnost.gov.rs/inicijativu-za-izmenu-standarda-u-postupku-za-akreditaciju-visokoskolskih-ustanova-dostavl%D1%98enu-nacionalnom-savetu-za-visoko-obrazovanje-i-nacionalnom-telu-za-akreditaciju-cir/ приступ 8.6.2021.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443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13/19.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444 Вујадиновић, Д., Петрушић, Н. Неопходност уродњавања студијских програма права и правничких предмета, Зборник Д. Вујадиновић, З. Антонијевић (ур.), Родна равноправност у високом образовању: концепти, праксе и изазови, Академска књига, 2019. стр. 303</w:t>
      </w:r>
      <w:r>
        <w:rPr>
          <w:rFonts w:ascii="Arial" w:hAnsi="Arial" w:cs="Arial"/>
          <w:i/>
          <w:color w:val="000000"/>
          <w:sz w:val="22"/>
          <w:szCs w:val="22"/>
          <w:lang w:val="sr-Cyrl-RS"/>
        </w:rPr>
        <w:t>-</w:t>
      </w:r>
      <w:r w:rsidRPr="00EF008E">
        <w:rPr>
          <w:rFonts w:ascii="Arial" w:hAnsi="Arial" w:cs="Arial"/>
          <w:i/>
          <w:color w:val="000000"/>
          <w:sz w:val="22"/>
          <w:szCs w:val="22"/>
          <w:lang w:val="sr-Cyrl-RS"/>
        </w:rPr>
        <w:t>324.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Имајући све ово у виду, јасно је да постоји добар стратешки и законски оквир за остваривање родне равноправности у високом образовању, али је неопходна родно сензитивна реформа високог образовања.</w:t>
      </w:r>
      <w:r w:rsidRPr="00EF008E">
        <w:rPr>
          <w:rFonts w:ascii="Arial" w:hAnsi="Arial" w:cs="Arial"/>
          <w:color w:val="000000"/>
          <w:sz w:val="22"/>
          <w:szCs w:val="22"/>
          <w:vertAlign w:val="superscript"/>
          <w:lang w:val="sr-Cyrl-RS"/>
        </w:rPr>
        <w:t>452</w:t>
      </w:r>
      <w:r w:rsidRPr="00EF008E">
        <w:rPr>
          <w:rFonts w:ascii="Arial" w:hAnsi="Arial" w:cs="Arial"/>
          <w:color w:val="000000"/>
          <w:sz w:val="22"/>
          <w:szCs w:val="22"/>
          <w:lang w:val="sr-Cyrl-RS"/>
        </w:rPr>
        <w:t xml:space="preserve"> Потребно је да се промене дешавају споља, али и изнутра. То значи да је неопходно да руководства установа високог образовања едукују наставне кадрове у области родне равноправности, унапређују наставне садржаје и материјале и тако унапређују квалитет знања и доприносе промени друштвених односа.</w:t>
      </w:r>
      <w:r w:rsidRPr="00EF008E">
        <w:rPr>
          <w:rFonts w:ascii="Arial" w:hAnsi="Arial" w:cs="Arial"/>
          <w:color w:val="000000"/>
          <w:sz w:val="22"/>
          <w:szCs w:val="22"/>
          <w:vertAlign w:val="superscript"/>
          <w:lang w:val="sr-Cyrl-RS"/>
        </w:rPr>
        <w:t>453</w:t>
      </w:r>
      <w:r w:rsidRPr="00EF008E">
        <w:rPr>
          <w:rFonts w:ascii="Arial" w:hAnsi="Arial" w:cs="Arial"/>
          <w:color w:val="000000"/>
          <w:sz w:val="22"/>
          <w:szCs w:val="22"/>
          <w:lang w:val="sr-Cyrl-RS"/>
        </w:rPr>
        <w:t xml:space="preserve"> Такође, потребно је установити обавезу преиспитивања наставних садржаја и уџбеника из родне перспективе, као и уважавање доприноса жена развоју дисциплине из родне перспективе, уз афирмацију студија рода.</w:t>
      </w:r>
      <w:r w:rsidRPr="00EF008E">
        <w:rPr>
          <w:rFonts w:ascii="Arial" w:hAnsi="Arial" w:cs="Arial"/>
          <w:color w:val="000000"/>
          <w:sz w:val="22"/>
          <w:szCs w:val="22"/>
          <w:vertAlign w:val="superscript"/>
          <w:lang w:val="sr-Cyrl-RS"/>
        </w:rPr>
        <w:t>454</w:t>
      </w:r>
      <w:r w:rsidRPr="00EF008E">
        <w:rPr>
          <w:rFonts w:ascii="Arial" w:hAnsi="Arial" w:cs="Arial"/>
          <w:color w:val="000000"/>
          <w:sz w:val="22"/>
          <w:szCs w:val="22"/>
          <w:lang w:val="sr-Cyrl-RS"/>
        </w:rPr>
        <w:t xml:space="preserve"> Неопходно је да се уведу мере за унапређивање окружења и превазилажење тзв. </w:t>
      </w:r>
      <w:r>
        <w:rPr>
          <w:rFonts w:ascii="Arial" w:hAnsi="Arial" w:cs="Arial"/>
          <w:color w:val="000000"/>
          <w:sz w:val="22"/>
          <w:szCs w:val="22"/>
          <w:lang w:val="sr-Cyrl-RS"/>
        </w:rPr>
        <w:t>"</w:t>
      </w:r>
      <w:r w:rsidRPr="00EF008E">
        <w:rPr>
          <w:rFonts w:ascii="Arial" w:hAnsi="Arial" w:cs="Arial"/>
          <w:color w:val="000000"/>
          <w:sz w:val="22"/>
          <w:szCs w:val="22"/>
          <w:lang w:val="sr-Cyrl-RS"/>
        </w:rPr>
        <w:t>скривеног курикулума</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репродуковања стереотипа и предрасуда у понашању и дискурсу међу наставним особљем, током наставе и у односима са студентима, као и да се успостави правни оквир за заштиту од родно засноване дискриминације и насиља.</w:t>
      </w:r>
      <w:r w:rsidRPr="00EF008E">
        <w:rPr>
          <w:rFonts w:ascii="Arial" w:hAnsi="Arial" w:cs="Arial"/>
          <w:color w:val="000000"/>
          <w:sz w:val="22"/>
          <w:szCs w:val="22"/>
          <w:vertAlign w:val="superscript"/>
          <w:lang w:val="sr-Cyrl-RS"/>
        </w:rPr>
        <w:t>455</w:t>
      </w:r>
      <w:r w:rsidRPr="00EF008E">
        <w:rPr>
          <w:rFonts w:ascii="Arial" w:hAnsi="Arial" w:cs="Arial"/>
          <w:color w:val="000000"/>
          <w:sz w:val="22"/>
          <w:szCs w:val="22"/>
          <w:lang w:val="sr-Cyrl-RS"/>
        </w:rPr>
        <w:t xml:space="preserve"> У вези са родно заснованом дискриминацијом и насиљем, истраживање из 2019. године показало је да сваки четврти студент сматра да добацивање девојкама на улици није ништа страшно, 43% студената сматра да су девојке саме криве када их неко узнемирава због њиховог провокативног облачења, док сваки пети студент сматра да принудни секс у браку није силовање.</w:t>
      </w:r>
      <w:r w:rsidRPr="00EF008E">
        <w:rPr>
          <w:rFonts w:ascii="Arial" w:hAnsi="Arial" w:cs="Arial"/>
          <w:color w:val="000000"/>
          <w:sz w:val="22"/>
          <w:szCs w:val="22"/>
          <w:vertAlign w:val="superscript"/>
          <w:lang w:val="sr-Cyrl-RS"/>
        </w:rPr>
        <w:t>456</w:t>
      </w:r>
      <w:r w:rsidRPr="00EF008E">
        <w:rPr>
          <w:rFonts w:ascii="Arial" w:hAnsi="Arial" w:cs="Arial"/>
          <w:color w:val="000000"/>
          <w:sz w:val="22"/>
          <w:szCs w:val="22"/>
          <w:lang w:val="sr-Cyrl-RS"/>
        </w:rPr>
        <w:t xml:space="preserve"> Поједини факултети су почели да усвајају општа акта о забрани сексуалног узнемиравања и уцењивања,</w:t>
      </w:r>
      <w:r w:rsidRPr="00EF008E">
        <w:rPr>
          <w:rFonts w:ascii="Arial" w:hAnsi="Arial" w:cs="Arial"/>
          <w:color w:val="000000"/>
          <w:sz w:val="22"/>
          <w:szCs w:val="22"/>
          <w:vertAlign w:val="superscript"/>
          <w:lang w:val="sr-Cyrl-RS"/>
        </w:rPr>
        <w:t>457</w:t>
      </w:r>
      <w:r w:rsidRPr="00EF008E">
        <w:rPr>
          <w:rFonts w:ascii="Arial" w:hAnsi="Arial" w:cs="Arial"/>
          <w:color w:val="000000"/>
          <w:sz w:val="22"/>
          <w:szCs w:val="22"/>
          <w:lang w:val="sr-Cyrl-RS"/>
        </w:rPr>
        <w:t xml:space="preserve"> што је позитиван пример, али је неопходно ова питања институционализовати на нивоу универзитета и не остављати могућност факултетима појединачно да изаберу да ли ће усвојити сличне опште акте.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Иако су акциони планови кључни механизам за увођење родне перспективе у у високо образовање,</w:t>
      </w:r>
      <w:r w:rsidRPr="00EF008E">
        <w:rPr>
          <w:rFonts w:ascii="Arial" w:hAnsi="Arial" w:cs="Arial"/>
          <w:color w:val="000000"/>
          <w:sz w:val="22"/>
          <w:szCs w:val="22"/>
          <w:vertAlign w:val="superscript"/>
          <w:lang w:val="sr-Cyrl-RS"/>
        </w:rPr>
        <w:t>458</w:t>
      </w:r>
      <w:r w:rsidRPr="00EF008E">
        <w:rPr>
          <w:rFonts w:ascii="Arial" w:hAnsi="Arial" w:cs="Arial"/>
          <w:color w:val="000000"/>
          <w:sz w:val="22"/>
          <w:szCs w:val="22"/>
          <w:lang w:val="sr-Cyrl-RS"/>
        </w:rPr>
        <w:t xml:space="preserve"> на универзитетима у Републици Србији не постоје такви акциони планови. Изузетак је Универзитет у Београду, који је 2019. године усвојио План за постизање родне равноправности.</w:t>
      </w:r>
      <w:r w:rsidRPr="00EF008E">
        <w:rPr>
          <w:rFonts w:ascii="Arial" w:hAnsi="Arial" w:cs="Arial"/>
          <w:color w:val="000000"/>
          <w:sz w:val="22"/>
          <w:szCs w:val="22"/>
          <w:vertAlign w:val="superscript"/>
          <w:lang w:val="sr-Cyrl-RS"/>
        </w:rPr>
        <w:t>459</w:t>
      </w:r>
      <w:r w:rsidRPr="00EF008E">
        <w:rPr>
          <w:rFonts w:ascii="Arial" w:hAnsi="Arial" w:cs="Arial"/>
          <w:color w:val="000000"/>
          <w:sz w:val="22"/>
          <w:szCs w:val="22"/>
          <w:lang w:val="sr-Cyrl-RS"/>
        </w:rPr>
        <w:t xml:space="preserve"> Њиме је као општи циљ утврђено покретање процеса развоја стратегије родне равноправности, а као приоритетне области деловања идентификоване су: 1) управљање људским ресурсима; 2) доношење одлука и 3) садржај студијских програма и истраживања. У плану је констатовано да још није установљен систем за праћење академске каријере жена и мушкараца, који би узео у обзир различите факторе који могу допринети неједнакости. Утврђена је обавеза Универзитета да: успостави институционалне капацитете за идентификацију релевантних података и њихово стално одржавање, успостављање систематских процедура и информационих система за побољшање прикупљања података о трендовима када је у питању родни састав наставног и истраживачког особља, да јача видљивост родне равноправности и ради на подизању свести о значају и предностима родне равнотеже на свим нивоима, промовише родну разноврсност унутар академских структура, повећа учешће жена у органима одлучивања и процесима доношења одлука, ради на решавању имплицитних предрасуда и стереотипа о женама на утицајним положајима, успостави базу података о свим студијским програмима и појединим предметима који се фокусирају на родну равноправност, и ради на развијању одговарајућих индикатора за праћење стања родне равноправности у истраживачком садржају и наставним плановима и програмима високог образовања. Правни факултет Универзитета у Београду припремио је Нацрт акционог плана за постизање родне равноправности, али он још увек није усвојен.</w:t>
      </w:r>
      <w:r w:rsidRPr="00EF008E">
        <w:rPr>
          <w:rFonts w:ascii="Arial" w:hAnsi="Arial" w:cs="Arial"/>
          <w:color w:val="000000"/>
          <w:sz w:val="22"/>
          <w:szCs w:val="22"/>
          <w:vertAlign w:val="superscript"/>
          <w:lang w:val="sr-Cyrl-RS"/>
        </w:rPr>
        <w:t>460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Акциони планови за остваривање родне равноправности су од кључне важности за интегрисање родне перспективе, јер обезбеђују дугорочни и системски приступ решавању родних неједнакости и трансформацији друштвених пракси и хијерархијских родних односа моћи унутар академских институција.</w:t>
      </w:r>
      <w:r w:rsidRPr="00EF008E">
        <w:rPr>
          <w:rFonts w:ascii="Arial" w:hAnsi="Arial" w:cs="Arial"/>
          <w:color w:val="000000"/>
          <w:sz w:val="22"/>
          <w:szCs w:val="22"/>
          <w:vertAlign w:val="superscript"/>
          <w:lang w:val="sr-Cyrl-RS"/>
        </w:rPr>
        <w:t>461</w:t>
      </w:r>
      <w:r w:rsidRPr="00EF008E">
        <w:rPr>
          <w:rFonts w:ascii="Arial" w:hAnsi="Arial" w:cs="Arial"/>
          <w:color w:val="000000"/>
          <w:sz w:val="22"/>
          <w:szCs w:val="22"/>
          <w:lang w:val="sr-Cyrl-RS"/>
        </w:rPr>
        <w:t xml:space="preserve"> На потребу њиховог усвајања указао је и Повереник за заштиту равноправности, иницирајући измену стандарда за акредитацију високошколских установа и студијских програма, увођењем обавезе ових установа да усвоје стратегију и пратећи АП за постизање родне равноправности, са мерама за откривање и укидање родне неравноправности и праћење њихове примене, као и обавезе да студентима пруже обуку о значају родне равноправност, кроз постојеће наставне предмете, семинаре, дебате, радионице, курсеве и на други погодан начин.</w:t>
      </w:r>
      <w:r w:rsidRPr="00EF008E">
        <w:rPr>
          <w:rFonts w:ascii="Arial" w:hAnsi="Arial" w:cs="Arial"/>
          <w:color w:val="000000"/>
          <w:sz w:val="22"/>
          <w:szCs w:val="22"/>
          <w:vertAlign w:val="superscript"/>
          <w:lang w:val="sr-Cyrl-RS"/>
        </w:rPr>
        <w:t>462</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5.1.2.2. Наука и истраживања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ЕУ препознала је науку и истраживања као кључне носиоце развојних политика који доприносе економском расту и стварању радних места. Најважнији интелектуални ресурс</w:t>
      </w:r>
      <w:r>
        <w:rPr>
          <w:rFonts w:ascii="Arial" w:hAnsi="Arial" w:cs="Arial"/>
          <w:color w:val="000000"/>
          <w:sz w:val="22"/>
          <w:szCs w:val="22"/>
          <w:lang w:val="sr-Cyrl-RS"/>
        </w:rPr>
        <w:t>-</w:t>
      </w:r>
      <w:r w:rsidRPr="00EF008E">
        <w:rPr>
          <w:rFonts w:ascii="Arial" w:hAnsi="Arial" w:cs="Arial"/>
          <w:color w:val="000000"/>
          <w:sz w:val="22"/>
          <w:szCs w:val="22"/>
          <w:lang w:val="sr-Cyrl-RS"/>
        </w:rPr>
        <w:t>знање, све више добија на значају, док се постојање стабилног истраживачког система посматра као покретачка снага која доприноси унапређењу квалитета живота у модерном друштву.</w:t>
      </w:r>
      <w:r w:rsidRPr="00EF008E">
        <w:rPr>
          <w:rFonts w:ascii="Arial" w:hAnsi="Arial" w:cs="Arial"/>
          <w:color w:val="000000"/>
          <w:sz w:val="22"/>
          <w:szCs w:val="22"/>
          <w:vertAlign w:val="superscript"/>
          <w:lang w:val="sr-Cyrl-RS"/>
        </w:rPr>
        <w:t>463</w:t>
      </w:r>
      <w:r w:rsidRPr="00EF008E">
        <w:rPr>
          <w:rFonts w:ascii="Arial" w:hAnsi="Arial" w:cs="Arial"/>
          <w:color w:val="000000"/>
          <w:sz w:val="22"/>
          <w:szCs w:val="22"/>
          <w:lang w:val="sr-Cyrl-RS"/>
        </w:rPr>
        <w:t xml:space="preserve"> ЕУ улаже све више у развој и имплементацију стратегија и програма који обезбеђују квалитетан оквир за научна истраживања и развој иновација, у циљу подстицања економског раста, односно, плана да ЕУ постане најконкурентнија и најдинамичнија светска економија заснована на паметним, одрживим и инклузивним принципима.</w:t>
      </w:r>
      <w:r w:rsidRPr="00EF008E">
        <w:rPr>
          <w:rFonts w:ascii="Arial" w:hAnsi="Arial" w:cs="Arial"/>
          <w:color w:val="000000"/>
          <w:sz w:val="22"/>
          <w:szCs w:val="22"/>
          <w:vertAlign w:val="superscript"/>
          <w:lang w:val="sr-Cyrl-RS"/>
        </w:rPr>
        <w:t>464</w:t>
      </w:r>
      <w:r w:rsidRPr="00EF008E">
        <w:rPr>
          <w:rFonts w:ascii="Arial" w:hAnsi="Arial" w:cs="Arial"/>
          <w:color w:val="000000"/>
          <w:sz w:val="22"/>
          <w:szCs w:val="22"/>
          <w:lang w:val="sr-Cyrl-RS"/>
        </w:rPr>
        <w:t xml:space="preserve"> Средства која се улажу у науку и истраживања постепено се повећавају, а планирано је да износе 3% БДП земаља чланица. Стратегија Европа 2020 допринела је креирању нових и побољшању постојећих програма ЕУ за науку и истраживања, као и даљи развој Европског научног простора, кроз успостављање Иновативне уније, иницијативе која омогућава државама чланицама да обједине све научне капацитете и унапреде комуникацију и сарадњу између научника и истраживача. Надаље, финансијски инструмент Хоризонт 2020 је највећи програм ЕУ намењен истраживању и иновацијама (вредност око 80 милијарди евра), чији је циљ уклањање препрека иновацијама и олакшавање сарадње између јавног и приватног сектора у креирању и испоручивању иновација, чиме се успоставља заједнички истраживачки простор и унапређују капацитети за формирање истраживачких мрежа.</w:t>
      </w:r>
      <w:r w:rsidRPr="00EF008E">
        <w:rPr>
          <w:rFonts w:ascii="Arial" w:hAnsi="Arial" w:cs="Arial"/>
          <w:color w:val="000000"/>
          <w:sz w:val="22"/>
          <w:szCs w:val="22"/>
          <w:vertAlign w:val="superscript"/>
          <w:lang w:val="sr-Cyrl-RS"/>
        </w:rPr>
        <w:t>465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Република Србија је 2014. године отворила Поглавље 25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Наука и истраживање, које је 2016. године привремено затворено, уз констатацију да за ово поглавље није потребно транспоновање правних тековина ЕУ у национално законодавство, с обзиром на уопштено добар ниво припремљености Републике Србије у овим областима, као и на ограничени обим и посебну природу обавеза које проистичу из правних тековина ЕУ у оквиру овог поглавља.</w:t>
      </w:r>
      <w:r w:rsidRPr="00EF008E">
        <w:rPr>
          <w:rFonts w:ascii="Arial" w:hAnsi="Arial" w:cs="Arial"/>
          <w:color w:val="000000"/>
          <w:sz w:val="22"/>
          <w:szCs w:val="22"/>
          <w:vertAlign w:val="superscript"/>
          <w:lang w:val="sr-Cyrl-RS"/>
        </w:rPr>
        <w:t>466</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Напоменуто је и да поглавље може бити поново отворено све до краја приступних преговора. У овом документу ЕУ је констатовано да су политике истраживања и иновација у Републици Србији развијене, да постоје институционални капацитети, да је Република Србија у доброј позицији да одговори на приоритете Европског истраживачког простора, те да је Република Србија у потпуности приступила Оквирном програму Хоризонт 2020 (од 1. јануара 2014. године).</w:t>
      </w:r>
      <w:r w:rsidRPr="00EF008E">
        <w:rPr>
          <w:rFonts w:ascii="Arial" w:hAnsi="Arial" w:cs="Arial"/>
          <w:color w:val="000000"/>
          <w:sz w:val="22"/>
          <w:szCs w:val="22"/>
          <w:vertAlign w:val="superscript"/>
          <w:lang w:val="sr-Cyrl-RS"/>
        </w:rPr>
        <w:t>467</w:t>
      </w:r>
      <w:r w:rsidRPr="00EF008E">
        <w:rPr>
          <w:rFonts w:ascii="Arial" w:hAnsi="Arial" w:cs="Arial"/>
          <w:color w:val="000000"/>
          <w:sz w:val="22"/>
          <w:szCs w:val="22"/>
          <w:lang w:val="sr-Cyrl-RS"/>
        </w:rPr>
        <w:t xml:space="preserve"> Међутим, указано је да удео инвестиција у истраживање и развој у Републици Србији стагнира између 0,7 и 0,9% БДП, уз посвећеност Републике Србије да инвестира 1,5% БДП у истраживачке активности до 2020. године. Због тога ЕУ подстиче Републику Србију да повећа јавно финансирање за истраживање и развој. У контексту Европског истраживачког простора, идентификовано шест приоритета деловања: делотворнији национални истраживачки систем, оптимална транснационална сарадња и конкуренција, отворено тржиште рада за истраживаче, родна равноправност и интеграција начела родне равноправности у истраживању, оптимална циркулација, приступ и пренос научних знања, укључујући преко дигиталног ERA и међународна сарадња.</w:t>
      </w:r>
      <w:r w:rsidRPr="00EF008E">
        <w:rPr>
          <w:rFonts w:ascii="Arial" w:hAnsi="Arial" w:cs="Arial"/>
          <w:color w:val="000000"/>
          <w:sz w:val="22"/>
          <w:szCs w:val="22"/>
          <w:vertAlign w:val="superscript"/>
          <w:lang w:val="sr-Cyrl-RS"/>
        </w:rPr>
        <w:t>468</w:t>
      </w:r>
      <w:r w:rsidRPr="00EF008E">
        <w:rPr>
          <w:rFonts w:ascii="Arial" w:hAnsi="Arial" w:cs="Arial"/>
          <w:color w:val="000000"/>
          <w:sz w:val="22"/>
          <w:szCs w:val="22"/>
          <w:lang w:val="sr-Cyrl-RS"/>
        </w:rPr>
        <w:t xml:space="preserve"> Иако је родна равноправност и интеграција начела родне равноправности један од шест приоритета деловања, у преговарачкој позицији Републике Србије за ово поглавље то није експлицитно наведено.</w:t>
      </w:r>
      <w:r w:rsidRPr="00EF008E">
        <w:rPr>
          <w:rFonts w:ascii="Arial" w:hAnsi="Arial" w:cs="Arial"/>
          <w:color w:val="000000"/>
          <w:sz w:val="22"/>
          <w:szCs w:val="22"/>
          <w:vertAlign w:val="superscript"/>
          <w:lang w:val="sr-Cyrl-RS"/>
        </w:rPr>
        <w:t>469</w:t>
      </w:r>
      <w:r w:rsidRPr="00EF008E">
        <w:rPr>
          <w:rFonts w:ascii="Arial" w:hAnsi="Arial" w:cs="Arial"/>
          <w:color w:val="000000"/>
          <w:sz w:val="22"/>
          <w:szCs w:val="22"/>
          <w:lang w:val="sr-Cyrl-RS"/>
        </w:rPr>
        <w:t xml:space="preserve"> У документу се упућује на Стратегију научног и технолошког развоја Републике Србије у периоду од 2016. до 2020. године </w:t>
      </w:r>
      <w:r>
        <w:rPr>
          <w:rFonts w:ascii="Arial" w:hAnsi="Arial" w:cs="Arial"/>
          <w:color w:val="000000"/>
          <w:sz w:val="22"/>
          <w:szCs w:val="22"/>
          <w:lang w:val="sr-Cyrl-RS"/>
        </w:rPr>
        <w:t>"</w:t>
      </w:r>
      <w:r w:rsidRPr="00EF008E">
        <w:rPr>
          <w:rFonts w:ascii="Arial" w:hAnsi="Arial" w:cs="Arial"/>
          <w:color w:val="000000"/>
          <w:sz w:val="22"/>
          <w:szCs w:val="22"/>
          <w:lang w:val="sr-Cyrl-RS"/>
        </w:rPr>
        <w:t>Истраживање за иновације</w:t>
      </w:r>
      <w:r>
        <w:rPr>
          <w:rFonts w:ascii="Arial" w:hAnsi="Arial" w:cs="Arial"/>
          <w:color w:val="000000"/>
          <w:sz w:val="22"/>
          <w:szCs w:val="22"/>
          <w:lang w:val="sr-Cyrl-RS"/>
        </w:rPr>
        <w:t>"</w:t>
      </w:r>
      <w:r w:rsidRPr="00EF008E">
        <w:rPr>
          <w:rFonts w:ascii="Arial" w:hAnsi="Arial" w:cs="Arial"/>
          <w:color w:val="000000"/>
          <w:sz w:val="22"/>
          <w:szCs w:val="22"/>
          <w:lang w:val="sr-Cyrl-RS"/>
        </w:rPr>
        <w:t>,</w:t>
      </w:r>
      <w:r w:rsidRPr="00EF008E">
        <w:rPr>
          <w:rFonts w:ascii="Arial" w:hAnsi="Arial" w:cs="Arial"/>
          <w:color w:val="000000"/>
          <w:sz w:val="22"/>
          <w:szCs w:val="22"/>
          <w:vertAlign w:val="superscript"/>
          <w:lang w:val="sr-Cyrl-RS"/>
        </w:rPr>
        <w:t>470</w:t>
      </w:r>
      <w:r w:rsidRPr="00EF008E">
        <w:rPr>
          <w:rFonts w:ascii="Arial" w:hAnsi="Arial" w:cs="Arial"/>
          <w:color w:val="000000"/>
          <w:sz w:val="22"/>
          <w:szCs w:val="22"/>
          <w:lang w:val="sr-Cyrl-RS"/>
        </w:rPr>
        <w:t xml:space="preserve"> у којој је један од посебних циљева: осигурање изврсности и доступности људских ресурса за науку, привреду и друштвене делатности. Међу мерама које се користе за постизање овог циља наведено је и унапређење родне и мањинске равноправности у науци и иновацијама, али нису одређене активности којима ће се ова мера спроводити, осим што је наведено да ће се унапредити родна и мањинска равноправност на свим нивоима одлучивања. У Републици Србији је почетком 2021. године усвојена нова Стратегија научног и технолошког развоја Републике Србије за период од 2021. до 2025. године </w:t>
      </w:r>
      <w:r>
        <w:rPr>
          <w:rFonts w:ascii="Arial" w:hAnsi="Arial" w:cs="Arial"/>
          <w:color w:val="000000"/>
          <w:sz w:val="22"/>
          <w:szCs w:val="22"/>
          <w:lang w:val="sr-Cyrl-RS"/>
        </w:rPr>
        <w:t>"</w:t>
      </w:r>
      <w:r w:rsidRPr="00EF008E">
        <w:rPr>
          <w:rFonts w:ascii="Arial" w:hAnsi="Arial" w:cs="Arial"/>
          <w:color w:val="000000"/>
          <w:sz w:val="22"/>
          <w:szCs w:val="22"/>
          <w:lang w:val="sr-Cyrl-RS"/>
        </w:rPr>
        <w:t>Моћ знања</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са АП (2021</w:t>
      </w:r>
      <w:r>
        <w:rPr>
          <w:rFonts w:ascii="Arial" w:hAnsi="Arial" w:cs="Arial"/>
          <w:color w:val="000000"/>
          <w:sz w:val="22"/>
          <w:szCs w:val="22"/>
          <w:lang w:val="sr-Cyrl-RS"/>
        </w:rPr>
        <w:t>-</w:t>
      </w:r>
      <w:r w:rsidRPr="00EF008E">
        <w:rPr>
          <w:rFonts w:ascii="Arial" w:hAnsi="Arial" w:cs="Arial"/>
          <w:color w:val="000000"/>
          <w:sz w:val="22"/>
          <w:szCs w:val="22"/>
          <w:lang w:val="sr-Cyrl-RS"/>
        </w:rPr>
        <w:t>2023).</w:t>
      </w:r>
      <w:r w:rsidRPr="00EF008E">
        <w:rPr>
          <w:rFonts w:ascii="Arial" w:hAnsi="Arial" w:cs="Arial"/>
          <w:color w:val="000000"/>
          <w:sz w:val="22"/>
          <w:szCs w:val="22"/>
          <w:vertAlign w:val="superscript"/>
          <w:lang w:val="sr-Cyrl-RS"/>
        </w:rPr>
        <w:t>471</w:t>
      </w:r>
      <w:r w:rsidRPr="00EF008E">
        <w:rPr>
          <w:rFonts w:ascii="Arial" w:hAnsi="Arial" w:cs="Arial"/>
          <w:color w:val="000000"/>
          <w:sz w:val="22"/>
          <w:szCs w:val="22"/>
          <w:lang w:val="sr-Cyrl-RS"/>
        </w:rPr>
        <w:t xml:space="preserve"> У делу који се односи на остваривање циљева из претходне стратегије, наведено је да су постигнута четири кључна успеха: успостављање институционалног финансирања; успостављање Фонда за науку Републике Србије; значајно повећање буџета за науку и унапређена иновациона инфраструктура. Као слабости наводе се неадекватно идентификовање приоритета, амбициозност и недовољна фокусираност Стратегије.</w:t>
      </w:r>
      <w:r w:rsidRPr="00EF008E">
        <w:rPr>
          <w:rFonts w:ascii="Arial" w:hAnsi="Arial" w:cs="Arial"/>
          <w:color w:val="000000"/>
          <w:sz w:val="22"/>
          <w:szCs w:val="22"/>
          <w:vertAlign w:val="superscript"/>
          <w:lang w:val="sr-Cyrl-RS"/>
        </w:rPr>
        <w:t>472</w:t>
      </w:r>
      <w:r w:rsidRPr="00EF008E">
        <w:rPr>
          <w:rFonts w:ascii="Arial" w:hAnsi="Arial" w:cs="Arial"/>
          <w:color w:val="000000"/>
          <w:sz w:val="22"/>
          <w:szCs w:val="22"/>
          <w:lang w:val="sr-Cyrl-RS"/>
        </w:rPr>
        <w:t xml:space="preserve"> За меру која се односи на унапређење родне и мањинске равноправности наведено је да је делимично остварена, без икаквих даљих детаља. Родна равноправност је скоро потпуно изостављена из нове Стратегије научног и технолошког развоја Републике Србије. Као општи циљ ове стратегије наведено је следеће: научно-технолошки и иновациони систем доприноси убрзаном развоју Републике Србије кроз унапређење квалитета и ефикасности науке, технолошког развоја и иновација и даље интеграције у Европски истраживачки простор, као и да стратегија представља и националну Мапу пута Републике Србије за интеграцију у Европски истраживачки простор, због чега је реферисано на приоритете, који укључују родну равноправност и на руководећим позицијама и развoј политике за родну равноправност у истраживачким организацијама. Међутим, принцип родне равноправности није разрађен ни у оквиру посебних циљева, ни у оквиру мера и активности. Као позитиван пример наводимо усвајање Акционог плана за унапређење родне равноправности, који је 27. маја 2021. године усвојио Математички институт Српске академије наука и уметности.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Закон о науци и истраживањима,</w:t>
      </w:r>
      <w:r w:rsidRPr="00EF008E">
        <w:rPr>
          <w:rFonts w:ascii="Arial" w:hAnsi="Arial" w:cs="Arial"/>
          <w:color w:val="000000"/>
          <w:sz w:val="22"/>
          <w:szCs w:val="22"/>
          <w:vertAlign w:val="superscript"/>
          <w:lang w:val="sr-Cyrl-RS"/>
        </w:rPr>
        <w:t>473</w:t>
      </w:r>
      <w:r w:rsidRPr="00EF008E">
        <w:rPr>
          <w:rFonts w:ascii="Arial" w:hAnsi="Arial" w:cs="Arial"/>
          <w:color w:val="000000"/>
          <w:sz w:val="22"/>
          <w:szCs w:val="22"/>
          <w:lang w:val="sr-Cyrl-RS"/>
        </w:rPr>
        <w:t xml:space="preserve"> поред одредбе која регулише коришћење родно осетљиве терминологије за све положаје, професије, занимања и звања,</w:t>
      </w:r>
      <w:r w:rsidRPr="00EF008E">
        <w:rPr>
          <w:rFonts w:ascii="Arial" w:hAnsi="Arial" w:cs="Arial"/>
          <w:color w:val="000000"/>
          <w:sz w:val="22"/>
          <w:szCs w:val="22"/>
          <w:vertAlign w:val="superscript"/>
          <w:lang w:val="sr-Cyrl-RS"/>
        </w:rPr>
        <w:t>474</w:t>
      </w:r>
      <w:r w:rsidRPr="00EF008E">
        <w:rPr>
          <w:rFonts w:ascii="Arial" w:hAnsi="Arial" w:cs="Arial"/>
          <w:color w:val="000000"/>
          <w:sz w:val="22"/>
          <w:szCs w:val="22"/>
          <w:lang w:val="sr-Cyrl-RS"/>
        </w:rPr>
        <w:t xml:space="preserve"> као једно од начела на којима се заснивају наука и истраживања, наведено је и начело родне равноправности у науци и истраживањима и органима одлучивања</w:t>
      </w:r>
      <w:r w:rsidRPr="00EF008E">
        <w:rPr>
          <w:rFonts w:ascii="Arial" w:hAnsi="Arial" w:cs="Arial"/>
          <w:color w:val="000000"/>
          <w:sz w:val="22"/>
          <w:szCs w:val="22"/>
          <w:vertAlign w:val="superscript"/>
          <w:lang w:val="sr-Cyrl-RS"/>
        </w:rPr>
        <w:t>475</w:t>
      </w:r>
      <w:r w:rsidRPr="00EF008E">
        <w:rPr>
          <w:rFonts w:ascii="Arial" w:hAnsi="Arial" w:cs="Arial"/>
          <w:color w:val="000000"/>
          <w:sz w:val="22"/>
          <w:szCs w:val="22"/>
          <w:lang w:val="sr-Cyrl-RS"/>
        </w:rPr>
        <w:t xml:space="preserve"> које није ближе разрађено. Поред тога, прописано је да се евиденција о истраживачима води, између осталог и по полу,</w:t>
      </w:r>
      <w:r w:rsidRPr="00EF008E">
        <w:rPr>
          <w:rFonts w:ascii="Arial" w:hAnsi="Arial" w:cs="Arial"/>
          <w:color w:val="000000"/>
          <w:sz w:val="22"/>
          <w:szCs w:val="22"/>
          <w:vertAlign w:val="superscript"/>
          <w:lang w:val="sr-Cyrl-RS"/>
        </w:rPr>
        <w:t>476</w:t>
      </w:r>
      <w:r w:rsidRPr="00EF008E">
        <w:rPr>
          <w:rFonts w:ascii="Arial" w:hAnsi="Arial" w:cs="Arial"/>
          <w:color w:val="000000"/>
          <w:sz w:val="22"/>
          <w:szCs w:val="22"/>
          <w:lang w:val="sr-Cyrl-RS"/>
        </w:rPr>
        <w:t xml:space="preserve"> као и једна посебна мера којом се истраживачицама омогућава да поднесу захтев да им мирују рокови за избор у звање док су на породиљском одсуству, те да се тај период не урачунава у рок за избор или реизбор.</w:t>
      </w:r>
      <w:r w:rsidRPr="00EF008E">
        <w:rPr>
          <w:rFonts w:ascii="Arial" w:hAnsi="Arial" w:cs="Arial"/>
          <w:color w:val="000000"/>
          <w:sz w:val="22"/>
          <w:szCs w:val="22"/>
          <w:vertAlign w:val="superscript"/>
          <w:lang w:val="sr-Cyrl-RS"/>
        </w:rPr>
        <w:t>477</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Имајући у виду стратешки и законски оквир који се односи на родну равноправност у науци и истраживањима, може се закључити да успркос постојању солидног правног оквира, има места за побољшања. Политика једнаких могућности није доследно операционализована у прописима који се односе на науку и истраживања, јер недостаје сет посебних мера усмерених на превазилажење родних неравноправности у науци, посебно у вези са каријером и напредовањем научница, успостављањем родног баланса у истраживачким тимовима, управљачким и надзорним телима, као и у вези са интегрисањем родне димензије у садржаје истраживања.</w:t>
      </w:r>
      <w:r w:rsidRPr="00EF008E">
        <w:rPr>
          <w:rFonts w:ascii="Arial" w:hAnsi="Arial" w:cs="Arial"/>
          <w:color w:val="000000"/>
          <w:sz w:val="22"/>
          <w:szCs w:val="22"/>
          <w:vertAlign w:val="superscript"/>
          <w:lang w:val="sr-Cyrl-RS"/>
        </w:rPr>
        <w:t>478</w:t>
      </w:r>
      <w:r w:rsidRPr="00EF008E">
        <w:rPr>
          <w:rFonts w:ascii="Arial" w:hAnsi="Arial" w:cs="Arial"/>
          <w:color w:val="000000"/>
          <w:sz w:val="22"/>
          <w:szCs w:val="22"/>
          <w:lang w:val="sr-Cyrl-RS"/>
        </w:rPr>
        <w:t xml:space="preserve"> Стратегије и закони нису међусобно усклађени, што је нарочито видљиво у вези са посебним мерама планираним у стратегијама, које се не налазе у законима,</w:t>
      </w:r>
      <w:r w:rsidRPr="00EF008E">
        <w:rPr>
          <w:rFonts w:ascii="Arial" w:hAnsi="Arial" w:cs="Arial"/>
          <w:color w:val="000000"/>
          <w:sz w:val="22"/>
          <w:szCs w:val="22"/>
          <w:vertAlign w:val="superscript"/>
          <w:lang w:val="sr-Cyrl-RS"/>
        </w:rPr>
        <w:t>479</w:t>
      </w:r>
      <w:r w:rsidRPr="00EF008E">
        <w:rPr>
          <w:rFonts w:ascii="Arial" w:hAnsi="Arial" w:cs="Arial"/>
          <w:color w:val="000000"/>
          <w:sz w:val="22"/>
          <w:szCs w:val="22"/>
          <w:lang w:val="sr-Cyrl-RS"/>
        </w:rPr>
        <w:t xml:space="preserve"> што додатно отежава постизање родне равноправности. Стратегије и прописи о науци и истраживањима нису у довољној мери усаглашени са међународним документима о родној равноправности у науци, који могу и треба да представљају упориште за креирање и увођење посебних мера које доприносе остваривању родне равноправности у науци и истраживањима.</w:t>
      </w:r>
      <w:r w:rsidRPr="00EF008E">
        <w:rPr>
          <w:rFonts w:ascii="Arial" w:hAnsi="Arial" w:cs="Arial"/>
          <w:color w:val="000000"/>
          <w:sz w:val="22"/>
          <w:szCs w:val="22"/>
          <w:vertAlign w:val="superscript"/>
          <w:lang w:val="sr-Cyrl-RS"/>
        </w:rPr>
        <w:t>480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периоду од 2014. до 2019. године, повећан је укупан број студената уписаних на високошколске установе и факултете у Републици Србији, при чему је број студенткиња у константном порасту, док се број студената смањује.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Табела 1: Уписани студенти на високим школама и факултетима, према полу, 2014</w:t>
      </w:r>
      <w:r>
        <w:rPr>
          <w:rFonts w:ascii="Arial" w:hAnsi="Arial" w:cs="Arial"/>
          <w:color w:val="000000"/>
          <w:sz w:val="22"/>
          <w:szCs w:val="22"/>
          <w:lang w:val="sr-Cyrl-RS"/>
        </w:rPr>
        <w:t>-</w:t>
      </w:r>
      <w:r w:rsidRPr="00EF008E">
        <w:rPr>
          <w:rFonts w:ascii="Arial" w:hAnsi="Arial" w:cs="Arial"/>
          <w:color w:val="000000"/>
          <w:sz w:val="22"/>
          <w:szCs w:val="22"/>
          <w:lang w:val="sr-Cyrl-RS"/>
        </w:rPr>
        <w:t>2019</w:t>
      </w:r>
      <w:r w:rsidRPr="00EF008E">
        <w:rPr>
          <w:rFonts w:ascii="Arial" w:hAnsi="Arial" w:cs="Arial"/>
          <w:color w:val="000000"/>
          <w:sz w:val="22"/>
          <w:szCs w:val="22"/>
          <w:vertAlign w:val="superscript"/>
          <w:lang w:val="sr-Cyrl-RS"/>
        </w:rPr>
        <w:t>481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2"/>
        <w:gridCol w:w="2386"/>
        <w:gridCol w:w="2535"/>
        <w:gridCol w:w="1567"/>
        <w:gridCol w:w="1791"/>
      </w:tblGrid>
      <w:tr w:rsidR="00EF008E" w:rsidRPr="00EF008E" w:rsidTr="00455933">
        <w:trPr>
          <w:trHeight w:val="45"/>
          <w:tblCellSpacing w:w="0" w:type="auto"/>
        </w:trPr>
        <w:tc>
          <w:tcPr>
            <w:tcW w:w="2770" w:type="dxa"/>
            <w:vMerge w:val="restart"/>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Година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w:t>
            </w:r>
          </w:p>
        </w:tc>
      </w:tr>
      <w:tr w:rsidR="00EF008E" w:rsidRPr="00EF008E" w:rsidTr="0045593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008E" w:rsidRPr="00EF008E" w:rsidRDefault="00EF008E" w:rsidP="00EF008E">
            <w:pPr>
              <w:spacing w:after="200" w:line="276" w:lineRule="auto"/>
              <w:contextualSpacing w:val="0"/>
              <w:rPr>
                <w:rFonts w:ascii="Arial" w:hAnsi="Arial" w:cs="Arial"/>
                <w:sz w:val="22"/>
                <w:szCs w:val="22"/>
                <w:lang w:val="sr-Cyrl-RS"/>
              </w:rPr>
            </w:pPr>
          </w:p>
        </w:tc>
        <w:tc>
          <w:tcPr>
            <w:tcW w:w="359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Жене</w:t>
            </w:r>
          </w:p>
        </w:tc>
        <w:tc>
          <w:tcPr>
            <w:tcW w:w="359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Мушкарци</w:t>
            </w:r>
          </w:p>
        </w:tc>
        <w:tc>
          <w:tcPr>
            <w:tcW w:w="222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Жене</w:t>
            </w:r>
          </w:p>
        </w:tc>
        <w:tc>
          <w:tcPr>
            <w:tcW w:w="22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Мушкарци</w:t>
            </w:r>
          </w:p>
        </w:tc>
      </w:tr>
      <w:tr w:rsidR="00EF008E" w:rsidRPr="00EF008E" w:rsidTr="00455933">
        <w:trPr>
          <w:trHeight w:val="45"/>
          <w:tblCellSpacing w:w="0" w:type="auto"/>
        </w:trPr>
        <w:tc>
          <w:tcPr>
            <w:tcW w:w="277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2014.</w:t>
            </w:r>
          </w:p>
        </w:tc>
        <w:tc>
          <w:tcPr>
            <w:tcW w:w="359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134460</w:t>
            </w:r>
          </w:p>
        </w:tc>
        <w:tc>
          <w:tcPr>
            <w:tcW w:w="359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106594</w:t>
            </w:r>
          </w:p>
        </w:tc>
        <w:tc>
          <w:tcPr>
            <w:tcW w:w="222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55,8</w:t>
            </w:r>
          </w:p>
        </w:tc>
        <w:tc>
          <w:tcPr>
            <w:tcW w:w="22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44,2</w:t>
            </w:r>
          </w:p>
        </w:tc>
      </w:tr>
      <w:tr w:rsidR="00EF008E" w:rsidRPr="00EF008E" w:rsidTr="00455933">
        <w:trPr>
          <w:trHeight w:val="45"/>
          <w:tblCellSpacing w:w="0" w:type="auto"/>
        </w:trPr>
        <w:tc>
          <w:tcPr>
            <w:tcW w:w="277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2015.</w:t>
            </w:r>
          </w:p>
        </w:tc>
        <w:tc>
          <w:tcPr>
            <w:tcW w:w="359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138971</w:t>
            </w:r>
          </w:p>
        </w:tc>
        <w:tc>
          <w:tcPr>
            <w:tcW w:w="359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112191</w:t>
            </w:r>
          </w:p>
        </w:tc>
        <w:tc>
          <w:tcPr>
            <w:tcW w:w="222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55,3</w:t>
            </w:r>
          </w:p>
        </w:tc>
        <w:tc>
          <w:tcPr>
            <w:tcW w:w="22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44,7</w:t>
            </w:r>
          </w:p>
        </w:tc>
      </w:tr>
      <w:tr w:rsidR="00EF008E" w:rsidRPr="00EF008E" w:rsidTr="00455933">
        <w:trPr>
          <w:trHeight w:val="45"/>
          <w:tblCellSpacing w:w="0" w:type="auto"/>
        </w:trPr>
        <w:tc>
          <w:tcPr>
            <w:tcW w:w="277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2016.</w:t>
            </w:r>
          </w:p>
        </w:tc>
        <w:tc>
          <w:tcPr>
            <w:tcW w:w="359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146899</w:t>
            </w:r>
          </w:p>
        </w:tc>
        <w:tc>
          <w:tcPr>
            <w:tcW w:w="359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115190</w:t>
            </w:r>
          </w:p>
        </w:tc>
        <w:tc>
          <w:tcPr>
            <w:tcW w:w="222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56,0</w:t>
            </w:r>
          </w:p>
        </w:tc>
        <w:tc>
          <w:tcPr>
            <w:tcW w:w="22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44,0</w:t>
            </w:r>
          </w:p>
        </w:tc>
      </w:tr>
      <w:tr w:rsidR="00EF008E" w:rsidRPr="00EF008E" w:rsidTr="00455933">
        <w:trPr>
          <w:trHeight w:val="45"/>
          <w:tblCellSpacing w:w="0" w:type="auto"/>
        </w:trPr>
        <w:tc>
          <w:tcPr>
            <w:tcW w:w="277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2017.</w:t>
            </w:r>
          </w:p>
        </w:tc>
        <w:tc>
          <w:tcPr>
            <w:tcW w:w="359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144871</w:t>
            </w:r>
          </w:p>
        </w:tc>
        <w:tc>
          <w:tcPr>
            <w:tcW w:w="359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111301</w:t>
            </w:r>
          </w:p>
        </w:tc>
        <w:tc>
          <w:tcPr>
            <w:tcW w:w="222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56,6</w:t>
            </w:r>
          </w:p>
        </w:tc>
        <w:tc>
          <w:tcPr>
            <w:tcW w:w="22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43,4</w:t>
            </w:r>
          </w:p>
        </w:tc>
      </w:tr>
      <w:tr w:rsidR="00EF008E" w:rsidRPr="00EF008E" w:rsidTr="00455933">
        <w:trPr>
          <w:trHeight w:val="45"/>
          <w:tblCellSpacing w:w="0" w:type="auto"/>
        </w:trPr>
        <w:tc>
          <w:tcPr>
            <w:tcW w:w="277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2018.</w:t>
            </w:r>
          </w:p>
        </w:tc>
        <w:tc>
          <w:tcPr>
            <w:tcW w:w="359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141679</w:t>
            </w:r>
          </w:p>
        </w:tc>
        <w:tc>
          <w:tcPr>
            <w:tcW w:w="359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108092</w:t>
            </w:r>
          </w:p>
        </w:tc>
        <w:tc>
          <w:tcPr>
            <w:tcW w:w="222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56,7</w:t>
            </w:r>
          </w:p>
        </w:tc>
        <w:tc>
          <w:tcPr>
            <w:tcW w:w="22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43,3</w:t>
            </w:r>
          </w:p>
        </w:tc>
      </w:tr>
      <w:tr w:rsidR="00EF008E" w:rsidRPr="00EF008E" w:rsidTr="00455933">
        <w:trPr>
          <w:trHeight w:val="45"/>
          <w:tblCellSpacing w:w="0" w:type="auto"/>
        </w:trPr>
        <w:tc>
          <w:tcPr>
            <w:tcW w:w="277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2019.</w:t>
            </w:r>
          </w:p>
        </w:tc>
        <w:tc>
          <w:tcPr>
            <w:tcW w:w="359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137910</w:t>
            </w:r>
          </w:p>
        </w:tc>
        <w:tc>
          <w:tcPr>
            <w:tcW w:w="359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104058</w:t>
            </w:r>
          </w:p>
        </w:tc>
        <w:tc>
          <w:tcPr>
            <w:tcW w:w="222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57,0</w:t>
            </w:r>
          </w:p>
        </w:tc>
        <w:tc>
          <w:tcPr>
            <w:tcW w:w="22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43,0</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школској 2019/20. години, на свим високошколским установама и на свим нивоима студија у Републици Србији уписано је 241.968 студената. Од укупног броја уписаних, 104.058 су студенти (43%), а 137.910 су студенткиње (57%).</w:t>
      </w:r>
      <w:r w:rsidRPr="00EF008E">
        <w:rPr>
          <w:rFonts w:ascii="Arial" w:hAnsi="Arial" w:cs="Arial"/>
          <w:color w:val="000000"/>
          <w:sz w:val="22"/>
          <w:szCs w:val="22"/>
          <w:vertAlign w:val="superscript"/>
          <w:lang w:val="sr-Cyrl-RS"/>
        </w:rPr>
        <w:t>482</w:t>
      </w:r>
      <w:r w:rsidRPr="00EF008E">
        <w:rPr>
          <w:rFonts w:ascii="Arial" w:hAnsi="Arial" w:cs="Arial"/>
          <w:color w:val="000000"/>
          <w:sz w:val="22"/>
          <w:szCs w:val="22"/>
          <w:lang w:val="sr-Cyrl-RS"/>
        </w:rPr>
        <w:t xml:space="preserve"> На државним и приватним универзитетима укупно је уписано 204.627 студената (86% на државним, а 14% на приватним факултетима). Посматрано према начину финансирања студија, 41,4% студената уписало се на буџет, а 58,6% студената се самофинансира.</w:t>
      </w:r>
      <w:r w:rsidRPr="00EF008E">
        <w:rPr>
          <w:rFonts w:ascii="Arial" w:hAnsi="Arial" w:cs="Arial"/>
          <w:color w:val="000000"/>
          <w:sz w:val="22"/>
          <w:szCs w:val="22"/>
          <w:vertAlign w:val="superscript"/>
          <w:lang w:val="sr-Cyrl-RS"/>
        </w:rPr>
        <w:t>483</w:t>
      </w:r>
      <w:r w:rsidRPr="00EF008E">
        <w:rPr>
          <w:rFonts w:ascii="Arial" w:hAnsi="Arial" w:cs="Arial"/>
          <w:color w:val="000000"/>
          <w:sz w:val="22"/>
          <w:szCs w:val="22"/>
          <w:lang w:val="sr-Cyrl-RS"/>
        </w:rPr>
        <w:t xml:space="preserve"> У школској 2020/21. години укупан број студената који су први пут уписали прву годину студија на државним и приватним факултетима, академијама струковних студија и високим школама је 47.823, од тога је мушкараца 20.856 (43,6%), а жена 26.967 (56,4%).</w:t>
      </w:r>
      <w:r w:rsidRPr="00EF008E">
        <w:rPr>
          <w:rFonts w:ascii="Arial" w:hAnsi="Arial" w:cs="Arial"/>
          <w:color w:val="000000"/>
          <w:sz w:val="22"/>
          <w:szCs w:val="22"/>
          <w:vertAlign w:val="superscript"/>
          <w:lang w:val="sr-Cyrl-RS"/>
        </w:rPr>
        <w:t>484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 даље постоји родна сегрегација у високом образовању. Mеђу дипломираним студентима у 2019. години, жене су заступљене са скоро 60%, али мушкарци и даље доминирају у областима: ИКТ (66%), инжењерству, производњи и грађевинарству (61%).</w:t>
      </w:r>
      <w:r w:rsidRPr="00EF008E">
        <w:rPr>
          <w:rFonts w:ascii="Arial" w:hAnsi="Arial" w:cs="Arial"/>
          <w:color w:val="000000"/>
          <w:sz w:val="22"/>
          <w:szCs w:val="22"/>
          <w:vertAlign w:val="superscript"/>
          <w:lang w:val="sr-Cyrl-RS"/>
        </w:rPr>
        <w:t>485</w:t>
      </w:r>
      <w:r w:rsidRPr="00EF008E">
        <w:rPr>
          <w:rFonts w:ascii="Arial" w:hAnsi="Arial" w:cs="Arial"/>
          <w:color w:val="000000"/>
          <w:sz w:val="22"/>
          <w:szCs w:val="22"/>
          <w:lang w:val="sr-Cyrl-RS"/>
        </w:rPr>
        <w:t xml:space="preserve"> У 2019. години докторирало је више жена (57%) него мушкараца (43%). Жене чине већину у областима здравства (71%), уметности (68%) и природним наукама (66%), а мушкарци у инжењерству, производњи и грађевинарству (57%), ИКТ (66%) и услугама (56%).</w:t>
      </w:r>
      <w:r w:rsidRPr="00EF008E">
        <w:rPr>
          <w:rFonts w:ascii="Arial" w:hAnsi="Arial" w:cs="Arial"/>
          <w:color w:val="000000"/>
          <w:sz w:val="22"/>
          <w:szCs w:val="22"/>
          <w:vertAlign w:val="superscript"/>
          <w:lang w:val="sr-Cyrl-RS"/>
        </w:rPr>
        <w:t>486</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Међу запосленима у области истраживања и развоја, у 2018. години има више жена (51%), као и међу научним истраживачима (51,4%). Жене су већински заступљене у свим категоријама, осим међу стручним сарадницима (48%). Иако чине већину, оне су на руководећим позицијама знатно ређе у поређењу са мушкарцима (38,1%). Чак и када јесу на руководећим позицијама, жене су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много чешће од мушкараца задужене да се баве администрацијом, организацијом посла и бригом о запосленима.</w:t>
      </w:r>
      <w:r w:rsidRPr="00EF008E">
        <w:rPr>
          <w:rFonts w:ascii="Arial" w:hAnsi="Arial" w:cs="Arial"/>
          <w:color w:val="000000"/>
          <w:sz w:val="22"/>
          <w:szCs w:val="22"/>
          <w:vertAlign w:val="superscript"/>
          <w:lang w:val="sr-Cyrl-RS"/>
        </w:rPr>
        <w:t>487</w:t>
      </w:r>
      <w:r w:rsidRPr="00EF008E">
        <w:rPr>
          <w:rFonts w:ascii="Arial" w:hAnsi="Arial" w:cs="Arial"/>
          <w:color w:val="000000"/>
          <w:sz w:val="22"/>
          <w:szCs w:val="22"/>
          <w:lang w:val="sr-Cyrl-RS"/>
        </w:rPr>
        <w:t xml:space="preserve"> Треба имати у виду да су од оснивања Универзитета у Београду до данас, само две жене биле на позицији ректорке. Међу члановима Српске академије наука и уметности доминирају мушкарци. У 2020. години 90% свих чланова су мушкарци. Највеће учешће жена је у Одељењу језика и књижевности и Одељењу историјских наука, док је само по једна чланица у одељењима друштвених наука, техничких наука и математике, физике и гео-науке.</w:t>
      </w:r>
      <w:r w:rsidRPr="00EF008E">
        <w:rPr>
          <w:rFonts w:ascii="Arial" w:hAnsi="Arial" w:cs="Arial"/>
          <w:color w:val="000000"/>
          <w:sz w:val="22"/>
          <w:szCs w:val="22"/>
          <w:vertAlign w:val="superscript"/>
          <w:lang w:val="sr-Cyrl-RS"/>
        </w:rPr>
        <w:t>488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Табела 2: Запослени на пословима истраживања и развоја, према звању и полу, 2014, 2016. и 2018.</w:t>
      </w:r>
      <w:r w:rsidRPr="00EF008E">
        <w:rPr>
          <w:rFonts w:ascii="Arial" w:hAnsi="Arial" w:cs="Arial"/>
          <w:color w:val="000000"/>
          <w:sz w:val="22"/>
          <w:szCs w:val="22"/>
          <w:vertAlign w:val="superscript"/>
          <w:lang w:val="sr-Cyrl-RS"/>
        </w:rPr>
        <w:t>489</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43"/>
        <w:gridCol w:w="813"/>
        <w:gridCol w:w="813"/>
        <w:gridCol w:w="634"/>
        <w:gridCol w:w="634"/>
        <w:gridCol w:w="812"/>
        <w:gridCol w:w="812"/>
        <w:gridCol w:w="634"/>
        <w:gridCol w:w="634"/>
        <w:gridCol w:w="812"/>
        <w:gridCol w:w="812"/>
        <w:gridCol w:w="634"/>
        <w:gridCol w:w="634"/>
      </w:tblGrid>
      <w:tr w:rsidR="00EF008E" w:rsidRPr="00EF008E" w:rsidTr="00455933">
        <w:trPr>
          <w:trHeight w:val="45"/>
          <w:tblCellSpacing w:w="0" w:type="auto"/>
        </w:trPr>
        <w:tc>
          <w:tcPr>
            <w:tcW w:w="260" w:type="dxa"/>
            <w:vMerge w:val="restart"/>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200" w:line="276" w:lineRule="auto"/>
              <w:contextualSpacing w:val="0"/>
              <w:rPr>
                <w:rFonts w:ascii="Arial" w:hAnsi="Arial" w:cs="Arial"/>
                <w:sz w:val="22"/>
                <w:szCs w:val="22"/>
                <w:lang w:val="sr-Cyrl-RS"/>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2014.</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2016.</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2018.</w:t>
            </w:r>
          </w:p>
        </w:tc>
      </w:tr>
      <w:tr w:rsidR="00EF008E" w:rsidRPr="00EF008E" w:rsidTr="0045593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008E" w:rsidRPr="00EF008E" w:rsidRDefault="00EF008E" w:rsidP="00EF008E">
            <w:pPr>
              <w:spacing w:after="200" w:line="276" w:lineRule="auto"/>
              <w:contextualSpacing w:val="0"/>
              <w:rPr>
                <w:rFonts w:ascii="Arial" w:hAnsi="Arial" w:cs="Arial"/>
                <w:sz w:val="22"/>
                <w:szCs w:val="22"/>
                <w:lang w:val="sr-Cyrl-RS"/>
              </w:rPr>
            </w:pPr>
          </w:p>
        </w:tc>
        <w:tc>
          <w:tcPr>
            <w:tcW w:w="13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9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M%</w:t>
            </w:r>
          </w:p>
        </w:tc>
      </w:tr>
      <w:tr w:rsidR="00EF008E" w:rsidRPr="00EF008E" w:rsidTr="00455933">
        <w:trPr>
          <w:trHeight w:val="45"/>
          <w:tblCellSpacing w:w="0" w:type="auto"/>
        </w:trPr>
        <w:tc>
          <w:tcPr>
            <w:tcW w:w="26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Укупно</w:t>
            </w:r>
          </w:p>
        </w:tc>
        <w:tc>
          <w:tcPr>
            <w:tcW w:w="13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10863</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11017</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49,6</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50,4</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11533</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12009</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49,0</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51,0</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11645</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11326</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50,7</w:t>
            </w:r>
          </w:p>
        </w:tc>
        <w:tc>
          <w:tcPr>
            <w:tcW w:w="9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49,3</w:t>
            </w:r>
          </w:p>
        </w:tc>
      </w:tr>
      <w:tr w:rsidR="00EF008E" w:rsidRPr="00EF008E" w:rsidTr="00455933">
        <w:trPr>
          <w:trHeight w:val="45"/>
          <w:tblCellSpacing w:w="0" w:type="auto"/>
        </w:trPr>
        <w:tc>
          <w:tcPr>
            <w:tcW w:w="26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Истраживачи</w:t>
            </w:r>
          </w:p>
        </w:tc>
        <w:tc>
          <w:tcPr>
            <w:tcW w:w="13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7452</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7711</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49,1</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50,9</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8032</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8560</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48,4</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51,6</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8329</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7884</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51,4</w:t>
            </w:r>
          </w:p>
        </w:tc>
        <w:tc>
          <w:tcPr>
            <w:tcW w:w="9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48,6</w:t>
            </w:r>
          </w:p>
        </w:tc>
      </w:tr>
      <w:tr w:rsidR="00EF008E" w:rsidRPr="00EF008E" w:rsidTr="00455933">
        <w:trPr>
          <w:trHeight w:val="45"/>
          <w:tblCellSpacing w:w="0" w:type="auto"/>
        </w:trPr>
        <w:tc>
          <w:tcPr>
            <w:tcW w:w="26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Стручни сарадници</w:t>
            </w:r>
          </w:p>
        </w:tc>
        <w:tc>
          <w:tcPr>
            <w:tcW w:w="13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715</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1001</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41,7</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58,3</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876</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943</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48,2</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51,8</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733</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794</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48,0</w:t>
            </w:r>
          </w:p>
        </w:tc>
        <w:tc>
          <w:tcPr>
            <w:tcW w:w="9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52,0</w:t>
            </w:r>
          </w:p>
        </w:tc>
      </w:tr>
      <w:tr w:rsidR="00EF008E" w:rsidRPr="00EF008E" w:rsidTr="00455933">
        <w:trPr>
          <w:trHeight w:val="45"/>
          <w:tblCellSpacing w:w="0" w:type="auto"/>
        </w:trPr>
        <w:tc>
          <w:tcPr>
            <w:tcW w:w="26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Техничко особље</w:t>
            </w:r>
          </w:p>
        </w:tc>
        <w:tc>
          <w:tcPr>
            <w:tcW w:w="13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1454</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1175</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55,3</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44,7</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1632</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1521</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51,8</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48,2</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1542</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1489</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50,9</w:t>
            </w:r>
          </w:p>
        </w:tc>
        <w:tc>
          <w:tcPr>
            <w:tcW w:w="9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49,1</w:t>
            </w:r>
          </w:p>
        </w:tc>
      </w:tr>
      <w:tr w:rsidR="00EF008E" w:rsidRPr="00EF008E" w:rsidTr="00455933">
        <w:trPr>
          <w:trHeight w:val="45"/>
          <w:tblCellSpacing w:w="0" w:type="auto"/>
        </w:trPr>
        <w:tc>
          <w:tcPr>
            <w:tcW w:w="26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Руководеће особље</w:t>
            </w:r>
          </w:p>
        </w:tc>
        <w:tc>
          <w:tcPr>
            <w:tcW w:w="13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198</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260</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43,2</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56,8</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364</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35,8</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64,2</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253</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411</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38,1</w:t>
            </w:r>
          </w:p>
        </w:tc>
        <w:tc>
          <w:tcPr>
            <w:tcW w:w="9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61,9</w:t>
            </w:r>
          </w:p>
        </w:tc>
      </w:tr>
      <w:tr w:rsidR="00EF008E" w:rsidRPr="00EF008E" w:rsidTr="00455933">
        <w:trPr>
          <w:trHeight w:val="45"/>
          <w:tblCellSpacing w:w="0" w:type="auto"/>
        </w:trPr>
        <w:tc>
          <w:tcPr>
            <w:tcW w:w="26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Остало особље</w:t>
            </w:r>
          </w:p>
        </w:tc>
        <w:tc>
          <w:tcPr>
            <w:tcW w:w="13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1044</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870</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54,5</w:t>
            </w:r>
          </w:p>
        </w:tc>
        <w:tc>
          <w:tcPr>
            <w:tcW w:w="99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45,5</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790</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621</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56,0</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44,0</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788</w:t>
            </w:r>
          </w:p>
        </w:tc>
        <w:tc>
          <w:tcPr>
            <w:tcW w:w="13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748</w:t>
            </w:r>
          </w:p>
        </w:tc>
        <w:tc>
          <w:tcPr>
            <w:tcW w:w="9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51,3</w:t>
            </w:r>
          </w:p>
        </w:tc>
        <w:tc>
          <w:tcPr>
            <w:tcW w:w="9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48,7</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Приметан је пораст броја истраживачица у претходних неколико година, у свим научним областима. Подаци из 2018. године показују да је највеће учешће истраживачица у медицинским наукама и наукама о здрављу (58,6%), а најмање учешће у инжењерингу и технологији (40%), што је уједно и једина научна област у којој су жене заступљене мање у поређењу са мушкарцима.</w:t>
      </w:r>
      <w:r w:rsidRPr="00EF008E">
        <w:rPr>
          <w:rFonts w:ascii="Arial" w:hAnsi="Arial" w:cs="Arial"/>
          <w:color w:val="000000"/>
          <w:sz w:val="22"/>
          <w:szCs w:val="22"/>
          <w:vertAlign w:val="superscript"/>
          <w:lang w:val="sr-Cyrl-RS"/>
        </w:rPr>
        <w:t>490</w:t>
      </w:r>
      <w:r w:rsidRPr="00EF008E">
        <w:rPr>
          <w:rFonts w:ascii="Arial" w:hAnsi="Arial" w:cs="Arial"/>
          <w:color w:val="000000"/>
          <w:sz w:val="22"/>
          <w:szCs w:val="22"/>
          <w:lang w:val="sr-Cyrl-RS"/>
        </w:rPr>
        <w:t xml:space="preserve"> Анализа која је обухватила период од октобра 2016. до јуна 2020. године показала је да се положај академских и научних радница није значајно побољшао у том периоду.</w:t>
      </w:r>
      <w:r w:rsidRPr="00EF008E">
        <w:rPr>
          <w:rFonts w:ascii="Arial" w:hAnsi="Arial" w:cs="Arial"/>
          <w:color w:val="000000"/>
          <w:sz w:val="22"/>
          <w:szCs w:val="22"/>
          <w:vertAlign w:val="superscript"/>
          <w:lang w:val="sr-Cyrl-RS"/>
        </w:rPr>
        <w:t>491</w:t>
      </w:r>
      <w:r w:rsidRPr="00EF008E">
        <w:rPr>
          <w:rFonts w:ascii="Arial" w:hAnsi="Arial" w:cs="Arial"/>
          <w:color w:val="000000"/>
          <w:sz w:val="22"/>
          <w:szCs w:val="22"/>
          <w:lang w:val="sr-Cyrl-RS"/>
        </w:rPr>
        <w:t xml:space="preserve"> Осим благог пораста жена које су запослене на пословима истраживања и развоја, као и благог пораста броја истраживачица, нису уочљиви други индикатори напретка.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Табела 3: Истраживачи према научним областима и полу, 2014, 2016. и 2018.</w:t>
      </w:r>
      <w:r w:rsidRPr="00EF008E">
        <w:rPr>
          <w:rFonts w:ascii="Arial" w:hAnsi="Arial" w:cs="Arial"/>
          <w:color w:val="000000"/>
          <w:sz w:val="22"/>
          <w:szCs w:val="22"/>
          <w:vertAlign w:val="superscript"/>
          <w:lang w:val="sr-Cyrl-RS"/>
        </w:rPr>
        <w:t>492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7"/>
        <w:gridCol w:w="724"/>
        <w:gridCol w:w="724"/>
        <w:gridCol w:w="660"/>
        <w:gridCol w:w="660"/>
        <w:gridCol w:w="724"/>
        <w:gridCol w:w="724"/>
        <w:gridCol w:w="660"/>
        <w:gridCol w:w="660"/>
        <w:gridCol w:w="724"/>
        <w:gridCol w:w="724"/>
        <w:gridCol w:w="660"/>
        <w:gridCol w:w="660"/>
      </w:tblGrid>
      <w:tr w:rsidR="00EF008E" w:rsidRPr="00EF008E" w:rsidTr="00455933">
        <w:trPr>
          <w:trHeight w:val="45"/>
          <w:tblCellSpacing w:w="0" w:type="auto"/>
        </w:trPr>
        <w:tc>
          <w:tcPr>
            <w:tcW w:w="804" w:type="dxa"/>
            <w:vMerge w:val="restart"/>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200" w:line="276" w:lineRule="auto"/>
              <w:contextualSpacing w:val="0"/>
              <w:rPr>
                <w:rFonts w:ascii="Arial" w:hAnsi="Arial" w:cs="Arial"/>
                <w:sz w:val="22"/>
                <w:szCs w:val="22"/>
                <w:lang w:val="sr-Cyrl-RS"/>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2014.</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2016.</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2018.</w:t>
            </w:r>
          </w:p>
        </w:tc>
      </w:tr>
      <w:tr w:rsidR="00EF008E" w:rsidRPr="00EF008E" w:rsidTr="0045593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008E" w:rsidRPr="00EF008E" w:rsidRDefault="00EF008E" w:rsidP="00EF008E">
            <w:pPr>
              <w:spacing w:after="200" w:line="276" w:lineRule="auto"/>
              <w:contextualSpacing w:val="0"/>
              <w:rPr>
                <w:rFonts w:ascii="Arial" w:hAnsi="Arial" w:cs="Arial"/>
                <w:sz w:val="22"/>
                <w:szCs w:val="22"/>
                <w:lang w:val="sr-Cyrl-RS"/>
              </w:rPr>
            </w:pP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w:t>
            </w:r>
          </w:p>
        </w:tc>
        <w:tc>
          <w:tcPr>
            <w:tcW w:w="106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Ж%</w:t>
            </w:r>
          </w:p>
        </w:tc>
        <w:tc>
          <w:tcPr>
            <w:tcW w:w="106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M%</w:t>
            </w:r>
          </w:p>
        </w:tc>
      </w:tr>
      <w:tr w:rsidR="00EF008E" w:rsidRPr="00EF008E" w:rsidTr="00455933">
        <w:trPr>
          <w:trHeight w:val="45"/>
          <w:tblCellSpacing w:w="0" w:type="auto"/>
        </w:trPr>
        <w:tc>
          <w:tcPr>
            <w:tcW w:w="8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Укупно</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7452</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7711</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49,1</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50,9</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8032</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8560</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48,4</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51,6</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8329</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7884</w:t>
            </w:r>
          </w:p>
        </w:tc>
        <w:tc>
          <w:tcPr>
            <w:tcW w:w="106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51,4</w:t>
            </w:r>
          </w:p>
        </w:tc>
        <w:tc>
          <w:tcPr>
            <w:tcW w:w="106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48,6</w:t>
            </w:r>
          </w:p>
        </w:tc>
      </w:tr>
      <w:tr w:rsidR="00EF008E" w:rsidRPr="00EF008E" w:rsidTr="00455933">
        <w:trPr>
          <w:trHeight w:val="45"/>
          <w:tblCellSpacing w:w="0" w:type="auto"/>
        </w:trPr>
        <w:tc>
          <w:tcPr>
            <w:tcW w:w="8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Природне науке</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1763</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1516</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53,8</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46,2</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2016</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2094</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49,1</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50,9</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2135</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1541</w:t>
            </w:r>
          </w:p>
        </w:tc>
        <w:tc>
          <w:tcPr>
            <w:tcW w:w="106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58,1</w:t>
            </w:r>
          </w:p>
        </w:tc>
        <w:tc>
          <w:tcPr>
            <w:tcW w:w="106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41,9</w:t>
            </w:r>
          </w:p>
        </w:tc>
      </w:tr>
      <w:tr w:rsidR="00EF008E" w:rsidRPr="00EF008E" w:rsidTr="00455933">
        <w:trPr>
          <w:trHeight w:val="45"/>
          <w:tblCellSpacing w:w="0" w:type="auto"/>
        </w:trPr>
        <w:tc>
          <w:tcPr>
            <w:tcW w:w="8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Инжењеринг и технологија</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1555</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2705</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36,5</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63,5</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1809</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3051</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37,2</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62,8</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1839</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2714</w:t>
            </w:r>
          </w:p>
        </w:tc>
        <w:tc>
          <w:tcPr>
            <w:tcW w:w="106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40,4</w:t>
            </w:r>
          </w:p>
        </w:tc>
        <w:tc>
          <w:tcPr>
            <w:tcW w:w="106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59,6</w:t>
            </w:r>
          </w:p>
        </w:tc>
      </w:tr>
      <w:tr w:rsidR="00EF008E" w:rsidRPr="00EF008E" w:rsidTr="00455933">
        <w:trPr>
          <w:trHeight w:val="45"/>
          <w:tblCellSpacing w:w="0" w:type="auto"/>
        </w:trPr>
        <w:tc>
          <w:tcPr>
            <w:tcW w:w="8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Медицинске науке и науке о здрављу</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1216</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825</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59,6</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40,4</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1406</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944</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59,8</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40,2</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1454</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1029</w:t>
            </w:r>
          </w:p>
        </w:tc>
        <w:tc>
          <w:tcPr>
            <w:tcW w:w="106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58,6</w:t>
            </w:r>
          </w:p>
        </w:tc>
        <w:tc>
          <w:tcPr>
            <w:tcW w:w="106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41,4</w:t>
            </w:r>
          </w:p>
        </w:tc>
      </w:tr>
      <w:tr w:rsidR="00EF008E" w:rsidRPr="00EF008E" w:rsidTr="00455933">
        <w:trPr>
          <w:trHeight w:val="45"/>
          <w:tblCellSpacing w:w="0" w:type="auto"/>
        </w:trPr>
        <w:tc>
          <w:tcPr>
            <w:tcW w:w="8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Пољопривредне науке</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560</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556</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50,2</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49,8</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594</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581</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50,6</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49,4</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588</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554</w:t>
            </w:r>
          </w:p>
        </w:tc>
        <w:tc>
          <w:tcPr>
            <w:tcW w:w="106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51,5</w:t>
            </w:r>
          </w:p>
        </w:tc>
        <w:tc>
          <w:tcPr>
            <w:tcW w:w="106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48,5</w:t>
            </w:r>
          </w:p>
        </w:tc>
      </w:tr>
      <w:tr w:rsidR="00EF008E" w:rsidRPr="00EF008E" w:rsidTr="00455933">
        <w:trPr>
          <w:trHeight w:val="45"/>
          <w:tblCellSpacing w:w="0" w:type="auto"/>
        </w:trPr>
        <w:tc>
          <w:tcPr>
            <w:tcW w:w="8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Друштвене науке</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1551</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1526</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50,4</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49,6</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1400</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1266</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52,5</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47,5</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1470</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1397</w:t>
            </w:r>
          </w:p>
        </w:tc>
        <w:tc>
          <w:tcPr>
            <w:tcW w:w="106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51,3</w:t>
            </w:r>
          </w:p>
        </w:tc>
        <w:tc>
          <w:tcPr>
            <w:tcW w:w="106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48,7</w:t>
            </w:r>
          </w:p>
        </w:tc>
      </w:tr>
      <w:tr w:rsidR="00EF008E" w:rsidRPr="00EF008E" w:rsidTr="00455933">
        <w:trPr>
          <w:trHeight w:val="45"/>
          <w:tblCellSpacing w:w="0" w:type="auto"/>
        </w:trPr>
        <w:tc>
          <w:tcPr>
            <w:tcW w:w="8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Хуманистичке науке</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807</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583</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58,1</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41,9</w:t>
            </w:r>
          </w:p>
        </w:tc>
        <w:tc>
          <w:tcPr>
            <w:tcW w:w="119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807</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624</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56,4</w:t>
            </w:r>
          </w:p>
        </w:tc>
        <w:tc>
          <w:tcPr>
            <w:tcW w:w="10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43,6</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843</w:t>
            </w:r>
          </w:p>
        </w:tc>
        <w:tc>
          <w:tcPr>
            <w:tcW w:w="119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649</w:t>
            </w:r>
          </w:p>
        </w:tc>
        <w:tc>
          <w:tcPr>
            <w:tcW w:w="106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56,5</w:t>
            </w:r>
          </w:p>
        </w:tc>
        <w:tc>
          <w:tcPr>
            <w:tcW w:w="106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43,5</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Ови подаци евидентно показују да се обрасци сегрегације који се успостављају у току средњошколског образовања, настављају и на нивоу високог образовања, што за последицу има сегрегацију на тржишту рада. Мушкарци се и даље више усмеравају на инжењерство, информатику, природне и техничке науке, док се жене више усмеравају на друштвене и хуманистичке науке, као и на области које су повезене са бригом о другима.</w:t>
      </w:r>
      <w:r w:rsidRPr="00EF008E">
        <w:rPr>
          <w:rFonts w:ascii="Arial" w:hAnsi="Arial" w:cs="Arial"/>
          <w:color w:val="000000"/>
          <w:sz w:val="22"/>
          <w:szCs w:val="22"/>
          <w:vertAlign w:val="superscript"/>
          <w:lang w:val="sr-Cyrl-RS"/>
        </w:rPr>
        <w:t>493</w:t>
      </w:r>
      <w:r w:rsidRPr="00EF008E">
        <w:rPr>
          <w:rFonts w:ascii="Arial" w:hAnsi="Arial" w:cs="Arial"/>
          <w:color w:val="000000"/>
          <w:sz w:val="22"/>
          <w:szCs w:val="22"/>
          <w:lang w:val="sr-Cyrl-RS"/>
        </w:rPr>
        <w:t xml:space="preserve"> Међутим, иако је вертикална сегрегација веома присутна, овај проблем није предмет институционалне пажње.</w:t>
      </w:r>
      <w:r w:rsidRPr="00EF008E">
        <w:rPr>
          <w:rFonts w:ascii="Arial" w:hAnsi="Arial" w:cs="Arial"/>
          <w:color w:val="000000"/>
          <w:sz w:val="22"/>
          <w:szCs w:val="22"/>
          <w:vertAlign w:val="superscript"/>
          <w:lang w:val="sr-Cyrl-RS"/>
        </w:rPr>
        <w:t>494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Да би процес уродњавања високог образовања, науке и истраживања био ефикасан и да би допринео пуном остваривању принципа родне равноправности, важно је успоставити добар стратешки оквир који ће бити институционализован кроз законе, у коме ће постојати јасна подела одговорности и задужења, уз развијање свести о неопходности заједничког деловања. Неопходно је обезбедити адекватна финансијска средства како би стратешке мере и активности, укључујући и оне које подразумевају истраживања, прикупљање података, подршку пројектима, промоцији и видљивости студија рода и слично, могле да се реализују.</w:t>
      </w:r>
      <w:r w:rsidRPr="00EF008E">
        <w:rPr>
          <w:rFonts w:ascii="Arial" w:hAnsi="Arial" w:cs="Arial"/>
          <w:color w:val="000000"/>
          <w:sz w:val="22"/>
          <w:szCs w:val="22"/>
          <w:vertAlign w:val="superscript"/>
          <w:lang w:val="sr-Cyrl-RS"/>
        </w:rPr>
        <w:t>495</w:t>
      </w:r>
      <w:r w:rsidRPr="00EF008E">
        <w:rPr>
          <w:rFonts w:ascii="Arial" w:hAnsi="Arial" w:cs="Arial"/>
          <w:color w:val="000000"/>
          <w:sz w:val="22"/>
          <w:szCs w:val="22"/>
          <w:lang w:val="sr-Cyrl-RS"/>
        </w:rPr>
        <w:t xml:space="preserve"> Поред тога, важно је промовисати и користити акумулирано знање из области студија рода за креирање и спровођење јавних политика, интензивније радити на јачању међусобне подршке жена у науци и академији, повезивању експерткиња, активистикиња и научница из различитих области, како би заједнички дале допринос препознавању и реаговању на родне неравноправности у науци и Академији.</w:t>
      </w:r>
      <w:r w:rsidRPr="00EF008E">
        <w:rPr>
          <w:rFonts w:ascii="Arial" w:hAnsi="Arial" w:cs="Arial"/>
          <w:color w:val="000000"/>
          <w:sz w:val="22"/>
          <w:szCs w:val="22"/>
          <w:vertAlign w:val="superscript"/>
          <w:lang w:val="sr-Cyrl-RS"/>
        </w:rPr>
        <w:t>496</w:t>
      </w:r>
      <w:r w:rsidRPr="00EF008E">
        <w:rPr>
          <w:rFonts w:ascii="Arial" w:hAnsi="Arial" w:cs="Arial"/>
          <w:color w:val="000000"/>
          <w:sz w:val="22"/>
          <w:szCs w:val="22"/>
          <w:lang w:val="sr-Cyrl-RS"/>
        </w:rPr>
        <w:t xml:space="preserve"> Заједничким мултисекторским деловањем доприноси се стварању услова за једнак приступ жена и мушкараца високом образовању, једнак приступ раду, позицијама одлучивања и управљања, као и повећавању родне осетљивости студијских програма, уџбеника и наставних материјала, што уз осигуравање родно осетљиве статистике, родно одговорног буџетирања и континуиране борбе против родно засноване дискриминације и насиља у академском простору,</w:t>
      </w:r>
      <w:r w:rsidRPr="00EF008E">
        <w:rPr>
          <w:rFonts w:ascii="Arial" w:hAnsi="Arial" w:cs="Arial"/>
          <w:color w:val="000000"/>
          <w:sz w:val="22"/>
          <w:szCs w:val="22"/>
          <w:vertAlign w:val="superscript"/>
          <w:lang w:val="sr-Cyrl-RS"/>
        </w:rPr>
        <w:t>497</w:t>
      </w:r>
      <w:r w:rsidRPr="00EF008E">
        <w:rPr>
          <w:rFonts w:ascii="Arial" w:hAnsi="Arial" w:cs="Arial"/>
          <w:color w:val="000000"/>
          <w:sz w:val="22"/>
          <w:szCs w:val="22"/>
          <w:lang w:val="sr-Cyrl-RS"/>
        </w:rPr>
        <w:t xml:space="preserve"> представља добру основу за доследно остваривање принципа родне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445 Баћевић, Ј. и др. Анализа родне димензије у високошколском образовном материјалу, Центар за студије рода и политике Факултет политичких наука, Универзитет у Београду, 2010, стр. 18</w:t>
      </w:r>
      <w:r>
        <w:rPr>
          <w:rFonts w:ascii="Arial" w:hAnsi="Arial" w:cs="Arial"/>
          <w:i/>
          <w:color w:val="000000"/>
          <w:sz w:val="22"/>
          <w:szCs w:val="22"/>
          <w:lang w:val="sr-Cyrl-RS"/>
        </w:rPr>
        <w:t>-</w:t>
      </w:r>
      <w:r w:rsidRPr="00EF008E">
        <w:rPr>
          <w:rFonts w:ascii="Arial" w:hAnsi="Arial" w:cs="Arial"/>
          <w:i/>
          <w:color w:val="000000"/>
          <w:sz w:val="22"/>
          <w:szCs w:val="22"/>
          <w:lang w:val="sr-Cyrl-RS"/>
        </w:rPr>
        <w:t>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446 Делибашић, Б. и др. Универзитети између меритократије и патријархата: жене и моћ делања, Институт за филозофију и друштвену теорију, 2018. стр. 118 и 120.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447 Исто, страна 118.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448 Исто, страна 119.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449 Варади, Т., Пајванчић, М., (ур), Родна равноправност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од једнаких права до једнаких могућности, Зборник радова са научног скупа одржаног 27. септембра 2019, Српска академија наука и уметности, Београд, 2020, страна 230.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450 Поповић, Д. Духачек, Д. Од циришког круга до студија рода: родна равноправност и високо образовање у Србији, Годишњак Факултета политичких наука, 2009, вол. 3. бр. 3. стр. 681</w:t>
      </w:r>
      <w:r>
        <w:rPr>
          <w:rFonts w:ascii="Arial" w:hAnsi="Arial" w:cs="Arial"/>
          <w:i/>
          <w:color w:val="000000"/>
          <w:sz w:val="22"/>
          <w:szCs w:val="22"/>
          <w:lang w:val="sr-Cyrl-RS"/>
        </w:rPr>
        <w:t>-</w:t>
      </w:r>
      <w:r w:rsidRPr="00EF008E">
        <w:rPr>
          <w:rFonts w:ascii="Arial" w:hAnsi="Arial" w:cs="Arial"/>
          <w:i/>
          <w:color w:val="000000"/>
          <w:sz w:val="22"/>
          <w:szCs w:val="22"/>
          <w:lang w:val="sr-Cyrl-RS"/>
        </w:rPr>
        <w:t>693; Ćeriman, J., Milutinović-Bojanić, S., i Pudar, G. Serbia at the Crossroads. Gender Inclusiveness in Higher Education: Real or just Wishful Thinking? U: From gender studies to gender in studies: case studies on gender-inclusive curriculum in higher education Bucharest: UNESCO-CEPES, 2011, стр. 185</w:t>
      </w:r>
      <w:r>
        <w:rPr>
          <w:rFonts w:ascii="Arial" w:hAnsi="Arial" w:cs="Arial"/>
          <w:i/>
          <w:color w:val="000000"/>
          <w:sz w:val="22"/>
          <w:szCs w:val="22"/>
          <w:lang w:val="sr-Cyrl-RS"/>
        </w:rPr>
        <w:t>-</w:t>
      </w:r>
      <w:r w:rsidRPr="00EF008E">
        <w:rPr>
          <w:rFonts w:ascii="Arial" w:hAnsi="Arial" w:cs="Arial"/>
          <w:i/>
          <w:color w:val="000000"/>
          <w:sz w:val="22"/>
          <w:szCs w:val="22"/>
          <w:lang w:val="sr-Cyrl-RS"/>
        </w:rPr>
        <w:t>210; Петрушић, Н. Константиновић Вилић, С. Интегрисање студија рода у универзитетски систем образовања, Зборник радова Заштита људских и мањинских права у европском правном простору, Ниш, Правни факултет, 2012, стр. 17</w:t>
      </w:r>
      <w:r>
        <w:rPr>
          <w:rFonts w:ascii="Arial" w:hAnsi="Arial" w:cs="Arial"/>
          <w:i/>
          <w:color w:val="000000"/>
          <w:sz w:val="22"/>
          <w:szCs w:val="22"/>
          <w:lang w:val="sr-Cyrl-RS"/>
        </w:rPr>
        <w:t>-</w:t>
      </w:r>
      <w:r w:rsidRPr="00EF008E">
        <w:rPr>
          <w:rFonts w:ascii="Arial" w:hAnsi="Arial" w:cs="Arial"/>
          <w:i/>
          <w:color w:val="000000"/>
          <w:sz w:val="22"/>
          <w:szCs w:val="22"/>
          <w:lang w:val="sr-Cyrl-RS"/>
        </w:rPr>
        <w:t>40; Антонијевић, З. Производња знања и јавне политике у Србији: за и против уродњавања, Социологија, вол. LX, 2018, бр. 1, стр. 299</w:t>
      </w:r>
      <w:r>
        <w:rPr>
          <w:rFonts w:ascii="Arial" w:hAnsi="Arial" w:cs="Arial"/>
          <w:i/>
          <w:color w:val="000000"/>
          <w:sz w:val="22"/>
          <w:szCs w:val="22"/>
          <w:lang w:val="sr-Cyrl-RS"/>
        </w:rPr>
        <w:t>-</w:t>
      </w:r>
      <w:r w:rsidRPr="00EF008E">
        <w:rPr>
          <w:rFonts w:ascii="Arial" w:hAnsi="Arial" w:cs="Arial"/>
          <w:i/>
          <w:color w:val="000000"/>
          <w:sz w:val="22"/>
          <w:szCs w:val="22"/>
          <w:lang w:val="sr-Cyrl-RS"/>
        </w:rPr>
        <w:t>301; Антонијевић, З. Производња знања и јавне политике у Србији: за и против уродњавања, Социологија, вол. LX (2018), N° 1, стр. 299</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301; Духачек, Д. Изазови у праксама институционализације и извођења женских студија, у: Вујадиновић, Д., Антонијевић З. (ур), Родна равноправност у високом образовању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концепти, праксе и изазови, Академска књига Нови Сад, 2019, стр. 223</w:t>
      </w:r>
      <w:r>
        <w:rPr>
          <w:rFonts w:ascii="Arial" w:hAnsi="Arial" w:cs="Arial"/>
          <w:i/>
          <w:color w:val="000000"/>
          <w:sz w:val="22"/>
          <w:szCs w:val="22"/>
          <w:lang w:val="sr-Cyrl-RS"/>
        </w:rPr>
        <w:t>-</w:t>
      </w:r>
      <w:r w:rsidRPr="00EF008E">
        <w:rPr>
          <w:rFonts w:ascii="Arial" w:hAnsi="Arial" w:cs="Arial"/>
          <w:i/>
          <w:color w:val="000000"/>
          <w:sz w:val="22"/>
          <w:szCs w:val="22"/>
          <w:lang w:val="sr-Cyrl-RS"/>
        </w:rPr>
        <w:t>235; Јарић, И. Јавни и скривени курикулуми родних студија у Србији (1978</w:t>
      </w:r>
      <w:r>
        <w:rPr>
          <w:rFonts w:ascii="Arial" w:hAnsi="Arial" w:cs="Arial"/>
          <w:i/>
          <w:color w:val="000000"/>
          <w:sz w:val="22"/>
          <w:szCs w:val="22"/>
          <w:lang w:val="sr-Cyrl-RS"/>
        </w:rPr>
        <w:t>-</w:t>
      </w:r>
      <w:r w:rsidRPr="00EF008E">
        <w:rPr>
          <w:rFonts w:ascii="Arial" w:hAnsi="Arial" w:cs="Arial"/>
          <w:i/>
          <w:color w:val="000000"/>
          <w:sz w:val="22"/>
          <w:szCs w:val="22"/>
          <w:lang w:val="sr-Cyrl-RS"/>
        </w:rPr>
        <w:t>2018), у: Вујадиновић, Д., Антонијевић З. (ур), оп. цит. стр. 235</w:t>
      </w:r>
      <w:r>
        <w:rPr>
          <w:rFonts w:ascii="Arial" w:hAnsi="Arial" w:cs="Arial"/>
          <w:i/>
          <w:color w:val="000000"/>
          <w:sz w:val="22"/>
          <w:szCs w:val="22"/>
          <w:lang w:val="sr-Cyrl-RS"/>
        </w:rPr>
        <w:t>-</w:t>
      </w:r>
      <w:r w:rsidRPr="00EF008E">
        <w:rPr>
          <w:rFonts w:ascii="Arial" w:hAnsi="Arial" w:cs="Arial"/>
          <w:i/>
          <w:color w:val="000000"/>
          <w:sz w:val="22"/>
          <w:szCs w:val="22"/>
          <w:lang w:val="sr-Cyrl-RS"/>
        </w:rPr>
        <w:t>250. Шобот, А. Родна сегрегација у високом образовању на примеру Србије, у: Вујадиновић, Д., Антонијевић З. (ур), оп. цит. стр. 221</w:t>
      </w:r>
      <w:r>
        <w:rPr>
          <w:rFonts w:ascii="Arial" w:hAnsi="Arial" w:cs="Arial"/>
          <w:i/>
          <w:color w:val="000000"/>
          <w:sz w:val="22"/>
          <w:szCs w:val="22"/>
          <w:lang w:val="sr-Cyrl-RS"/>
        </w:rPr>
        <w:t>-</w:t>
      </w:r>
      <w:r w:rsidRPr="00EF008E">
        <w:rPr>
          <w:rFonts w:ascii="Arial" w:hAnsi="Arial" w:cs="Arial"/>
          <w:i/>
          <w:color w:val="000000"/>
          <w:sz w:val="22"/>
          <w:szCs w:val="22"/>
          <w:lang w:val="sr-Cyrl-RS"/>
        </w:rPr>
        <w:t>234.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451 Демократија и људска права. Извештај о напретку II, Други извештај о напретку по областима за период октобар 2016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1. јун 2020, сачињен на основу оквира за мониторинг и евалуацију, ЖПРС и Фондација Friedrich Ebert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канцеларија у Србији, 2020, стр. 80</w:t>
      </w:r>
      <w:r>
        <w:rPr>
          <w:rFonts w:ascii="Arial" w:hAnsi="Arial" w:cs="Arial"/>
          <w:i/>
          <w:color w:val="000000"/>
          <w:sz w:val="22"/>
          <w:szCs w:val="22"/>
          <w:lang w:val="sr-Cyrl-RS"/>
        </w:rPr>
        <w:t>-</w:t>
      </w:r>
      <w:r w:rsidRPr="00EF008E">
        <w:rPr>
          <w:rFonts w:ascii="Arial" w:hAnsi="Arial" w:cs="Arial"/>
          <w:i/>
          <w:color w:val="000000"/>
          <w:sz w:val="22"/>
          <w:szCs w:val="22"/>
          <w:lang w:val="sr-Cyrl-RS"/>
        </w:rPr>
        <w:t>81.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452 Више: Антонијевић, З., Производња знања и јавне политике у Србији: За и против уродњавања, Социологија 60(1), 2018, стр. 299</w:t>
      </w:r>
      <w:r>
        <w:rPr>
          <w:rFonts w:ascii="Arial" w:hAnsi="Arial" w:cs="Arial"/>
          <w:i/>
          <w:color w:val="000000"/>
          <w:sz w:val="22"/>
          <w:szCs w:val="22"/>
          <w:lang w:val="sr-Cyrl-RS"/>
        </w:rPr>
        <w:t>-</w:t>
      </w:r>
      <w:r w:rsidRPr="00EF008E">
        <w:rPr>
          <w:rFonts w:ascii="Arial" w:hAnsi="Arial" w:cs="Arial"/>
          <w:i/>
          <w:color w:val="000000"/>
          <w:sz w:val="22"/>
          <w:szCs w:val="22"/>
          <w:lang w:val="sr-Cyrl-RS"/>
        </w:rPr>
        <w:t>312.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453 Варади, Т., Пајванчић, М (ур.), оп. цит, страна 231.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454 Опширније: Вујадиновић, Д., Петрушић, Н., Од родно слепог ка родно инклузивном високом образовању у Србији: акциони планови за уродњавање, Социологија 60 (1), 2018, стр. 313</w:t>
      </w:r>
      <w:r>
        <w:rPr>
          <w:rFonts w:ascii="Arial" w:hAnsi="Arial" w:cs="Arial"/>
          <w:i/>
          <w:color w:val="000000"/>
          <w:sz w:val="22"/>
          <w:szCs w:val="22"/>
          <w:lang w:val="sr-Cyrl-RS"/>
        </w:rPr>
        <w:t>-</w:t>
      </w:r>
      <w:r w:rsidRPr="00EF008E">
        <w:rPr>
          <w:rFonts w:ascii="Arial" w:hAnsi="Arial" w:cs="Arial"/>
          <w:i/>
          <w:color w:val="000000"/>
          <w:sz w:val="22"/>
          <w:szCs w:val="22"/>
          <w:lang w:val="sr-Cyrl-RS"/>
        </w:rPr>
        <w:t>329 и Вујадиновић, Д., Петрушић, Н., Увођење родне перспективе у правничко образовање у Србији: пилот анализа студијских програма и уџбеника, у: Перспективе имплементације европских стандарда у правни систем Србије, Књига 7, Правни факултет Универзитета у Београду, 2017, стр. 84</w:t>
      </w:r>
      <w:r>
        <w:rPr>
          <w:rFonts w:ascii="Arial" w:hAnsi="Arial" w:cs="Arial"/>
          <w:i/>
          <w:color w:val="000000"/>
          <w:sz w:val="22"/>
          <w:szCs w:val="22"/>
          <w:lang w:val="sr-Cyrl-RS"/>
        </w:rPr>
        <w:t>-</w:t>
      </w:r>
      <w:r w:rsidRPr="00EF008E">
        <w:rPr>
          <w:rFonts w:ascii="Arial" w:hAnsi="Arial" w:cs="Arial"/>
          <w:i/>
          <w:color w:val="000000"/>
          <w:sz w:val="22"/>
          <w:szCs w:val="22"/>
          <w:lang w:val="sr-Cyrl-RS"/>
        </w:rPr>
        <w:t>103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455 Вујадиновић Д., Антонијевић, З., Родна равноправност у високом образовању: Феминистички изазов за 21. век, у: Вујадиновић, Д., Антонијевић, З., оп. цит, стр. XV</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456 Представљени резултати истраживања студенткиња и студената Факултета политичких наука, Факултет политичких наука, 29.5.2019, доступно на: https://www.fpn.bg.ac.rs/26141, приступ 13.6.2021.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457 На пример, Правилник о понашању запослених у вези са превенцијом и заштитом од сексуалног узнемиравања и уцењивања студената и студенткиња Универзитета у Београду-Факултета политичких наука, 2014, доступно на: http://www.fpn.bg.ac.rs/wp-content/uploads/2016/07/pravilnik-o-ponasanju-zaposlenih-u-vezi-sa-prevencijom-i-zastitom-od-seksualnog-uznemiravanja-i-ucenjivanja.pdf приступ 13.6.2021. и Правилник о заштити од сексуалног узнемиравања и уцењивања, Правни факултет Универзитета УНИОН, доступно на: http://pravnifakultet.rs/wp-content/uploads/2019/03/Pravilnik-o-zastiti-od-seksualnog-uznemiravanja-i-ucenjivanja-22.3.2019..pdf приступ 13.6.2021.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458 Gender Equality in Academia and research, GEAR Tool, EIGE, 2016, Luxembourg: Publications Office of the European Union, доступно на: http://eige.europa.eu, приступ 12.9.2021.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459</w:t>
      </w:r>
      <w:r w:rsidRPr="00EF008E">
        <w:rPr>
          <w:rFonts w:ascii="Arial" w:hAnsi="Arial" w:cs="Arial"/>
          <w:i/>
          <w:color w:val="000000"/>
          <w:sz w:val="22"/>
          <w:szCs w:val="22"/>
          <w:lang w:val="sr-Cyrl-RS"/>
        </w:rPr>
        <w:tab/>
        <w:t>Доступно на: https://www.bg.ac.rs/files/sr/univerzitet/ravnopravnost/Plan_UB_za_postizanje rodne ravnopravnosti_2019.pdf.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460 Доступно на: http://centar.ius.bg.ac.rs/attachment.php?id_attachment=392,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461 L. Husu, Gender Equality in Nordic Academia: Advances and Challenges, у: Вујадиновић, Д., Антонијевић, З. (ур.), оп. цит, страна 66; Петрушић, Н. Вујадиновић, Д. Од родно слепог ка родно инклузивном високом образовању у Србији: Акциони планови за уродњавање, Благојевић, М. (ур) Социологија, 1/2018, 313</w:t>
      </w:r>
      <w:r>
        <w:rPr>
          <w:rFonts w:ascii="Arial" w:hAnsi="Arial" w:cs="Arial"/>
          <w:i/>
          <w:color w:val="000000"/>
          <w:sz w:val="22"/>
          <w:szCs w:val="22"/>
          <w:lang w:val="sr-Cyrl-RS"/>
        </w:rPr>
        <w:t>-</w:t>
      </w:r>
      <w:r w:rsidRPr="00EF008E">
        <w:rPr>
          <w:rFonts w:ascii="Arial" w:hAnsi="Arial" w:cs="Arial"/>
          <w:i/>
          <w:color w:val="000000"/>
          <w:sz w:val="22"/>
          <w:szCs w:val="22"/>
          <w:lang w:val="sr-Cyrl-RS"/>
        </w:rPr>
        <w:t>329.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462 Иницијатива за измену стандарда у поступку за акредитацију високошколских установа, бр. 6-00-1/2018-02 од 9.1.2019. Доступно на: http://ravnopravnost.gov.rs/rs/inicijativa-za-izmenu-standarda-u-postupku-za-akreditaciju-visokoskolskih-ustanova/, приступ 13.6.2021.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463 Проговори о преговорима, Поглавље 25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Наука и истраживање, Београдска отворена школа, доступно на: https://eupregovori.bos.rs/progovori-o-pregovorima/poglavlje-25/1563/2016/02/11/poglavlje-25---nauka-i-istrazivanje-.html приступ 7. 6.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464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465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466 Заједничка позиција Европске уније, Поглавље 25: Наука и истраживање, 2016, доступно на: https://www.mei.gov.rs/upload/documents/pristupni_pregovori/pregovaracke_pozicije/pg_25_eu_pozicija.pdf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467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468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469 Влада РС, Преговарачка позиције РС за Међувладину конференцију о приступању РС Европској унији за Поглавље 25 </w:t>
      </w:r>
      <w:r>
        <w:rPr>
          <w:rFonts w:ascii="Arial" w:hAnsi="Arial" w:cs="Arial"/>
          <w:i/>
          <w:color w:val="000000"/>
          <w:sz w:val="22"/>
          <w:szCs w:val="22"/>
          <w:lang w:val="sr-Cyrl-RS"/>
        </w:rPr>
        <w:t>"</w:t>
      </w:r>
      <w:r w:rsidRPr="00EF008E">
        <w:rPr>
          <w:rFonts w:ascii="Arial" w:hAnsi="Arial" w:cs="Arial"/>
          <w:i/>
          <w:color w:val="000000"/>
          <w:sz w:val="22"/>
          <w:szCs w:val="22"/>
          <w:lang w:val="sr-Cyrl-RS"/>
        </w:rPr>
        <w:t>Наука и истраживање</w:t>
      </w:r>
      <w:r>
        <w:rPr>
          <w:rFonts w:ascii="Arial" w:hAnsi="Arial" w:cs="Arial"/>
          <w:i/>
          <w:color w:val="000000"/>
          <w:sz w:val="22"/>
          <w:szCs w:val="22"/>
          <w:lang w:val="sr-Cyrl-RS"/>
        </w:rPr>
        <w:t>"</w:t>
      </w:r>
      <w:r w:rsidRPr="00EF008E">
        <w:rPr>
          <w:rFonts w:ascii="Arial" w:hAnsi="Arial" w:cs="Arial"/>
          <w:i/>
          <w:color w:val="000000"/>
          <w:sz w:val="22"/>
          <w:szCs w:val="22"/>
          <w:lang w:val="sr-Cyrl-RS"/>
        </w:rPr>
        <w:t>, октобар 2016. године, доступно на: https://eupregovori.bos.rs/progovori-o-pregovorima/uploaded/pg_poglavlje_pg_25.pdf,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470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25/16.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471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472 Стратегија научног и технолошког развоја РС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моћ знања (2021</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2025),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473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49/19.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474 Члан 1. став 2. Закона о науци и истраживањима.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475 Члан 4. став 1. тачка 8. Закона о науци и истраживањима.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476 Члан 68. став 10. Закона о науци и истраживањима.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477 Члан 101. Закона о науци и истраживањима.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478 Пајванчић, М., Родна равноправност у науци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једнаке могућности и посебне мере, у: Стефановић, Л. и др. (ур), Научнице у друштву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Радови са конференције одржане од 11. до 13. фебруара 2020. године и САНУ, Етнографски институт САНУ, 2020, стр. 29</w:t>
      </w:r>
      <w:r>
        <w:rPr>
          <w:rFonts w:ascii="Arial" w:hAnsi="Arial" w:cs="Arial"/>
          <w:i/>
          <w:color w:val="000000"/>
          <w:sz w:val="22"/>
          <w:szCs w:val="22"/>
          <w:lang w:val="sr-Cyrl-RS"/>
        </w:rPr>
        <w:t>-</w:t>
      </w:r>
      <w:r w:rsidRPr="00EF008E">
        <w:rPr>
          <w:rFonts w:ascii="Arial" w:hAnsi="Arial" w:cs="Arial"/>
          <w:i/>
          <w:color w:val="000000"/>
          <w:sz w:val="22"/>
          <w:szCs w:val="22"/>
          <w:lang w:val="sr-Cyrl-RS"/>
        </w:rPr>
        <w:t>40.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479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480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481 Жене и мушкарци у Републици Србији, оп. цит. страна 61.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482 Републички завод за статистику, 2020, доступно на: https://publikacije.stat.gov.rs/G2020/Pdf/G20201165.pdf приступ 10.6.2021.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483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484 Новоуписани студенти на академске/струковне студије у 2020/21. години, Републички завод за статистику, Београд, 2020, доступно на: https://publikacije.stat.gov.rs/G2020/Pdf/G20201349.pdf, приступ 11.6.2021.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485 Жене и мушкарци у Републици Србији, оп. цит, страна 62.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486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487 Делибашић, Б., Пудар, Г., Фикет, И. (ур), оп. цит, страна 119.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488 Исто, стр. 61. и 65.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489 Жене и мушкарци у РС, оп. цит, страна 64.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490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491 Демократија и људска права. Извештај о напретку II, Други извештај о напретку по областима за период октобар 2016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1. јун 2020., сачињен на основу оквира за мониторинг и евалуацију, ЖПРС, ФЕС, 2020, страна 81.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492 Жене и мушкарци у РС, оп. цит, страна 65.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493 Варади Т., Пајванчић, М. (ур), оп. цит, страна 208.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494 Демократија и људска права. Извештај о напретку II, оп. цит, страна 81.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495 Демократија и људска права. Извештај о напретку II, оп. цит, страна 83. Када су у питању конкурси за истраживачке пројекте, један од услова за њихово добијање јесте заступљеност родне перспективе у садржају пројекта и родни баланс у предложеним пројектним тимовима. (Видети GEAR Tool 7). Добијање пројеката Европске комисије, као што су они из програма </w:t>
      </w:r>
      <w:r>
        <w:rPr>
          <w:rFonts w:ascii="Arial" w:hAnsi="Arial" w:cs="Arial"/>
          <w:i/>
          <w:color w:val="000000"/>
          <w:sz w:val="22"/>
          <w:szCs w:val="22"/>
          <w:lang w:val="sr-Cyrl-RS"/>
        </w:rPr>
        <w:t>"</w:t>
      </w:r>
      <w:r w:rsidRPr="00EF008E">
        <w:rPr>
          <w:rFonts w:ascii="Arial" w:hAnsi="Arial" w:cs="Arial"/>
          <w:i/>
          <w:color w:val="000000"/>
          <w:sz w:val="22"/>
          <w:szCs w:val="22"/>
          <w:lang w:val="sr-Cyrl-RS"/>
        </w:rPr>
        <w:t>Хоризонт 2020</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 значајној мери је већ условљено тиме да ли је у пројектне предлоге укључена родна перспектива, а најављени предуслов конкурисања за </w:t>
      </w:r>
      <w:r>
        <w:rPr>
          <w:rFonts w:ascii="Arial" w:hAnsi="Arial" w:cs="Arial"/>
          <w:i/>
          <w:color w:val="000000"/>
          <w:sz w:val="22"/>
          <w:szCs w:val="22"/>
          <w:lang w:val="sr-Cyrl-RS"/>
        </w:rPr>
        <w:t>"</w:t>
      </w:r>
      <w:r w:rsidRPr="00EF008E">
        <w:rPr>
          <w:rFonts w:ascii="Arial" w:hAnsi="Arial" w:cs="Arial"/>
          <w:i/>
          <w:color w:val="000000"/>
          <w:sz w:val="22"/>
          <w:szCs w:val="22"/>
          <w:lang w:val="sr-Cyrl-RS"/>
        </w:rPr>
        <w:t>Хоризонт</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пројекте јесте и да институције које конкуришу морају имати формално усвојене родне акционе планове, који су у процесу имплементације. О томе видети шире: Петрушић, Н. Вујадиновић, Д. Од родно слепог ка родно инклузивном високом образовању у Србији: акциони планови за уродњавање, Социологија, Вол. LX (2018), Н° 1. стр. 313</w:t>
      </w:r>
      <w:r>
        <w:rPr>
          <w:rFonts w:ascii="Arial" w:hAnsi="Arial" w:cs="Arial"/>
          <w:i/>
          <w:color w:val="000000"/>
          <w:sz w:val="22"/>
          <w:szCs w:val="22"/>
          <w:lang w:val="sr-Cyrl-RS"/>
        </w:rPr>
        <w:t>-</w:t>
      </w:r>
      <w:r w:rsidRPr="00EF008E">
        <w:rPr>
          <w:rFonts w:ascii="Arial" w:hAnsi="Arial" w:cs="Arial"/>
          <w:i/>
          <w:color w:val="000000"/>
          <w:sz w:val="22"/>
          <w:szCs w:val="22"/>
          <w:lang w:val="sr-Cyrl-RS"/>
        </w:rPr>
        <w:t>329.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496 Демократија и људска права. Извештај о напретку II, оп. цит, страна 83.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497 Ћериман, Ј., и др. Разумевање концепта родне равноправности у нормативном оквиру високог образовања у Србији, у: Вујадиновић, Д., Антонијевић, З. (ур), оп. цит, страна 117.</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5.2. Родни аспекти људских права, владавине права, безбедности и насиља према женама, и политичког живота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Ова област укључује родне аспекте људских права, владавину права, једнаке могућности за остваривање људских права и њихову ефикасну зашиту, људску безбедност посебно у кризним и ванредним ситуацијама, родно засновано насиље према женама и насиље у породици као најдрастичнији вид кршења људских права као и учешће жена у политичком животу и одлучивању о јавним пословима.</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5.2.1. Владавина права, приступ правди и заштита права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Владавина права, приступ правди, делотворни инструменти и ефикасна заштита права који обликују конзистентан и стабилан правни поредак, кључне су претпоставке за развој друштва у целини па и за остваривање родне равноправности као чиниоца друштвеног развоја. Оцена стања у области владавине права и приступа правди полази од налаза евалуације Националне стратегије за родну равноправност за период од 2016. до 2020. године са АП за 2016</w:t>
      </w:r>
      <w:r>
        <w:rPr>
          <w:rFonts w:ascii="Arial" w:hAnsi="Arial" w:cs="Arial"/>
          <w:color w:val="000000"/>
          <w:sz w:val="22"/>
          <w:szCs w:val="22"/>
          <w:lang w:val="sr-Cyrl-RS"/>
        </w:rPr>
        <w:t>-</w:t>
      </w:r>
      <w:r w:rsidRPr="00EF008E">
        <w:rPr>
          <w:rFonts w:ascii="Arial" w:hAnsi="Arial" w:cs="Arial"/>
          <w:color w:val="000000"/>
          <w:sz w:val="22"/>
          <w:szCs w:val="22"/>
          <w:lang w:val="sr-Cyrl-RS"/>
        </w:rPr>
        <w:t>2018</w:t>
      </w:r>
      <w:r w:rsidRPr="00EF008E">
        <w:rPr>
          <w:rFonts w:ascii="Arial" w:hAnsi="Arial" w:cs="Arial"/>
          <w:color w:val="000000"/>
          <w:sz w:val="22"/>
          <w:szCs w:val="22"/>
          <w:vertAlign w:val="superscript"/>
          <w:lang w:val="sr-Cyrl-RS"/>
        </w:rPr>
        <w:t>498</w:t>
      </w:r>
      <w:r w:rsidRPr="00EF008E">
        <w:rPr>
          <w:rFonts w:ascii="Arial" w:hAnsi="Arial" w:cs="Arial"/>
          <w:color w:val="000000"/>
          <w:sz w:val="22"/>
          <w:szCs w:val="22"/>
          <w:lang w:val="sr-Cyrl-RS"/>
        </w:rPr>
        <w:t xml:space="preserve"> и евалуације Националне стратегије за родну равноправност 2016</w:t>
      </w:r>
      <w:r>
        <w:rPr>
          <w:rFonts w:ascii="Arial" w:hAnsi="Arial" w:cs="Arial"/>
          <w:color w:val="000000"/>
          <w:sz w:val="22"/>
          <w:szCs w:val="22"/>
          <w:lang w:val="sr-Cyrl-RS"/>
        </w:rPr>
        <w:t>-</w:t>
      </w:r>
      <w:r w:rsidRPr="00EF008E">
        <w:rPr>
          <w:rFonts w:ascii="Arial" w:hAnsi="Arial" w:cs="Arial"/>
          <w:color w:val="000000"/>
          <w:sz w:val="22"/>
          <w:szCs w:val="22"/>
          <w:lang w:val="sr-Cyrl-RS"/>
        </w:rPr>
        <w:t>2020 за период од 2018</w:t>
      </w:r>
      <w:r>
        <w:rPr>
          <w:rFonts w:ascii="Arial" w:hAnsi="Arial" w:cs="Arial"/>
          <w:color w:val="000000"/>
          <w:sz w:val="22"/>
          <w:szCs w:val="22"/>
          <w:lang w:val="sr-Cyrl-RS"/>
        </w:rPr>
        <w:t>-</w:t>
      </w:r>
      <w:r w:rsidRPr="00EF008E">
        <w:rPr>
          <w:rFonts w:ascii="Arial" w:hAnsi="Arial" w:cs="Arial"/>
          <w:color w:val="000000"/>
          <w:sz w:val="22"/>
          <w:szCs w:val="22"/>
          <w:lang w:val="sr-Cyrl-RS"/>
        </w:rPr>
        <w:t>2020.</w:t>
      </w:r>
      <w:r w:rsidRPr="00EF008E">
        <w:rPr>
          <w:rFonts w:ascii="Arial" w:hAnsi="Arial" w:cs="Arial"/>
          <w:color w:val="000000"/>
          <w:sz w:val="22"/>
          <w:szCs w:val="22"/>
          <w:vertAlign w:val="superscript"/>
          <w:lang w:val="sr-Cyrl-RS"/>
        </w:rPr>
        <w:t>499</w:t>
      </w:r>
      <w:r w:rsidRPr="00EF008E">
        <w:rPr>
          <w:rFonts w:ascii="Arial" w:hAnsi="Arial" w:cs="Arial"/>
          <w:color w:val="000000"/>
          <w:sz w:val="22"/>
          <w:szCs w:val="22"/>
          <w:lang w:val="sr-Cyrl-RS"/>
        </w:rPr>
        <w:t xml:space="preserve"> Агенде 2030 за Србију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мапирање националног стратешког оквира у односу на циљеве одрживог развоја</w:t>
      </w:r>
      <w:r w:rsidRPr="00EF008E">
        <w:rPr>
          <w:rFonts w:ascii="Arial" w:hAnsi="Arial" w:cs="Arial"/>
          <w:color w:val="000000"/>
          <w:sz w:val="22"/>
          <w:szCs w:val="22"/>
          <w:vertAlign w:val="superscript"/>
          <w:lang w:val="sr-Cyrl-RS"/>
        </w:rPr>
        <w:t>500</w:t>
      </w:r>
      <w:r w:rsidRPr="00EF008E">
        <w:rPr>
          <w:rFonts w:ascii="Arial" w:hAnsi="Arial" w:cs="Arial"/>
          <w:color w:val="000000"/>
          <w:sz w:val="22"/>
          <w:szCs w:val="22"/>
          <w:lang w:val="sr-Cyrl-RS"/>
        </w:rPr>
        <w:t>, (циљ 5. и циљ 16, потциљ 16.3 и препорука 9), Закључних запажања CEDAW комитета у вези са Четвртим периодичним извештајем Републике Србије</w:t>
      </w:r>
      <w:r w:rsidRPr="00EF008E">
        <w:rPr>
          <w:rFonts w:ascii="Arial" w:hAnsi="Arial" w:cs="Arial"/>
          <w:color w:val="000000"/>
          <w:sz w:val="22"/>
          <w:szCs w:val="22"/>
          <w:vertAlign w:val="superscript"/>
          <w:lang w:val="sr-Cyrl-RS"/>
        </w:rPr>
        <w:t>501</w:t>
      </w:r>
      <w:r w:rsidRPr="00EF008E">
        <w:rPr>
          <w:rFonts w:ascii="Arial" w:hAnsi="Arial" w:cs="Arial"/>
          <w:color w:val="000000"/>
          <w:sz w:val="22"/>
          <w:szCs w:val="22"/>
          <w:lang w:val="sr-Cyrl-RS"/>
        </w:rPr>
        <w:t>, Стратегије развоја правосуђа (2020</w:t>
      </w:r>
      <w:r>
        <w:rPr>
          <w:rFonts w:ascii="Arial" w:hAnsi="Arial" w:cs="Arial"/>
          <w:color w:val="000000"/>
          <w:sz w:val="22"/>
          <w:szCs w:val="22"/>
          <w:lang w:val="sr-Cyrl-RS"/>
        </w:rPr>
        <w:t>-</w:t>
      </w:r>
      <w:r w:rsidRPr="00EF008E">
        <w:rPr>
          <w:rFonts w:ascii="Arial" w:hAnsi="Arial" w:cs="Arial"/>
          <w:color w:val="000000"/>
          <w:sz w:val="22"/>
          <w:szCs w:val="22"/>
          <w:lang w:val="sr-Cyrl-RS"/>
        </w:rPr>
        <w:t>2025)</w:t>
      </w:r>
      <w:r w:rsidRPr="00EF008E">
        <w:rPr>
          <w:rFonts w:ascii="Arial" w:hAnsi="Arial" w:cs="Arial"/>
          <w:color w:val="000000"/>
          <w:sz w:val="22"/>
          <w:szCs w:val="22"/>
          <w:vertAlign w:val="superscript"/>
          <w:lang w:val="sr-Cyrl-RS"/>
        </w:rPr>
        <w:t>502</w:t>
      </w:r>
      <w:r w:rsidRPr="00EF008E">
        <w:rPr>
          <w:rFonts w:ascii="Arial" w:hAnsi="Arial" w:cs="Arial"/>
          <w:color w:val="000000"/>
          <w:sz w:val="22"/>
          <w:szCs w:val="22"/>
          <w:lang w:val="sr-Cyrl-RS"/>
        </w:rPr>
        <w:t xml:space="preserve"> и ревидираног Акционог плана за поглавље 23</w:t>
      </w:r>
      <w:r w:rsidRPr="00EF008E">
        <w:rPr>
          <w:rFonts w:ascii="Arial" w:hAnsi="Arial" w:cs="Arial"/>
          <w:color w:val="000000"/>
          <w:sz w:val="22"/>
          <w:szCs w:val="22"/>
          <w:vertAlign w:val="superscript"/>
          <w:lang w:val="sr-Cyrl-RS"/>
        </w:rPr>
        <w:t>503</w:t>
      </w:r>
      <w:r w:rsidRPr="00EF008E">
        <w:rPr>
          <w:rFonts w:ascii="Arial" w:hAnsi="Arial" w:cs="Arial"/>
          <w:color w:val="000000"/>
          <w:sz w:val="22"/>
          <w:szCs w:val="22"/>
          <w:lang w:val="sr-Cyrl-RS"/>
        </w:rPr>
        <w:t>, Стратегије за спречавање и борбу против родно заснованог насиља према женама и насиља у породици за период од 2021. до 2025. године</w:t>
      </w:r>
      <w:r w:rsidRPr="00EF008E">
        <w:rPr>
          <w:rFonts w:ascii="Arial" w:hAnsi="Arial" w:cs="Arial"/>
          <w:color w:val="000000"/>
          <w:sz w:val="22"/>
          <w:szCs w:val="22"/>
          <w:vertAlign w:val="superscript"/>
          <w:lang w:val="sr-Cyrl-RS"/>
        </w:rPr>
        <w:t>504</w:t>
      </w:r>
      <w:r w:rsidRPr="00EF008E">
        <w:rPr>
          <w:rFonts w:ascii="Arial" w:hAnsi="Arial" w:cs="Arial"/>
          <w:color w:val="000000"/>
          <w:sz w:val="22"/>
          <w:szCs w:val="22"/>
          <w:lang w:val="sr-Cyrl-RS"/>
        </w:rPr>
        <w:t>, као и Закона о родној равноправности</w:t>
      </w:r>
      <w:r w:rsidRPr="00EF008E">
        <w:rPr>
          <w:rFonts w:ascii="Arial" w:hAnsi="Arial" w:cs="Arial"/>
          <w:color w:val="000000"/>
          <w:sz w:val="22"/>
          <w:szCs w:val="22"/>
          <w:vertAlign w:val="superscript"/>
          <w:lang w:val="sr-Cyrl-RS"/>
        </w:rPr>
        <w:t>505</w:t>
      </w:r>
      <w:r w:rsidRPr="00EF008E">
        <w:rPr>
          <w:rFonts w:ascii="Arial" w:hAnsi="Arial" w:cs="Arial"/>
          <w:color w:val="000000"/>
          <w:sz w:val="22"/>
          <w:szCs w:val="22"/>
          <w:lang w:val="sr-Cyrl-RS"/>
        </w:rPr>
        <w:t>, а ослања се на изворе јавно доступних података које поседују органи јавне власти и података из истраживања академске заједнице и ОЦД. Владавина права и приступ правди зависи од нормативног оквира, али и од предузимања практичних мера које доприносе ефективном приступу правди. Оба ова аспекта укључена су у оцену стања.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Владавина права, која претпоставља независност суда и судија и самосталност тужилаштва, услов је да грађани/ке у пуном капацитету и ефикасно остваре сва права везана за правично суђење (доношење одлуке у правичном поступку, искључиво на законским основама и без непримереног утицаја</w:t>
      </w:r>
      <w:r w:rsidRPr="00EF008E">
        <w:rPr>
          <w:rFonts w:ascii="Arial" w:hAnsi="Arial" w:cs="Arial"/>
          <w:color w:val="000000"/>
          <w:sz w:val="22"/>
          <w:szCs w:val="22"/>
          <w:vertAlign w:val="superscript"/>
          <w:lang w:val="sr-Cyrl-RS"/>
        </w:rPr>
        <w:t>506</w:t>
      </w:r>
      <w:r w:rsidRPr="00EF008E">
        <w:rPr>
          <w:rFonts w:ascii="Arial" w:hAnsi="Arial" w:cs="Arial"/>
          <w:color w:val="000000"/>
          <w:sz w:val="22"/>
          <w:szCs w:val="22"/>
          <w:lang w:val="sr-Cyrl-RS"/>
        </w:rPr>
        <w:t>). Устав гарантује једнакост пред законом</w:t>
      </w:r>
      <w:r w:rsidRPr="00EF008E">
        <w:rPr>
          <w:rFonts w:ascii="Arial" w:hAnsi="Arial" w:cs="Arial"/>
          <w:color w:val="000000"/>
          <w:sz w:val="22"/>
          <w:szCs w:val="22"/>
          <w:vertAlign w:val="superscript"/>
          <w:lang w:val="sr-Cyrl-RS"/>
        </w:rPr>
        <w:t>507</w:t>
      </w:r>
      <w:r w:rsidRPr="00EF008E">
        <w:rPr>
          <w:rFonts w:ascii="Arial" w:hAnsi="Arial" w:cs="Arial"/>
          <w:color w:val="000000"/>
          <w:sz w:val="22"/>
          <w:szCs w:val="22"/>
          <w:lang w:val="sr-Cyrl-RS"/>
        </w:rPr>
        <w:t>, право на једнаку законску заштиту</w:t>
      </w:r>
      <w:r w:rsidRPr="00EF008E">
        <w:rPr>
          <w:rFonts w:ascii="Arial" w:hAnsi="Arial" w:cs="Arial"/>
          <w:color w:val="000000"/>
          <w:sz w:val="22"/>
          <w:szCs w:val="22"/>
          <w:vertAlign w:val="superscript"/>
          <w:lang w:val="sr-Cyrl-RS"/>
        </w:rPr>
        <w:t>508</w:t>
      </w:r>
      <w:r w:rsidRPr="00EF008E">
        <w:rPr>
          <w:rFonts w:ascii="Arial" w:hAnsi="Arial" w:cs="Arial"/>
          <w:color w:val="000000"/>
          <w:sz w:val="22"/>
          <w:szCs w:val="22"/>
          <w:lang w:val="sr-Cyrl-RS"/>
        </w:rPr>
        <w:t>, право на судску заштиту</w:t>
      </w:r>
      <w:r w:rsidRPr="00EF008E">
        <w:rPr>
          <w:rFonts w:ascii="Arial" w:hAnsi="Arial" w:cs="Arial"/>
          <w:color w:val="000000"/>
          <w:sz w:val="22"/>
          <w:szCs w:val="22"/>
          <w:vertAlign w:val="superscript"/>
          <w:lang w:val="sr-Cyrl-RS"/>
        </w:rPr>
        <w:t>509</w:t>
      </w:r>
      <w:r w:rsidRPr="00EF008E">
        <w:rPr>
          <w:rFonts w:ascii="Arial" w:hAnsi="Arial" w:cs="Arial"/>
          <w:color w:val="000000"/>
          <w:sz w:val="22"/>
          <w:szCs w:val="22"/>
          <w:lang w:val="sr-Cyrl-RS"/>
        </w:rPr>
        <w:t>, право на уставносудску заштиту права</w:t>
      </w:r>
      <w:r w:rsidRPr="00EF008E">
        <w:rPr>
          <w:rFonts w:ascii="Arial" w:hAnsi="Arial" w:cs="Arial"/>
          <w:color w:val="000000"/>
          <w:sz w:val="22"/>
          <w:szCs w:val="22"/>
          <w:vertAlign w:val="superscript"/>
          <w:lang w:val="sr-Cyrl-RS"/>
        </w:rPr>
        <w:t>510</w:t>
      </w:r>
      <w:r w:rsidRPr="00EF008E">
        <w:rPr>
          <w:rFonts w:ascii="Arial" w:hAnsi="Arial" w:cs="Arial"/>
          <w:color w:val="000000"/>
          <w:sz w:val="22"/>
          <w:szCs w:val="22"/>
          <w:lang w:val="sr-Cyrl-RS"/>
        </w:rPr>
        <w:t>, право на обраћање међународним институцијама ради заштите слобода и права</w:t>
      </w:r>
      <w:r w:rsidRPr="00EF008E">
        <w:rPr>
          <w:rFonts w:ascii="Arial" w:hAnsi="Arial" w:cs="Arial"/>
          <w:color w:val="000000"/>
          <w:sz w:val="22"/>
          <w:szCs w:val="22"/>
          <w:vertAlign w:val="superscript"/>
          <w:lang w:val="sr-Cyrl-RS"/>
        </w:rPr>
        <w:t>511</w:t>
      </w:r>
      <w:r w:rsidRPr="00EF008E">
        <w:rPr>
          <w:rFonts w:ascii="Arial" w:hAnsi="Arial" w:cs="Arial"/>
          <w:color w:val="000000"/>
          <w:sz w:val="22"/>
          <w:szCs w:val="22"/>
          <w:lang w:val="sr-Cyrl-RS"/>
        </w:rPr>
        <w:t xml:space="preserve"> и гаранције које обезбеђују поштовање ових права. Систем и заштите права употпуњује и заштита коју пружају независне институције, Повереник за заштиту равноправности и Заштитник грађана. У више наврата, Венецијанска комисија износила је критичке примедбе на уставна решења о правосуђу.</w:t>
      </w:r>
      <w:r w:rsidRPr="00EF008E">
        <w:rPr>
          <w:rFonts w:ascii="Arial" w:hAnsi="Arial" w:cs="Arial"/>
          <w:color w:val="000000"/>
          <w:sz w:val="22"/>
          <w:szCs w:val="22"/>
          <w:vertAlign w:val="superscript"/>
          <w:lang w:val="sr-Cyrl-RS"/>
        </w:rPr>
        <w:t>512</w:t>
      </w:r>
      <w:r w:rsidRPr="00EF008E">
        <w:rPr>
          <w:rFonts w:ascii="Arial" w:hAnsi="Arial" w:cs="Arial"/>
          <w:color w:val="000000"/>
          <w:sz w:val="22"/>
          <w:szCs w:val="22"/>
          <w:lang w:val="sr-Cyrl-RS"/>
        </w:rPr>
        <w:t xml:space="preserve"> У процесу придруживања Републике Србије ЕУ (Поглавље 23) промене уставних решења о правосуђу препознате су као битан услов успостављања нормативних претпоставки за владавину права. Рад на изменама Устава започео је 2017. године. Министарство правде припремило је радни текст Нацрта амандмана на Устав</w:t>
      </w:r>
      <w:r w:rsidRPr="00EF008E">
        <w:rPr>
          <w:rFonts w:ascii="Arial" w:hAnsi="Arial" w:cs="Arial"/>
          <w:color w:val="000000"/>
          <w:sz w:val="22"/>
          <w:szCs w:val="22"/>
          <w:vertAlign w:val="superscript"/>
          <w:lang w:val="sr-Cyrl-RS"/>
        </w:rPr>
        <w:t>513</w:t>
      </w:r>
      <w:r w:rsidRPr="00EF008E">
        <w:rPr>
          <w:rFonts w:ascii="Arial" w:hAnsi="Arial" w:cs="Arial"/>
          <w:color w:val="000000"/>
          <w:sz w:val="22"/>
          <w:szCs w:val="22"/>
          <w:lang w:val="sr-Cyrl-RS"/>
        </w:rPr>
        <w:t>, а о том амандману током 2018. године вођена је јавна расправа. Критичке замерке на предложена решења упутили су: Високи савет судства</w:t>
      </w:r>
      <w:r w:rsidRPr="00EF008E">
        <w:rPr>
          <w:rFonts w:ascii="Arial" w:hAnsi="Arial" w:cs="Arial"/>
          <w:color w:val="000000"/>
          <w:sz w:val="22"/>
          <w:szCs w:val="22"/>
          <w:vertAlign w:val="superscript"/>
          <w:lang w:val="sr-Cyrl-RS"/>
        </w:rPr>
        <w:t>514</w:t>
      </w:r>
      <w:r w:rsidRPr="00EF008E">
        <w:rPr>
          <w:rFonts w:ascii="Arial" w:hAnsi="Arial" w:cs="Arial"/>
          <w:color w:val="000000"/>
          <w:sz w:val="22"/>
          <w:szCs w:val="22"/>
          <w:lang w:val="sr-Cyrl-RS"/>
        </w:rPr>
        <w:t>, струковнa удружења организације судија</w:t>
      </w:r>
      <w:r w:rsidRPr="00EF008E">
        <w:rPr>
          <w:rFonts w:ascii="Arial" w:hAnsi="Arial" w:cs="Arial"/>
          <w:color w:val="000000"/>
          <w:sz w:val="22"/>
          <w:szCs w:val="22"/>
          <w:vertAlign w:val="superscript"/>
          <w:lang w:val="sr-Cyrl-RS"/>
        </w:rPr>
        <w:t>515</w:t>
      </w:r>
      <w:r w:rsidRPr="00EF008E">
        <w:rPr>
          <w:rFonts w:ascii="Arial" w:hAnsi="Arial" w:cs="Arial"/>
          <w:color w:val="000000"/>
          <w:sz w:val="22"/>
          <w:szCs w:val="22"/>
          <w:lang w:val="sr-Cyrl-RS"/>
        </w:rPr>
        <w:t xml:space="preserve"> и тужилаца</w:t>
      </w:r>
      <w:r w:rsidRPr="00EF008E">
        <w:rPr>
          <w:rFonts w:ascii="Arial" w:hAnsi="Arial" w:cs="Arial"/>
          <w:color w:val="000000"/>
          <w:sz w:val="22"/>
          <w:szCs w:val="22"/>
          <w:vertAlign w:val="superscript"/>
          <w:lang w:val="sr-Cyrl-RS"/>
        </w:rPr>
        <w:t>516</w:t>
      </w:r>
      <w:r w:rsidRPr="00EF008E">
        <w:rPr>
          <w:rFonts w:ascii="Arial" w:hAnsi="Arial" w:cs="Arial"/>
          <w:color w:val="000000"/>
          <w:sz w:val="22"/>
          <w:szCs w:val="22"/>
          <w:lang w:val="sr-Cyrl-RS"/>
        </w:rPr>
        <w:t>, више ОЦД</w:t>
      </w:r>
      <w:r w:rsidRPr="00EF008E">
        <w:rPr>
          <w:rFonts w:ascii="Arial" w:hAnsi="Arial" w:cs="Arial"/>
          <w:color w:val="000000"/>
          <w:sz w:val="22"/>
          <w:szCs w:val="22"/>
          <w:vertAlign w:val="superscript"/>
          <w:lang w:val="sr-Cyrl-RS"/>
        </w:rPr>
        <w:t>517</w:t>
      </w:r>
      <w:r w:rsidRPr="00EF008E">
        <w:rPr>
          <w:rFonts w:ascii="Arial" w:hAnsi="Arial" w:cs="Arial"/>
          <w:color w:val="000000"/>
          <w:sz w:val="22"/>
          <w:szCs w:val="22"/>
          <w:lang w:val="sr-Cyrl-RS"/>
        </w:rPr>
        <w:t>, академска заједница.</w:t>
      </w:r>
      <w:r w:rsidRPr="00EF008E">
        <w:rPr>
          <w:rFonts w:ascii="Arial" w:hAnsi="Arial" w:cs="Arial"/>
          <w:color w:val="000000"/>
          <w:sz w:val="22"/>
          <w:szCs w:val="22"/>
          <w:vertAlign w:val="superscript"/>
          <w:lang w:val="sr-Cyrl-RS"/>
        </w:rPr>
        <w:t>518</w:t>
      </w:r>
      <w:r w:rsidRPr="00EF008E">
        <w:rPr>
          <w:rFonts w:ascii="Arial" w:hAnsi="Arial" w:cs="Arial"/>
          <w:color w:val="000000"/>
          <w:sz w:val="22"/>
          <w:szCs w:val="22"/>
          <w:lang w:val="sr-Cyrl-RS"/>
        </w:rPr>
        <w:t xml:space="preserve"> Након примедаба изнетих у јавној расправи сачињено је више (4) верзијa Нацрта амандмана на Устав.</w:t>
      </w:r>
      <w:r w:rsidRPr="00EF008E">
        <w:rPr>
          <w:rFonts w:ascii="Arial" w:hAnsi="Arial" w:cs="Arial"/>
          <w:color w:val="000000"/>
          <w:sz w:val="22"/>
          <w:szCs w:val="22"/>
          <w:vertAlign w:val="superscript"/>
          <w:lang w:val="sr-Cyrl-RS"/>
        </w:rPr>
        <w:t>519</w:t>
      </w:r>
      <w:r w:rsidRPr="00EF008E">
        <w:rPr>
          <w:rFonts w:ascii="Arial" w:hAnsi="Arial" w:cs="Arial"/>
          <w:color w:val="000000"/>
          <w:sz w:val="22"/>
          <w:szCs w:val="22"/>
          <w:lang w:val="sr-Cyrl-RS"/>
        </w:rPr>
        <w:t xml:space="preserve"> Предлог за промену Устава, Влада је упутила Народној скупштини новембра 2018. године. Током 2019. и 2020.</w:t>
      </w:r>
      <w:r w:rsidRPr="00EF008E">
        <w:rPr>
          <w:rFonts w:ascii="Arial" w:hAnsi="Arial" w:cs="Arial"/>
          <w:color w:val="000000"/>
          <w:sz w:val="22"/>
          <w:szCs w:val="22"/>
          <w:vertAlign w:val="superscript"/>
          <w:lang w:val="sr-Cyrl-RS"/>
        </w:rPr>
        <w:t>520</w:t>
      </w:r>
      <w:r w:rsidRPr="00EF008E">
        <w:rPr>
          <w:rFonts w:ascii="Arial" w:hAnsi="Arial" w:cs="Arial"/>
          <w:color w:val="000000"/>
          <w:sz w:val="22"/>
          <w:szCs w:val="22"/>
          <w:lang w:val="sr-Cyrl-RS"/>
        </w:rPr>
        <w:t xml:space="preserve"> године активности на промени Устава се нису одвијале, а интензивиране су 2021. године. Одбор за уставна питања и законодавство организовао је јавна слушања</w:t>
      </w:r>
      <w:r w:rsidRPr="00EF008E">
        <w:rPr>
          <w:rFonts w:ascii="Arial" w:hAnsi="Arial" w:cs="Arial"/>
          <w:color w:val="000000"/>
          <w:sz w:val="22"/>
          <w:szCs w:val="22"/>
          <w:vertAlign w:val="superscript"/>
          <w:lang w:val="sr-Cyrl-RS"/>
        </w:rPr>
        <w:t>521</w:t>
      </w:r>
      <w:r w:rsidRPr="00EF008E">
        <w:rPr>
          <w:rFonts w:ascii="Arial" w:hAnsi="Arial" w:cs="Arial"/>
          <w:color w:val="000000"/>
          <w:sz w:val="22"/>
          <w:szCs w:val="22"/>
          <w:lang w:val="sr-Cyrl-RS"/>
        </w:rPr>
        <w:t xml:space="preserve"> и дебату о томе шта је потребно мењати у Уставу РС</w:t>
      </w:r>
      <w:r w:rsidRPr="00EF008E">
        <w:rPr>
          <w:rFonts w:ascii="Arial" w:hAnsi="Arial" w:cs="Arial"/>
          <w:color w:val="000000"/>
          <w:sz w:val="22"/>
          <w:szCs w:val="22"/>
          <w:vertAlign w:val="superscript"/>
          <w:lang w:val="sr-Cyrl-RS"/>
        </w:rPr>
        <w:t>522</w:t>
      </w:r>
      <w:r w:rsidRPr="00EF008E">
        <w:rPr>
          <w:rFonts w:ascii="Arial" w:hAnsi="Arial" w:cs="Arial"/>
          <w:color w:val="000000"/>
          <w:sz w:val="22"/>
          <w:szCs w:val="22"/>
          <w:lang w:val="sr-Cyrl-RS"/>
        </w:rPr>
        <w:t xml:space="preserve"> у области правосуђа,</w:t>
      </w:r>
      <w:r w:rsidRPr="00EF008E">
        <w:rPr>
          <w:rFonts w:ascii="Arial" w:hAnsi="Arial" w:cs="Arial"/>
          <w:color w:val="000000"/>
          <w:sz w:val="22"/>
          <w:szCs w:val="22"/>
          <w:vertAlign w:val="superscript"/>
          <w:lang w:val="sr-Cyrl-RS"/>
        </w:rPr>
        <w:t>523</w:t>
      </w:r>
      <w:r w:rsidRPr="00EF008E">
        <w:rPr>
          <w:rFonts w:ascii="Arial" w:hAnsi="Arial" w:cs="Arial"/>
          <w:color w:val="000000"/>
          <w:sz w:val="22"/>
          <w:szCs w:val="22"/>
          <w:lang w:val="sr-Cyrl-RS"/>
        </w:rPr>
        <w:t xml:space="preserve"> а 21. јуна 2021. године формирао је Радну групу која припрема Нацрт амандмана на Устав у чији састав су укључени представници/це струковних удружења судија и тужилаца. Променама Устава потребно је поставити темељне нормативне претпоставке за владавину права у складу са европским и међународним стандардима у документима ЕУ, УН, СЕ, посебно Венецијанске комисије, групе држава против корупције ГРЕКО, Европске комисије за ефикасност правосуђа СЕПЕЖ, Консултативног већа европских судија, Консултативног већа европских тужилаца и Европске мреже савета правосуђа.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Усвојено је неколико закона, значајних за родну равноправност, владавину права и приступ правди на чије се усвајање чекало готово деценију. Поред измена и допуна Закона о забрани дискриминације</w:t>
      </w:r>
      <w:r w:rsidRPr="00EF008E">
        <w:rPr>
          <w:rFonts w:ascii="Arial" w:hAnsi="Arial" w:cs="Arial"/>
          <w:color w:val="000000"/>
          <w:sz w:val="22"/>
          <w:szCs w:val="22"/>
          <w:vertAlign w:val="superscript"/>
          <w:lang w:val="sr-Cyrl-RS"/>
        </w:rPr>
        <w:t>524</w:t>
      </w:r>
      <w:r w:rsidRPr="00EF008E">
        <w:rPr>
          <w:rFonts w:ascii="Arial" w:hAnsi="Arial" w:cs="Arial"/>
          <w:color w:val="000000"/>
          <w:sz w:val="22"/>
          <w:szCs w:val="22"/>
          <w:lang w:val="sr-Cyrl-RS"/>
        </w:rPr>
        <w:t xml:space="preserve"> и усвајања новог Закона о родној равноправности</w:t>
      </w:r>
      <w:r w:rsidRPr="00EF008E">
        <w:rPr>
          <w:rFonts w:ascii="Arial" w:hAnsi="Arial" w:cs="Arial"/>
          <w:color w:val="000000"/>
          <w:sz w:val="22"/>
          <w:szCs w:val="22"/>
          <w:vertAlign w:val="superscript"/>
          <w:lang w:val="sr-Cyrl-RS"/>
        </w:rPr>
        <w:t>525</w:t>
      </w:r>
      <w:r w:rsidRPr="00EF008E">
        <w:rPr>
          <w:rFonts w:ascii="Arial" w:hAnsi="Arial" w:cs="Arial"/>
          <w:color w:val="000000"/>
          <w:sz w:val="22"/>
          <w:szCs w:val="22"/>
          <w:lang w:val="sr-Cyrl-RS"/>
        </w:rPr>
        <w:t xml:space="preserve"> којима је целовито регулисана заштита од родно засноване дискриминације у складу са међународним стандардима, прописане су и посебне мере чији циљ је стварање једнаких могућности за остваривање свих људских права за жене и мушкарце, регулисане обавезе јавних власти, послодаваца и других субјеката, инструменти и одговорност јавних власти за имплементацију закона, показатељи релевантни за родну статистику</w:t>
      </w:r>
      <w:r w:rsidRPr="00EF008E">
        <w:rPr>
          <w:rFonts w:ascii="Arial" w:hAnsi="Arial" w:cs="Arial"/>
          <w:color w:val="000000"/>
          <w:sz w:val="22"/>
          <w:szCs w:val="22"/>
          <w:vertAlign w:val="superscript"/>
          <w:lang w:val="sr-Cyrl-RS"/>
        </w:rPr>
        <w:t>526</w:t>
      </w:r>
      <w:r w:rsidRPr="00EF008E">
        <w:rPr>
          <w:rFonts w:ascii="Arial" w:hAnsi="Arial" w:cs="Arial"/>
          <w:color w:val="000000"/>
          <w:sz w:val="22"/>
          <w:szCs w:val="22"/>
          <w:lang w:val="sr-Cyrl-RS"/>
        </w:rPr>
        <w:t>, прописане санкције за кршење закона и др. Тиме су на нормативном плану, отклоњени недостаци (непотпуна и међусобно неусклађена законска решења, вишегодишње кашњење рада на променама ових закона) који су отежавали примену антидискриминационих закона и унапређивање родне равноправности. Ефекти примене ових недавно донетих закона се још не могу пратити.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Бесплатна правна помоћ је значајан предуслов за једнаке могућности за приступ правди. Делотворан приступ правди подразумева адекватан систем правне помоћи, који обезбеђује пружање квалитетне правне помоћи, бесплатно или по смањеним трошковима, свима који нису у стању да је плате.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После дужег времена 2018. године усвојен је Закон о бесплатној правној помоћи</w:t>
      </w:r>
      <w:r w:rsidRPr="00EF008E">
        <w:rPr>
          <w:rFonts w:ascii="Arial" w:hAnsi="Arial" w:cs="Arial"/>
          <w:color w:val="000000"/>
          <w:sz w:val="22"/>
          <w:szCs w:val="22"/>
          <w:vertAlign w:val="superscript"/>
          <w:lang w:val="sr-Cyrl-RS"/>
        </w:rPr>
        <w:t>527</w:t>
      </w:r>
      <w:r w:rsidRPr="00EF008E">
        <w:rPr>
          <w:rFonts w:ascii="Arial" w:hAnsi="Arial" w:cs="Arial"/>
          <w:color w:val="000000"/>
          <w:sz w:val="22"/>
          <w:szCs w:val="22"/>
          <w:lang w:val="sr-Cyrl-RS"/>
        </w:rPr>
        <w:t xml:space="preserve"> чија примена је започела 1. октобра 2019. године, којим је успостављен систем пружања бесплатне правне помоћи. Позитиван помак је гарантовање права на бесплатну правну помоћ жртвама насиља у породици, лицу које остварује правну заштиту од тортуре, нечовечног или понижавајућег поступања или кажњавања или трговине људима.</w:t>
      </w:r>
      <w:r w:rsidRPr="00EF008E">
        <w:rPr>
          <w:rFonts w:ascii="Arial" w:hAnsi="Arial" w:cs="Arial"/>
          <w:color w:val="000000"/>
          <w:sz w:val="22"/>
          <w:szCs w:val="22"/>
          <w:vertAlign w:val="superscript"/>
          <w:lang w:val="sr-Cyrl-RS"/>
        </w:rPr>
        <w:t>528</w:t>
      </w:r>
      <w:r w:rsidRPr="00EF008E">
        <w:rPr>
          <w:rFonts w:ascii="Arial" w:hAnsi="Arial" w:cs="Arial"/>
          <w:color w:val="000000"/>
          <w:sz w:val="22"/>
          <w:szCs w:val="22"/>
          <w:lang w:val="sr-Cyrl-RS"/>
        </w:rPr>
        <w:t xml:space="preserve"> Круг корисника бесплатне правне помоћи не обухвата жртве свих облика родно заснованог насиља, па би изменама Закона круг корисника бесплатне правне помоћи требало проширити и укључити и жртве родно заснованог насиља према женама, што је наглашено и у Стратегији за спречавање и борбу против родно заснованог насиља према женама и насиља у породици (2021</w:t>
      </w:r>
      <w:r>
        <w:rPr>
          <w:rFonts w:ascii="Arial" w:hAnsi="Arial" w:cs="Arial"/>
          <w:color w:val="000000"/>
          <w:sz w:val="22"/>
          <w:szCs w:val="22"/>
          <w:lang w:val="sr-Cyrl-RS"/>
        </w:rPr>
        <w:t>-</w:t>
      </w:r>
      <w:r w:rsidRPr="00EF008E">
        <w:rPr>
          <w:rFonts w:ascii="Arial" w:hAnsi="Arial" w:cs="Arial"/>
          <w:color w:val="000000"/>
          <w:sz w:val="22"/>
          <w:szCs w:val="22"/>
          <w:lang w:val="sr-Cyrl-RS"/>
        </w:rPr>
        <w:t>2025).</w:t>
      </w:r>
      <w:r w:rsidRPr="00EF008E">
        <w:rPr>
          <w:rFonts w:ascii="Arial" w:hAnsi="Arial" w:cs="Arial"/>
          <w:color w:val="000000"/>
          <w:sz w:val="22"/>
          <w:szCs w:val="22"/>
          <w:vertAlign w:val="superscript"/>
          <w:lang w:val="sr-Cyrl-RS"/>
        </w:rPr>
        <w:t>529</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Законом је уведен Регистар пружалаца бесплатне правне помоћи и бесплатне правне подршке,</w:t>
      </w:r>
      <w:r w:rsidRPr="00EF008E">
        <w:rPr>
          <w:rFonts w:ascii="Arial" w:hAnsi="Arial" w:cs="Arial"/>
          <w:color w:val="000000"/>
          <w:sz w:val="22"/>
          <w:szCs w:val="22"/>
          <w:vertAlign w:val="superscript"/>
          <w:lang w:val="sr-Cyrl-RS"/>
        </w:rPr>
        <w:t>530</w:t>
      </w:r>
      <w:r w:rsidRPr="00EF008E">
        <w:rPr>
          <w:rFonts w:ascii="Arial" w:hAnsi="Arial" w:cs="Arial"/>
          <w:color w:val="000000"/>
          <w:sz w:val="22"/>
          <w:szCs w:val="22"/>
          <w:lang w:val="sr-Cyrl-RS"/>
        </w:rPr>
        <w:t xml:space="preserve"> а која се пружа по претходном одобрењу. У првих шест месеци примене Закона, примљено је 2.079 захтева, 1902 особа је добило помоћ у парничним и управним поступцима.</w:t>
      </w:r>
      <w:r w:rsidRPr="00EF008E">
        <w:rPr>
          <w:rFonts w:ascii="Arial" w:hAnsi="Arial" w:cs="Arial"/>
          <w:color w:val="000000"/>
          <w:sz w:val="22"/>
          <w:szCs w:val="22"/>
          <w:vertAlign w:val="superscript"/>
          <w:lang w:val="sr-Cyrl-RS"/>
        </w:rPr>
        <w:t>531</w:t>
      </w:r>
      <w:r w:rsidRPr="00EF008E">
        <w:rPr>
          <w:rFonts w:ascii="Arial" w:hAnsi="Arial" w:cs="Arial"/>
          <w:color w:val="000000"/>
          <w:sz w:val="22"/>
          <w:szCs w:val="22"/>
          <w:lang w:val="sr-Cyrl-RS"/>
        </w:rPr>
        <w:t xml:space="preserve"> Према подацима органа управе, у првих шест месеци примене закона само шест ЈЛС је навело </w:t>
      </w:r>
      <w:r>
        <w:rPr>
          <w:rFonts w:ascii="Arial" w:hAnsi="Arial" w:cs="Arial"/>
          <w:color w:val="000000"/>
          <w:sz w:val="22"/>
          <w:szCs w:val="22"/>
          <w:lang w:val="sr-Cyrl-RS"/>
        </w:rPr>
        <w:t>"</w:t>
      </w:r>
      <w:r w:rsidRPr="00EF008E">
        <w:rPr>
          <w:rFonts w:ascii="Arial" w:hAnsi="Arial" w:cs="Arial"/>
          <w:color w:val="000000"/>
          <w:sz w:val="22"/>
          <w:szCs w:val="22"/>
          <w:lang w:val="sr-Cyrl-RS"/>
        </w:rPr>
        <w:t>насиље у породици</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као област у којој је одобрена бесплатна правна помоћ. Није, међутим, познато колико је било одобрених захтева, с обзиром да су ЈЛС доставиле збирне податке, а није познато ни колико је међу њима жена, јер подаци који се прикупљају нису разврстани по полу.</w:t>
      </w:r>
      <w:r w:rsidRPr="00EF008E">
        <w:rPr>
          <w:rFonts w:ascii="Arial" w:hAnsi="Arial" w:cs="Arial"/>
          <w:color w:val="000000"/>
          <w:sz w:val="22"/>
          <w:szCs w:val="22"/>
          <w:vertAlign w:val="superscript"/>
          <w:lang w:val="sr-Cyrl-RS"/>
        </w:rPr>
        <w:t>532</w:t>
      </w:r>
      <w:r w:rsidRPr="00EF008E">
        <w:rPr>
          <w:rFonts w:ascii="Arial" w:hAnsi="Arial" w:cs="Arial"/>
          <w:color w:val="000000"/>
          <w:sz w:val="22"/>
          <w:szCs w:val="22"/>
          <w:lang w:val="sr-Cyrl-RS"/>
        </w:rPr>
        <w:t xml:space="preserve"> Када је у питању бесплатна правна подршка коју пружају медијатори, односно посредници у решавању спорова, јавни бележници и ОЦД укупан број корисника којима је пружен правни савет је 7.460.</w:t>
      </w:r>
      <w:r w:rsidRPr="00EF008E">
        <w:rPr>
          <w:rFonts w:ascii="Arial" w:hAnsi="Arial" w:cs="Arial"/>
          <w:color w:val="000000"/>
          <w:sz w:val="22"/>
          <w:szCs w:val="22"/>
          <w:vertAlign w:val="superscript"/>
          <w:lang w:val="sr-Cyrl-RS"/>
        </w:rPr>
        <w:t>533</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Право на бесплатну правну помоћ признато је лицима која испуњавају услове за новчану социјалну помоћ или дечији додатак као и члановима њихових породица, односно, заједничког домаћинства. Ово право имају и они који не испуњавају услове да буду корисници ових права, али који би због плаћања правне помоћи из сопствених прихода испунили прописане услове. Критеријуме за стицање права на бесплатну правну помоћ треба преиспитати и поред жртава насиља у породици и жртава тортуре, нечовечног или понижавајућег поступања или кажњавања као и жртава трговине људима, укључити и жртве родно заснованог насиља, посебно жртве из рањивих и вишеструко дискриминисаних група. У противном жртве других облика родно заснованог насиља које право на бесплатну правну помоћ остварују под општим законским условим, биле би дискриминисане и стављене у неједнак положај у односу на жртве породичног насиља.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Круг пружалаца бесплатне правне помоћи укључује само адвокате и службе бесплатне правне помоћи у ЈЛС.</w:t>
      </w:r>
      <w:r w:rsidRPr="00EF008E">
        <w:rPr>
          <w:rFonts w:ascii="Arial" w:hAnsi="Arial" w:cs="Arial"/>
          <w:color w:val="000000"/>
          <w:sz w:val="22"/>
          <w:szCs w:val="22"/>
          <w:vertAlign w:val="superscript"/>
          <w:lang w:val="sr-Cyrl-RS"/>
        </w:rPr>
        <w:t>534</w:t>
      </w:r>
      <w:r w:rsidRPr="00EF008E">
        <w:rPr>
          <w:rFonts w:ascii="Arial" w:hAnsi="Arial" w:cs="Arial"/>
          <w:color w:val="000000"/>
          <w:sz w:val="22"/>
          <w:szCs w:val="22"/>
          <w:lang w:val="sr-Cyrl-RS"/>
        </w:rPr>
        <w:t xml:space="preserve"> Међу регистрованим пружаоцима бесплатне правне помоћи и подршке тренутно је 3.304 адвоката, 24 ЈЛС нису регистровале пружаоце бесплатне правне помоћи, а међу регистрованим пружаоцима правне подршке само је 31 ОЦД, од којих су 11 у Београду.</w:t>
      </w:r>
      <w:r w:rsidRPr="00EF008E">
        <w:rPr>
          <w:rFonts w:ascii="Arial" w:hAnsi="Arial" w:cs="Arial"/>
          <w:color w:val="000000"/>
          <w:sz w:val="22"/>
          <w:szCs w:val="22"/>
          <w:vertAlign w:val="superscript"/>
          <w:lang w:val="sr-Cyrl-RS"/>
        </w:rPr>
        <w:t>535</w:t>
      </w:r>
      <w:r w:rsidRPr="00EF008E">
        <w:rPr>
          <w:rFonts w:ascii="Arial" w:hAnsi="Arial" w:cs="Arial"/>
          <w:color w:val="000000"/>
          <w:sz w:val="22"/>
          <w:szCs w:val="22"/>
          <w:lang w:val="sr-Cyrl-RS"/>
        </w:rPr>
        <w:t xml:space="preserve"> И због тога жртве родно заснованог насиља нису изједначене у погледу приступа квалитетној бесплатној правној помоћи и подршци.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Удружењима грађана која се дуго времена и систематски баве пружањем бесплатне правне помоћи, посебно жртвама родно заснованог насиља, закон допушта само пружање бесплатне правне подршке (давање општих правних информација и попуњавање формулара)</w:t>
      </w:r>
      <w:r w:rsidRPr="00EF008E">
        <w:rPr>
          <w:rFonts w:ascii="Arial" w:hAnsi="Arial" w:cs="Arial"/>
          <w:color w:val="000000"/>
          <w:sz w:val="22"/>
          <w:szCs w:val="22"/>
          <w:vertAlign w:val="superscript"/>
          <w:lang w:val="sr-Cyrl-RS"/>
        </w:rPr>
        <w:t>536</w:t>
      </w:r>
      <w:r w:rsidRPr="00EF008E">
        <w:rPr>
          <w:rFonts w:ascii="Arial" w:hAnsi="Arial" w:cs="Arial"/>
          <w:color w:val="000000"/>
          <w:sz w:val="22"/>
          <w:szCs w:val="22"/>
          <w:lang w:val="sr-Cyrl-RS"/>
        </w:rPr>
        <w:t>, изричито забрањује пружање бесплатне правне помоћи а кршење ове забране санкционише високом прекршајном казном (од 50.000 до 500.000 РСД).</w:t>
      </w:r>
      <w:r w:rsidRPr="00EF008E">
        <w:rPr>
          <w:rFonts w:ascii="Arial" w:hAnsi="Arial" w:cs="Arial"/>
          <w:color w:val="000000"/>
          <w:sz w:val="22"/>
          <w:szCs w:val="22"/>
          <w:vertAlign w:val="superscript"/>
          <w:lang w:val="sr-Cyrl-RS"/>
        </w:rPr>
        <w:t>537</w:t>
      </w:r>
      <w:r w:rsidRPr="00EF008E">
        <w:rPr>
          <w:rFonts w:ascii="Arial" w:hAnsi="Arial" w:cs="Arial"/>
          <w:color w:val="000000"/>
          <w:sz w:val="22"/>
          <w:szCs w:val="22"/>
          <w:lang w:val="sr-Cyrl-RS"/>
        </w:rPr>
        <w:t xml:space="preserve"> Право пружања бесплатне правне подршке имају и јавни бележници, посредници и правни факултети којима закон, такође, забрањује пружање бесплатне правне помоћи.</w:t>
      </w:r>
      <w:r w:rsidRPr="00EF008E">
        <w:rPr>
          <w:rFonts w:ascii="Arial" w:hAnsi="Arial" w:cs="Arial"/>
          <w:color w:val="000000"/>
          <w:sz w:val="22"/>
          <w:szCs w:val="22"/>
          <w:vertAlign w:val="superscript"/>
          <w:lang w:val="sr-Cyrl-RS"/>
        </w:rPr>
        <w:t>538</w:t>
      </w:r>
      <w:r w:rsidRPr="00EF008E">
        <w:rPr>
          <w:rFonts w:ascii="Arial" w:hAnsi="Arial" w:cs="Arial"/>
          <w:color w:val="000000"/>
          <w:sz w:val="22"/>
          <w:szCs w:val="22"/>
          <w:lang w:val="sr-Cyrl-RS"/>
        </w:rPr>
        <w:t xml:space="preserve"> Како у свим ЈЛС нису образоване службе правне помоћи</w:t>
      </w:r>
      <w:r w:rsidRPr="00EF008E">
        <w:rPr>
          <w:rFonts w:ascii="Arial" w:hAnsi="Arial" w:cs="Arial"/>
          <w:color w:val="000000"/>
          <w:sz w:val="22"/>
          <w:szCs w:val="22"/>
          <w:vertAlign w:val="superscript"/>
          <w:lang w:val="sr-Cyrl-RS"/>
        </w:rPr>
        <w:t>539</w:t>
      </w:r>
      <w:r w:rsidRPr="00EF008E">
        <w:rPr>
          <w:rFonts w:ascii="Arial" w:hAnsi="Arial" w:cs="Arial"/>
          <w:color w:val="000000"/>
          <w:sz w:val="22"/>
          <w:szCs w:val="22"/>
          <w:lang w:val="sr-Cyrl-RS"/>
        </w:rPr>
        <w:t>, а адвокати немају обавезу пружања бесплатне правне помоћи већ се за то сами опредељују, број могућих пружалаца бесплатне правне помоћи је додатно сужен и територијално неравномерно распоређен.</w:t>
      </w:r>
      <w:r w:rsidRPr="00EF008E">
        <w:rPr>
          <w:rFonts w:ascii="Arial" w:hAnsi="Arial" w:cs="Arial"/>
          <w:color w:val="000000"/>
          <w:sz w:val="22"/>
          <w:szCs w:val="22"/>
          <w:vertAlign w:val="superscript"/>
          <w:lang w:val="sr-Cyrl-RS"/>
        </w:rPr>
        <w:t>540</w:t>
      </w:r>
      <w:r w:rsidRPr="00EF008E">
        <w:rPr>
          <w:rFonts w:ascii="Arial" w:hAnsi="Arial" w:cs="Arial"/>
          <w:color w:val="000000"/>
          <w:sz w:val="22"/>
          <w:szCs w:val="22"/>
          <w:lang w:val="sr-Cyrl-RS"/>
        </w:rPr>
        <w:t xml:space="preserve"> Стога би требало преиспитати могућност да се круг пружалаца бесплатне правне помоћи прошири и на правне факултете, ОЦД уз постављање критеријума који морају бити испуњени од стране ових пружалаца правне помоћи (нпр. правничко образовање, лиценцирање). Могућност пружања правне помоћи од стране ОЦД већ постоји у Закону о бесплатној правној помоћи</w:t>
      </w:r>
      <w:r w:rsidRPr="00EF008E">
        <w:rPr>
          <w:rFonts w:ascii="Arial" w:hAnsi="Arial" w:cs="Arial"/>
          <w:color w:val="000000"/>
          <w:sz w:val="22"/>
          <w:szCs w:val="22"/>
          <w:vertAlign w:val="superscript"/>
          <w:lang w:val="sr-Cyrl-RS"/>
        </w:rPr>
        <w:t>541</w:t>
      </w:r>
      <w:r w:rsidRPr="00EF008E">
        <w:rPr>
          <w:rFonts w:ascii="Arial" w:hAnsi="Arial" w:cs="Arial"/>
          <w:color w:val="000000"/>
          <w:sz w:val="22"/>
          <w:szCs w:val="22"/>
          <w:lang w:val="sr-Cyrl-RS"/>
        </w:rPr>
        <w:t xml:space="preserve"> који регулишу азил и забрану дискриминације.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Поступак одлучивања о стицању права на бесплатну правну помоћ је сложен, а службеницима ЈЛС у служби бесплатне правне помоћи остављено је дискреционо право одлучивања и широко постављене могућности одбијања захтева за пружање правне помоћи. Евиденција о корисницима бесплатне правне помоћи коју су по закону дужни да воде органи управе надлежни за одобравање бесплатне правне помоћи</w:t>
      </w:r>
      <w:r w:rsidRPr="00EF008E">
        <w:rPr>
          <w:rFonts w:ascii="Arial" w:hAnsi="Arial" w:cs="Arial"/>
          <w:color w:val="000000"/>
          <w:sz w:val="22"/>
          <w:szCs w:val="22"/>
          <w:vertAlign w:val="superscript"/>
          <w:lang w:val="sr-Cyrl-RS"/>
        </w:rPr>
        <w:t>542</w:t>
      </w:r>
      <w:r w:rsidRPr="00EF008E">
        <w:rPr>
          <w:rFonts w:ascii="Arial" w:hAnsi="Arial" w:cs="Arial"/>
          <w:color w:val="000000"/>
          <w:sz w:val="22"/>
          <w:szCs w:val="22"/>
          <w:lang w:val="sr-Cyrl-RS"/>
        </w:rPr>
        <w:t xml:space="preserve"> није потпуна: Није прописана обавеза вођења евиденције о корисницима бесплатне правне помоћи разврстана по полу корисника и разлозима због којих се захтева ова помоћ. Не постоји обавеза да се прикупљени подаци разврстају по полу, нити да се евидентира право ради чије је заштите правна помоћ тражена/одобрена, већ само </w:t>
      </w:r>
      <w:r>
        <w:rPr>
          <w:rFonts w:ascii="Arial" w:hAnsi="Arial" w:cs="Arial"/>
          <w:color w:val="000000"/>
          <w:sz w:val="22"/>
          <w:szCs w:val="22"/>
          <w:lang w:val="sr-Cyrl-RS"/>
        </w:rPr>
        <w:t>"</w:t>
      </w:r>
      <w:r w:rsidRPr="00EF008E">
        <w:rPr>
          <w:rFonts w:ascii="Arial" w:hAnsi="Arial" w:cs="Arial"/>
          <w:color w:val="000000"/>
          <w:sz w:val="22"/>
          <w:szCs w:val="22"/>
          <w:lang w:val="sr-Cyrl-RS"/>
        </w:rPr>
        <w:t>правна област</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из које је пружена бесплатна правна помоћ или бесплатна правна подршка. Ови недостаци онемогућавају да се на адекватан начин прати примена закона с аспекта остваривања право заштитних потреба жена. Обавезе везане за вођење евиденција релевантних за родну равноправност регулише Закон о родној равноправности.</w:t>
      </w:r>
      <w:r w:rsidRPr="00EF008E">
        <w:rPr>
          <w:rFonts w:ascii="Arial" w:hAnsi="Arial" w:cs="Arial"/>
          <w:color w:val="000000"/>
          <w:sz w:val="22"/>
          <w:szCs w:val="22"/>
          <w:vertAlign w:val="superscript"/>
          <w:lang w:val="sr-Cyrl-RS"/>
        </w:rPr>
        <w:t>543</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Службе бесплатне правне помоћи су тешко доступне и у ЈЛС у којима постоје, јер често не постоји јавни међумесни саобраћај нарочито између сеоских средина и општинских центара, а коришћење друге врсте превоза захтева знатне трошкове.</w:t>
      </w:r>
      <w:r w:rsidRPr="00EF008E">
        <w:rPr>
          <w:rFonts w:ascii="Arial" w:hAnsi="Arial" w:cs="Arial"/>
          <w:color w:val="000000"/>
          <w:sz w:val="22"/>
          <w:szCs w:val="22"/>
          <w:vertAlign w:val="superscript"/>
          <w:lang w:val="sr-Cyrl-RS"/>
        </w:rPr>
        <w:t>544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свим ЈЛС неопходно је успоставити службу пружања бесплатне правне помоћи и обезбедити људске, финансијске и техничке ресурсе за њихов рад и тако створити услове за остваривање права на приступ правди. Законом је неопходно регулисати и посебне мере (обезбеђивање приступачности објеката, тумачи за знаковни језик, приступачни формати за слепе и слабовиде особе и др.) за отклањање препрека са којима се сусрећу особе са инвалидитетом у приступу правди и установиле једнаке могућности за приступ правди и за особе са инвалидитетом. Није успостављен транспарентан механизам за праћење квалитета пружених услуга правне помоћи. Недостаје и стратешки документ у овој области. Стратегија развоја система бесплатне правне помоћи и АП за њену примену (2011</w:t>
      </w:r>
      <w:r>
        <w:rPr>
          <w:rFonts w:ascii="Arial" w:hAnsi="Arial" w:cs="Arial"/>
          <w:color w:val="000000"/>
          <w:sz w:val="22"/>
          <w:szCs w:val="22"/>
          <w:lang w:val="sr-Cyrl-RS"/>
        </w:rPr>
        <w:t>-</w:t>
      </w:r>
      <w:r w:rsidRPr="00EF008E">
        <w:rPr>
          <w:rFonts w:ascii="Arial" w:hAnsi="Arial" w:cs="Arial"/>
          <w:color w:val="000000"/>
          <w:sz w:val="22"/>
          <w:szCs w:val="22"/>
          <w:lang w:val="sr-Cyrl-RS"/>
        </w:rPr>
        <w:t>2013) нема дефинисан рок до кога важи па се сматра важећом. Потребно је спровести ex post aнализу постојеће стратегије као и анализу стања у овој области и на основу тога проценити да ли је потребно извршити промене у постојећој стратегији.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Приступ правди је отежан. На то утичу неравномеран територијални распоред судова и међусобно неусклађена мрежа судова и јавних тужилаштава</w:t>
      </w:r>
      <w:r w:rsidRPr="00EF008E">
        <w:rPr>
          <w:rFonts w:ascii="Arial" w:hAnsi="Arial" w:cs="Arial"/>
          <w:color w:val="000000"/>
          <w:sz w:val="22"/>
          <w:szCs w:val="22"/>
          <w:vertAlign w:val="superscript"/>
          <w:lang w:val="sr-Cyrl-RS"/>
        </w:rPr>
        <w:t>545</w:t>
      </w:r>
      <w:r w:rsidRPr="00EF008E">
        <w:rPr>
          <w:rFonts w:ascii="Arial" w:hAnsi="Arial" w:cs="Arial"/>
          <w:color w:val="000000"/>
          <w:sz w:val="22"/>
          <w:szCs w:val="22"/>
          <w:lang w:val="sr-Cyrl-RS"/>
        </w:rPr>
        <w:t>, као и високи трошкови судског поступка.</w:t>
      </w:r>
      <w:r w:rsidRPr="00EF008E">
        <w:rPr>
          <w:rFonts w:ascii="Arial" w:hAnsi="Arial" w:cs="Arial"/>
          <w:color w:val="000000"/>
          <w:sz w:val="22"/>
          <w:szCs w:val="22"/>
          <w:vertAlign w:val="superscript"/>
          <w:lang w:val="sr-Cyrl-RS"/>
        </w:rPr>
        <w:t>546</w:t>
      </w:r>
      <w:r w:rsidRPr="00EF008E">
        <w:rPr>
          <w:rFonts w:ascii="Arial" w:hAnsi="Arial" w:cs="Arial"/>
          <w:color w:val="000000"/>
          <w:sz w:val="22"/>
          <w:szCs w:val="22"/>
          <w:lang w:val="sr-Cyrl-RS"/>
        </w:rPr>
        <w:t xml:space="preserve"> Судови или тужилаштва не постоје у бројним општинама па је приступ судској заштити права отежан не само за становнике/це руралних подручја, већ и за становнике/це у мањим општинама.</w:t>
      </w:r>
      <w:r w:rsidRPr="00EF008E">
        <w:rPr>
          <w:rFonts w:ascii="Arial" w:hAnsi="Arial" w:cs="Arial"/>
          <w:color w:val="000000"/>
          <w:sz w:val="22"/>
          <w:szCs w:val="22"/>
          <w:vertAlign w:val="superscript"/>
          <w:lang w:val="sr-Cyrl-RS"/>
        </w:rPr>
        <w:t>547</w:t>
      </w:r>
      <w:r w:rsidRPr="00EF008E">
        <w:rPr>
          <w:rFonts w:ascii="Arial" w:hAnsi="Arial" w:cs="Arial"/>
          <w:color w:val="000000"/>
          <w:sz w:val="22"/>
          <w:szCs w:val="22"/>
          <w:lang w:val="sr-Cyrl-RS"/>
        </w:rPr>
        <w:t xml:space="preserve"> Не постоје или се гасе линије међумесног јавног саобраћаја па је приступ суду отежан јер изискује додатне трошкове за превоз који је потребно ангажовати или сопствени превоз, а знатно мање жена су власнице аутомобила. Потребно је преиспитати законска решења у Закону о седиштима и подручјима судова и јавних тужилаштава и обезбедити бољу приступачност судова и тужилаштава и ускладити мрежу судова са мрежом тужилаштава како би се омогућио приступ правди. Препрека за приступ правди су и високи трошкови судског поступка који су често разлог да многе жене, али и мушкарци не траже судску заштиту. На пример, таксе на тужбу за развод брака крећу се од 1.900 до 19.000 РСД, таксе у извршном поступку од 1.900 до 97.000 РСД, трошкови адвоката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састављање поднеска или присуство рочишту је најмање 1/3, а састављање жалбе више од 2/3 просечне плате у Републици Србији, накнаде вештака крећу се од 50% просечне плате за вештаке без средњег образовања до 300% за докторе наука</w:t>
      </w:r>
      <w:r w:rsidRPr="00EF008E">
        <w:rPr>
          <w:rFonts w:ascii="Arial" w:hAnsi="Arial" w:cs="Arial"/>
          <w:color w:val="000000"/>
          <w:sz w:val="22"/>
          <w:szCs w:val="22"/>
          <w:vertAlign w:val="superscript"/>
          <w:lang w:val="sr-Cyrl-RS"/>
        </w:rPr>
        <w:t>548</w:t>
      </w:r>
      <w:r w:rsidRPr="00EF008E">
        <w:rPr>
          <w:rFonts w:ascii="Arial" w:hAnsi="Arial" w:cs="Arial"/>
          <w:color w:val="000000"/>
          <w:sz w:val="22"/>
          <w:szCs w:val="22"/>
          <w:lang w:val="sr-Cyrl-RS"/>
        </w:rPr>
        <w:t>, различите таксе, трошкови и награде извршитеља (само награде за рад извршитеља крећу се од 3.000 до 47.000 РСД).</w:t>
      </w:r>
      <w:r w:rsidRPr="00EF008E">
        <w:rPr>
          <w:rFonts w:ascii="Arial" w:hAnsi="Arial" w:cs="Arial"/>
          <w:color w:val="000000"/>
          <w:sz w:val="22"/>
          <w:szCs w:val="22"/>
          <w:vertAlign w:val="superscript"/>
          <w:lang w:val="sr-Cyrl-RS"/>
        </w:rPr>
        <w:t>549</w:t>
      </w:r>
      <w:r w:rsidRPr="00EF008E">
        <w:rPr>
          <w:rFonts w:ascii="Arial" w:hAnsi="Arial" w:cs="Arial"/>
          <w:color w:val="000000"/>
          <w:sz w:val="22"/>
          <w:szCs w:val="22"/>
          <w:lang w:val="sr-Cyrl-RS"/>
        </w:rPr>
        <w:t xml:space="preserve"> Право на ослобађање од претходног плаћања трошкова примењује се ретко и неконзистентно. Трошкови се битно увећавају уколико се потражи заштита и пред Европским судом за људска права (веће таксе, превођење, трошкови превоза и др.).</w:t>
      </w:r>
      <w:r w:rsidRPr="00EF008E">
        <w:rPr>
          <w:rFonts w:ascii="Arial" w:hAnsi="Arial" w:cs="Arial"/>
          <w:color w:val="000000"/>
          <w:sz w:val="22"/>
          <w:szCs w:val="22"/>
          <w:vertAlign w:val="superscript"/>
          <w:lang w:val="sr-Cyrl-RS"/>
        </w:rPr>
        <w:t>550</w:t>
      </w:r>
      <w:r w:rsidRPr="00EF008E">
        <w:rPr>
          <w:rFonts w:ascii="Arial" w:hAnsi="Arial" w:cs="Arial"/>
          <w:color w:val="000000"/>
          <w:sz w:val="22"/>
          <w:szCs w:val="22"/>
          <w:lang w:val="sr-Cyrl-RS"/>
        </w:rPr>
        <w:t xml:space="preserve"> Тренутно стање у погледу ослобођења од претходног плаћања трошкова поступка није задовољавајуће. Информисаност јавности о условима за ослобођење од претходног плаћања судских такси и других трошкова поступка веома је ниска. Прописи о ослобођењу од претходног плаћања трошкова поступка примењују се неуједначено, што доводи до недоследног приступа правди за сиромашни део популације</w:t>
      </w:r>
      <w:r w:rsidRPr="00EF008E">
        <w:rPr>
          <w:rFonts w:ascii="Arial" w:hAnsi="Arial" w:cs="Arial"/>
          <w:color w:val="000000"/>
          <w:sz w:val="22"/>
          <w:szCs w:val="22"/>
          <w:vertAlign w:val="superscript"/>
          <w:lang w:val="sr-Cyrl-RS"/>
        </w:rPr>
        <w:t>551</w:t>
      </w:r>
      <w:r w:rsidRPr="00EF008E">
        <w:rPr>
          <w:rFonts w:ascii="Arial" w:hAnsi="Arial" w:cs="Arial"/>
          <w:color w:val="000000"/>
          <w:sz w:val="22"/>
          <w:szCs w:val="22"/>
          <w:lang w:val="sr-Cyrl-RS"/>
        </w:rPr>
        <w:t>, jeр не постоје смернице, нити стандардизоване форме које би судије користиле приликом одлучивања о захтевима за ослобођења од претходног плаћања трошкова поступка.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Заштита права није ефикасна и делотворна. Поступци пред судовима дуго трају упркос томе што је усвојен Закон о заштити права на суђење у разумном року.</w:t>
      </w:r>
      <w:r w:rsidRPr="00EF008E">
        <w:rPr>
          <w:rFonts w:ascii="Arial" w:hAnsi="Arial" w:cs="Arial"/>
          <w:color w:val="000000"/>
          <w:sz w:val="22"/>
          <w:szCs w:val="22"/>
          <w:vertAlign w:val="superscript"/>
          <w:lang w:val="sr-Cyrl-RS"/>
        </w:rPr>
        <w:t>552</w:t>
      </w:r>
      <w:r w:rsidRPr="00EF008E">
        <w:rPr>
          <w:rFonts w:ascii="Arial" w:hAnsi="Arial" w:cs="Arial"/>
          <w:color w:val="000000"/>
          <w:sz w:val="22"/>
          <w:szCs w:val="22"/>
          <w:lang w:val="sr-Cyrl-RS"/>
        </w:rPr>
        <w:t xml:space="preserve"> Законска решења нису допринела ефикаснијој заштити права, о чему говори повећан број уставних жалби на одлуке судова</w:t>
      </w:r>
      <w:r w:rsidRPr="00EF008E">
        <w:rPr>
          <w:rFonts w:ascii="Arial" w:hAnsi="Arial" w:cs="Arial"/>
          <w:color w:val="000000"/>
          <w:sz w:val="22"/>
          <w:szCs w:val="22"/>
          <w:vertAlign w:val="superscript"/>
          <w:lang w:val="sr-Cyrl-RS"/>
        </w:rPr>
        <w:t>553</w:t>
      </w:r>
      <w:r w:rsidRPr="00EF008E">
        <w:rPr>
          <w:rFonts w:ascii="Arial" w:hAnsi="Arial" w:cs="Arial"/>
          <w:color w:val="000000"/>
          <w:sz w:val="22"/>
          <w:szCs w:val="22"/>
          <w:lang w:val="sr-Cyrl-RS"/>
        </w:rPr>
        <w:t>, што Уставни суд и констатује.</w:t>
      </w:r>
      <w:r w:rsidRPr="00EF008E">
        <w:rPr>
          <w:rFonts w:ascii="Arial" w:hAnsi="Arial" w:cs="Arial"/>
          <w:color w:val="000000"/>
          <w:sz w:val="22"/>
          <w:szCs w:val="22"/>
          <w:vertAlign w:val="superscript"/>
          <w:lang w:val="sr-Cyrl-RS"/>
        </w:rPr>
        <w:t>554</w:t>
      </w:r>
      <w:r w:rsidRPr="00EF008E">
        <w:rPr>
          <w:rFonts w:ascii="Arial" w:hAnsi="Arial" w:cs="Arial"/>
          <w:color w:val="000000"/>
          <w:sz w:val="22"/>
          <w:szCs w:val="22"/>
          <w:lang w:val="sr-Cyrl-RS"/>
        </w:rPr>
        <w:t xml:space="preserve"> Заштита људских права пред Уставним судом је изразито неефикасна. Број предмета који се односе на заштиту људских права континуирано и убрзано расте.</w:t>
      </w:r>
      <w:r w:rsidRPr="00EF008E">
        <w:rPr>
          <w:rFonts w:ascii="Arial" w:hAnsi="Arial" w:cs="Arial"/>
          <w:color w:val="000000"/>
          <w:sz w:val="22"/>
          <w:szCs w:val="22"/>
          <w:vertAlign w:val="superscript"/>
          <w:lang w:val="sr-Cyrl-RS"/>
        </w:rPr>
        <w:t>555</w:t>
      </w:r>
      <w:r w:rsidRPr="00EF008E">
        <w:rPr>
          <w:rFonts w:ascii="Arial" w:hAnsi="Arial" w:cs="Arial"/>
          <w:color w:val="000000"/>
          <w:sz w:val="22"/>
          <w:szCs w:val="22"/>
          <w:lang w:val="sr-Cyrl-RS"/>
        </w:rPr>
        <w:t xml:space="preserve"> То постаје доминантна надлежност Уставног суда (нпр. у 2019. години 97, 87% предмета), а све друге надлежности, укључујући и нормативну контролу као основну надлежност овог суда су потиснуте (2% предмета).</w:t>
      </w:r>
      <w:r w:rsidRPr="00EF008E">
        <w:rPr>
          <w:rFonts w:ascii="Arial" w:hAnsi="Arial" w:cs="Arial"/>
          <w:color w:val="000000"/>
          <w:sz w:val="22"/>
          <w:szCs w:val="22"/>
          <w:vertAlign w:val="superscript"/>
          <w:lang w:val="sr-Cyrl-RS"/>
        </w:rPr>
        <w:t>556</w:t>
      </w:r>
      <w:r w:rsidRPr="00EF008E">
        <w:rPr>
          <w:rFonts w:ascii="Arial" w:hAnsi="Arial" w:cs="Arial"/>
          <w:color w:val="000000"/>
          <w:sz w:val="22"/>
          <w:szCs w:val="22"/>
          <w:lang w:val="sr-Cyrl-RS"/>
        </w:rPr>
        <w:t xml:space="preserve"> Упркос настојању да се организацијом рада и процесним правилима постигне већа ефикасност рада у пракси број нерешених уставних жалби и даље континуирано расте. Број решених уставних жалби се повећава, али то повећање не прати динамику прилива уставних жалби. Највећи број уставних жалби је одбачен, а мериторно је решен мали број.</w:t>
      </w:r>
      <w:r w:rsidRPr="00EF008E">
        <w:rPr>
          <w:rFonts w:ascii="Arial" w:hAnsi="Arial" w:cs="Arial"/>
          <w:color w:val="000000"/>
          <w:sz w:val="22"/>
          <w:szCs w:val="22"/>
          <w:vertAlign w:val="superscript"/>
          <w:lang w:val="sr-Cyrl-RS"/>
        </w:rPr>
        <w:t>557</w:t>
      </w:r>
      <w:r w:rsidRPr="00EF008E">
        <w:rPr>
          <w:rFonts w:ascii="Arial" w:hAnsi="Arial" w:cs="Arial"/>
          <w:color w:val="000000"/>
          <w:sz w:val="22"/>
          <w:szCs w:val="22"/>
          <w:lang w:val="sr-Cyrl-RS"/>
        </w:rPr>
        <w:t xml:space="preserve"> Међу правима чија заштита се тражи пред Уставним судом доминирају повреде права на суђење у разумном року и повреда права на правично суђење.</w:t>
      </w:r>
      <w:r w:rsidRPr="00EF008E">
        <w:rPr>
          <w:rFonts w:ascii="Arial" w:hAnsi="Arial" w:cs="Arial"/>
          <w:color w:val="000000"/>
          <w:sz w:val="22"/>
          <w:szCs w:val="22"/>
          <w:vertAlign w:val="superscript"/>
          <w:lang w:val="sr-Cyrl-RS"/>
        </w:rPr>
        <w:t>558</w:t>
      </w:r>
      <w:r w:rsidRPr="00EF008E">
        <w:rPr>
          <w:rFonts w:ascii="Arial" w:hAnsi="Arial" w:cs="Arial"/>
          <w:color w:val="000000"/>
          <w:sz w:val="22"/>
          <w:szCs w:val="22"/>
          <w:lang w:val="sr-Cyrl-RS"/>
        </w:rPr>
        <w:t xml:space="preserve"> Нормативни оквир је непотпун, о чему сведоче ставови које Уставни суд заузео како би се отклониле правне празнине везане за уставну жалбу као инструмент заштите права. У Закон о Уставном суду требало би укључити ставове Уставног суда</w:t>
      </w:r>
      <w:r w:rsidRPr="00EF008E">
        <w:rPr>
          <w:rFonts w:ascii="Arial" w:hAnsi="Arial" w:cs="Arial"/>
          <w:color w:val="000000"/>
          <w:sz w:val="22"/>
          <w:szCs w:val="22"/>
          <w:vertAlign w:val="superscript"/>
          <w:lang w:val="sr-Cyrl-RS"/>
        </w:rPr>
        <w:t>559</w:t>
      </w:r>
      <w:r w:rsidRPr="00EF008E">
        <w:rPr>
          <w:rFonts w:ascii="Arial" w:hAnsi="Arial" w:cs="Arial"/>
          <w:color w:val="000000"/>
          <w:sz w:val="22"/>
          <w:szCs w:val="22"/>
          <w:lang w:val="sr-Cyrl-RS"/>
        </w:rPr>
        <w:t xml:space="preserve"> који се односе на услове за подношење уставне жалбе и више посебно значајних процесних питања.</w:t>
      </w:r>
      <w:r w:rsidRPr="00EF008E">
        <w:rPr>
          <w:rFonts w:ascii="Arial" w:hAnsi="Arial" w:cs="Arial"/>
          <w:color w:val="000000"/>
          <w:sz w:val="22"/>
          <w:szCs w:val="22"/>
          <w:vertAlign w:val="superscript"/>
          <w:lang w:val="sr-Cyrl-RS"/>
        </w:rPr>
        <w:t>560</w:t>
      </w:r>
      <w:r w:rsidRPr="00EF008E">
        <w:rPr>
          <w:rFonts w:ascii="Arial" w:hAnsi="Arial" w:cs="Arial"/>
          <w:color w:val="000000"/>
          <w:sz w:val="22"/>
          <w:szCs w:val="22"/>
          <w:lang w:val="sr-Cyrl-RS"/>
        </w:rPr>
        <w:t xml:space="preserve"> Неефикасна уставно судска заштита угрожава Уставом гарантовано право грађана/ки да се обрате ЕСЉП ради заштите права, јер је уставна жалба као последњи правни инструмент за заштиту права у унутрашњем правном систему услов за обраћање ЕСЉП. У циљу унапређења владавине права и приступа правди потребно је обезбедити ефикасну заштиту људских права и унапредити ефикасност судских поступака у складу са стандардима УН, EУ и СЕ и праксом ЕСЉП. Ускладити сет правосудских закона са</w:t>
      </w:r>
      <w:r w:rsidRPr="00EF008E">
        <w:rPr>
          <w:rFonts w:ascii="Arial" w:hAnsi="Arial" w:cs="Arial"/>
          <w:color w:val="000000"/>
          <w:sz w:val="22"/>
          <w:szCs w:val="22"/>
          <w:vertAlign w:val="superscript"/>
          <w:lang w:val="sr-Cyrl-RS"/>
        </w:rPr>
        <w:t>561</w:t>
      </w:r>
      <w:r w:rsidRPr="00EF008E">
        <w:rPr>
          <w:rFonts w:ascii="Arial" w:hAnsi="Arial" w:cs="Arial"/>
          <w:color w:val="000000"/>
          <w:sz w:val="22"/>
          <w:szCs w:val="22"/>
          <w:lang w:val="sr-Cyrl-RS"/>
        </w:rPr>
        <w:t xml:space="preserve"> стандардима УН, EУ и СЕ и праксом Европског суда за људска права.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Инструменти заштите људских права нису подједнако доступни свима без било ког вида дискриминације (мрежа судова и тужилаштава, трошкови поступка) и нису делотворни и ефикасни (дуго трајање судских поступака, број нерешених уставних жалби који континуирано расте), а у неким случајевима нису предвиђени инструменти за заштиту права.</w:t>
      </w:r>
      <w:r w:rsidRPr="00EF008E">
        <w:rPr>
          <w:rFonts w:ascii="Arial" w:hAnsi="Arial" w:cs="Arial"/>
          <w:color w:val="000000"/>
          <w:sz w:val="22"/>
          <w:szCs w:val="22"/>
          <w:vertAlign w:val="superscript"/>
          <w:lang w:val="sr-Cyrl-RS"/>
        </w:rPr>
        <w:t>562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Заштита права коју пружају независне институције је специфичан вид заштите права на равноправност коју пружа Повереник за заштиту равноправности и заштита људских права када су повређена пред органима управе, коју пружа Заштитник грађана Покрајински заштитник грађана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омбудсман у оквиру надлежности АПВ као и локални омбудсмани у оквиру надлежности ЈЛС. Поступак пред овим институцијама је једноставнији. Притужба којом се покреће поступак не захтева ангажовање адвоката. За подносиоца притужбе нема трошкова поступка. Поступање по притужби је ефикасније, а модалитети решавања притужби флексибилнији (препоруке, упозорења, стратешка парница, покретање поступка оцене уставности и законитости</w:t>
      </w:r>
      <w:r w:rsidRPr="00EF008E">
        <w:rPr>
          <w:rFonts w:ascii="Arial" w:hAnsi="Arial" w:cs="Arial"/>
          <w:color w:val="000000"/>
          <w:sz w:val="22"/>
          <w:szCs w:val="22"/>
          <w:vertAlign w:val="superscript"/>
          <w:lang w:val="sr-Cyrl-RS"/>
        </w:rPr>
        <w:t>563</w:t>
      </w:r>
      <w:r w:rsidRPr="00EF008E">
        <w:rPr>
          <w:rFonts w:ascii="Arial" w:hAnsi="Arial" w:cs="Arial"/>
          <w:color w:val="000000"/>
          <w:sz w:val="22"/>
          <w:szCs w:val="22"/>
          <w:lang w:val="sr-Cyrl-RS"/>
        </w:rPr>
        <w:t>). Током 2020. године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Поверенику за заштиту равноправности поднето је 674 притужби од којих су 39,3% поднеле жене, а 47,8% мушкарци.</w:t>
      </w:r>
      <w:r w:rsidRPr="00EF008E">
        <w:rPr>
          <w:rFonts w:ascii="Arial" w:hAnsi="Arial" w:cs="Arial"/>
          <w:color w:val="000000"/>
          <w:sz w:val="22"/>
          <w:szCs w:val="22"/>
          <w:vertAlign w:val="superscript"/>
          <w:lang w:val="sr-Cyrl-RS"/>
        </w:rPr>
        <w:t>564</w:t>
      </w:r>
      <w:r w:rsidRPr="00EF008E">
        <w:rPr>
          <w:rFonts w:ascii="Arial" w:hAnsi="Arial" w:cs="Arial"/>
          <w:color w:val="000000"/>
          <w:sz w:val="22"/>
          <w:szCs w:val="22"/>
          <w:lang w:val="sr-Cyrl-RS"/>
        </w:rPr>
        <w:t xml:space="preserve"> Од тога поднето је 105 притужби по основу пола као личног својства, те је овај основ као и претходне године међу првим основама, са сличним бројем притужби.</w:t>
      </w:r>
      <w:r w:rsidRPr="00EF008E">
        <w:rPr>
          <w:rFonts w:ascii="Arial" w:hAnsi="Arial" w:cs="Arial"/>
          <w:color w:val="000000"/>
          <w:sz w:val="22"/>
          <w:szCs w:val="22"/>
          <w:vertAlign w:val="superscript"/>
          <w:lang w:val="sr-Cyrl-RS"/>
        </w:rPr>
        <w:t>565</w:t>
      </w:r>
      <w:r w:rsidRPr="00EF008E">
        <w:rPr>
          <w:rFonts w:ascii="Arial" w:hAnsi="Arial" w:cs="Arial"/>
          <w:color w:val="000000"/>
          <w:sz w:val="22"/>
          <w:szCs w:val="22"/>
          <w:lang w:val="sr-Cyrl-RS"/>
        </w:rPr>
        <w:t xml:space="preserve"> На правосуђе и поступак пред органима јавне власти односи се 28% притужби. Повереник је упутио 476 препорука, 12 упозорења, 12 иницијатива за измену прописа, 2 кривичне пријаве и др. Препоруке се поштују о чему говори податак да је по њима поступљено у 89% случајева.</w:t>
      </w:r>
      <w:r w:rsidRPr="00EF008E">
        <w:rPr>
          <w:rFonts w:ascii="Arial" w:hAnsi="Arial" w:cs="Arial"/>
          <w:color w:val="000000"/>
          <w:sz w:val="22"/>
          <w:szCs w:val="22"/>
          <w:vertAlign w:val="superscript"/>
          <w:lang w:val="sr-Cyrl-RS"/>
        </w:rPr>
        <w:t>566</w:t>
      </w:r>
      <w:r w:rsidRPr="00EF008E">
        <w:rPr>
          <w:rFonts w:ascii="Arial" w:hAnsi="Arial" w:cs="Arial"/>
          <w:color w:val="000000"/>
          <w:sz w:val="22"/>
          <w:szCs w:val="22"/>
          <w:lang w:val="sr-Cyrl-RS"/>
        </w:rPr>
        <w:t xml:space="preserve"> Међу личним својствима која су основ дискриминације доминирају притужбе у вези са здравственим стањем (121), старосним добом посебно лица старијих од 65 година (115), националном припадношћу и етничким пореклом (114 од којих се 94 односи на дискриминацију на основу припадности ромској националној мањини), полом (105). По свим наведеним основима дискриминације бележи се раст у односу на претходну годину.</w:t>
      </w:r>
      <w:r w:rsidRPr="00EF008E">
        <w:rPr>
          <w:rFonts w:ascii="Arial" w:hAnsi="Arial" w:cs="Arial"/>
          <w:color w:val="000000"/>
          <w:sz w:val="22"/>
          <w:szCs w:val="22"/>
          <w:vertAlign w:val="superscript"/>
          <w:lang w:val="sr-Cyrl-RS"/>
        </w:rPr>
        <w:t>567</w:t>
      </w:r>
      <w:r w:rsidRPr="00EF008E">
        <w:rPr>
          <w:rFonts w:ascii="Arial" w:hAnsi="Arial" w:cs="Arial"/>
          <w:color w:val="000000"/>
          <w:sz w:val="22"/>
          <w:szCs w:val="22"/>
          <w:lang w:val="sr-Cyrl-RS"/>
        </w:rPr>
        <w:t xml:space="preserve"> Заштитнику грађана обратило се током 2020. године 18.165 грађана, што је повећање од 67% у односу на 2019. годину. Током 2020. године разматрано је укупно 6.965 предмета, а окончано је 5.456 (78,33%) предмета што говори да је ефикасност рада повећана за више од 10%. У области родне равноправности и права ЛГБТИ особа, Заштитник грађана је у 2020. години разматрао 140 предмета, што је за 62% више у односу на претходну годину. Број упућених препорука повећан је за 111% у односу на 2019. годину, а ефикасност Заштитника грађана у поступању по предметима у овој области повећана за више од 12% у односу на 2019. годину. Од 5.056 које је решавао Заштитник грађана 1.253 предмета односило се на грађанска и политичка права, од којих се 317 (6,27%) односило на правду и правосуђе.</w:t>
      </w:r>
      <w:r w:rsidRPr="00EF008E">
        <w:rPr>
          <w:rFonts w:ascii="Arial" w:hAnsi="Arial" w:cs="Arial"/>
          <w:color w:val="000000"/>
          <w:sz w:val="22"/>
          <w:szCs w:val="22"/>
          <w:vertAlign w:val="superscript"/>
          <w:lang w:val="sr-Cyrl-RS"/>
        </w:rPr>
        <w:t>568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Недовољно је познавање међународних конвенција (CEDAW конвенција, Истанбулска конвенција, Конвенција о правима особа са инвалидитетом) и националних антидискриминационих прописа од стране актера који суделују у одлучивању о заштити од дискриминације. На правним факултетима се о овој области не стичу неопходна знања. Обуке које организује Правосудна академија за судије и тужиоце већ дужи низ година обухватају и антидискриминационе прописе, судску праксу и праксу Европског суда за људска права. Ове активности требало би и надаље континуирано спроводити. У адвокатским коморама нису организоване обуке о антидискриминационим прописима. Током 2019. године одржане су прве обуке за адвокате у Адвокатској комори Војводине и адвокатској комори у Нишу, Лесковцу и Врању коју је похађало више од 100 учесника. У 2021. години планира се одржавање посебне обуке за адвокате који би стекли продубљена знања у овој области како би могли сами да преузму обуке адвоката. Ове обуке подржала је мисија ОЕБС у Републици Србији. Неопходно је наставити перманентно обуке и подизање капацитета судија, тужилаца, адвоката, запослених у државној управи и јавним службама (укључити ове садржаје у редовне годишње обуке као и обуке за стицање лиценци) о међународним стандардима родне равноправности и антидискриминације (ратификоване међународне конвенције, пракса Европског суда за људска права, препоруке међународних тела која прате примену ратификованих међународних конвенција), као и о антидискриминационом законодавству и пракси Уставног суда и судова у Републици Србији.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Приступ правди за жене из осетљивих група. Полазећи од обавезе државе не само да обезбеди да жене имају на располагању доступна и ефикасна, правна средства за заштиту права, већ и приступачност институција заштите права, приступачну и благовремену правну помоћ и подршку, нужно је указати на много лошији положај жена из осетљивих друштвених група када се ради о приступу правди. Као рањиве групе које су изложене дискриминацији и вишеструкој дискриминацији препознају се Роми, жене, ЛГБТ популација, особе са инвалидитетом, сиромашне и старије особе, мигранти, националне мањине.</w:t>
      </w:r>
      <w:r w:rsidRPr="00EF008E">
        <w:rPr>
          <w:rFonts w:ascii="Arial" w:hAnsi="Arial" w:cs="Arial"/>
          <w:color w:val="000000"/>
          <w:sz w:val="22"/>
          <w:szCs w:val="22"/>
          <w:vertAlign w:val="superscript"/>
          <w:lang w:val="sr-Cyrl-RS"/>
        </w:rPr>
        <w:t>569</w:t>
      </w:r>
      <w:r w:rsidRPr="00EF008E">
        <w:rPr>
          <w:rFonts w:ascii="Arial" w:hAnsi="Arial" w:cs="Arial"/>
          <w:color w:val="000000"/>
          <w:sz w:val="22"/>
          <w:szCs w:val="22"/>
          <w:lang w:val="sr-Cyrl-RS"/>
        </w:rPr>
        <w:t xml:space="preserve"> Ромкиње</w:t>
      </w:r>
      <w:r w:rsidRPr="00EF008E">
        <w:rPr>
          <w:rFonts w:ascii="Arial" w:hAnsi="Arial" w:cs="Arial"/>
          <w:color w:val="000000"/>
          <w:sz w:val="22"/>
          <w:szCs w:val="22"/>
          <w:vertAlign w:val="superscript"/>
          <w:lang w:val="sr-Cyrl-RS"/>
        </w:rPr>
        <w:t>570</w:t>
      </w:r>
      <w:r w:rsidRPr="00EF008E">
        <w:rPr>
          <w:rFonts w:ascii="Arial" w:hAnsi="Arial" w:cs="Arial"/>
          <w:color w:val="000000"/>
          <w:sz w:val="22"/>
          <w:szCs w:val="22"/>
          <w:lang w:val="sr-Cyrl-RS"/>
        </w:rPr>
        <w:t>, сиромашне жене, женеиз руралних подручја и старије жене</w:t>
      </w:r>
      <w:r w:rsidRPr="00EF008E">
        <w:rPr>
          <w:rFonts w:ascii="Arial" w:hAnsi="Arial" w:cs="Arial"/>
          <w:color w:val="000000"/>
          <w:sz w:val="22"/>
          <w:szCs w:val="22"/>
          <w:vertAlign w:val="superscript"/>
          <w:lang w:val="sr-Cyrl-RS"/>
        </w:rPr>
        <w:t>571</w:t>
      </w:r>
      <w:r w:rsidRPr="00EF008E">
        <w:rPr>
          <w:rFonts w:ascii="Arial" w:hAnsi="Arial" w:cs="Arial"/>
          <w:color w:val="000000"/>
          <w:sz w:val="22"/>
          <w:szCs w:val="22"/>
          <w:lang w:val="sr-Cyrl-RS"/>
        </w:rPr>
        <w:t>. Оне имају отежан приступ правди (непознавање прописа и недостатак информација о правима и могућностима заштите права, трошкови поступка, неадекватно постављена мрежа судова и тужилаштава, недостатак јавног превоза) као и припаднице националних мањина због језичких баријера (језици националних мањина користе се само у првостепеном судском поступку, не и у поступцима пред вишим судским инстанцама, у судској статистици нема података о броју спорова у којима је коришћен језик националне мањине). У посебно тешком положају су жене са инвалидитетом, које чине 58% у укупном броју особа са инвалидитетом (зграде судова су физички неприступачне, нема довољно тумача за знаковни језик, судски документи нису доступни у приступачним форматима, поступци нису родно и старосно прилагођени)</w:t>
      </w:r>
      <w:r w:rsidRPr="00EF008E">
        <w:rPr>
          <w:rFonts w:ascii="Arial" w:hAnsi="Arial" w:cs="Arial"/>
          <w:color w:val="000000"/>
          <w:sz w:val="22"/>
          <w:szCs w:val="22"/>
          <w:vertAlign w:val="superscript"/>
          <w:lang w:val="sr-Cyrl-RS"/>
        </w:rPr>
        <w:t>572</w:t>
      </w:r>
      <w:r w:rsidRPr="00EF008E">
        <w:rPr>
          <w:rFonts w:ascii="Arial" w:hAnsi="Arial" w:cs="Arial"/>
          <w:color w:val="000000"/>
          <w:sz w:val="22"/>
          <w:szCs w:val="22"/>
          <w:lang w:val="sr-Cyrl-RS"/>
        </w:rPr>
        <w:t>, а нарочито жене са интелектуалним и психосоцијалним инвалидитетом које су смештене у резиденцијалне установе и којима је онемогућен самосталан приступ правди, јер су лишене пословне способности. На то указују и препоруке CEDAW комитета</w:t>
      </w:r>
      <w:r w:rsidRPr="00EF008E">
        <w:rPr>
          <w:rFonts w:ascii="Arial" w:hAnsi="Arial" w:cs="Arial"/>
          <w:color w:val="000000"/>
          <w:sz w:val="22"/>
          <w:szCs w:val="22"/>
          <w:vertAlign w:val="superscript"/>
          <w:lang w:val="sr-Cyrl-RS"/>
        </w:rPr>
        <w:t>573</w:t>
      </w:r>
      <w:r w:rsidRPr="00EF008E">
        <w:rPr>
          <w:rFonts w:ascii="Arial" w:hAnsi="Arial" w:cs="Arial"/>
          <w:color w:val="000000"/>
          <w:sz w:val="22"/>
          <w:szCs w:val="22"/>
          <w:lang w:val="sr-Cyrl-RS"/>
        </w:rPr>
        <w:t xml:space="preserve"> које се односе на укидање могућности лишења пословне способности на основу инвалидитета. Иако се особе са инвалидитетом сусрећу са бројним препрекама у приступу правди, Закон о бесплатној правној помоћи не регулише посебне мере за отклањање ових препрека, нити, у складу са принципом једнаких могућности, омогућава особама са инвалидитетом приступ правди. Закон о бесплатној правној помоћи</w:t>
      </w:r>
      <w:r w:rsidRPr="00EF008E">
        <w:rPr>
          <w:rFonts w:ascii="Arial" w:hAnsi="Arial" w:cs="Arial"/>
          <w:color w:val="000000"/>
          <w:sz w:val="22"/>
          <w:szCs w:val="22"/>
          <w:vertAlign w:val="superscript"/>
          <w:lang w:val="sr-Cyrl-RS"/>
        </w:rPr>
        <w:t>574</w:t>
      </w:r>
      <w:r w:rsidRPr="00EF008E">
        <w:rPr>
          <w:rFonts w:ascii="Arial" w:hAnsi="Arial" w:cs="Arial"/>
          <w:color w:val="000000"/>
          <w:sz w:val="22"/>
          <w:szCs w:val="22"/>
          <w:lang w:val="sr-Cyrl-RS"/>
        </w:rPr>
        <w:t>, гарантује право на бесплатну правну помоћ жртвама насиља у породици, лицу које остварује правну заштиту од тортуре, нечовечног или понижавајућег поступања или кажњавања или трговине људима, тражиоцима азила, малолетном детету, избеглицама, интерно расељеним лицима, старијим лицима, лицима на обавезном психијатријском лечењу у здравственим установама, одраслим и старијим лицима која су без сопственог пристанка смештена у установу социјалне заштите.</w:t>
      </w:r>
      <w:r w:rsidRPr="00EF008E">
        <w:rPr>
          <w:rFonts w:ascii="Arial" w:hAnsi="Arial" w:cs="Arial"/>
          <w:color w:val="000000"/>
          <w:sz w:val="22"/>
          <w:szCs w:val="22"/>
          <w:vertAlign w:val="superscript"/>
          <w:lang w:val="sr-Cyrl-RS"/>
        </w:rPr>
        <w:t>575</w:t>
      </w:r>
      <w:r w:rsidRPr="00EF008E">
        <w:rPr>
          <w:rFonts w:ascii="Arial" w:hAnsi="Arial" w:cs="Arial"/>
          <w:color w:val="000000"/>
          <w:sz w:val="22"/>
          <w:szCs w:val="22"/>
          <w:lang w:val="sr-Cyrl-RS"/>
        </w:rPr>
        <w:t xml:space="preserve"> Жртве свих других облика родно заснованог насиља, а посебно рањивe групe, изузев жртава насиља у породици, нису међу корисницима бесплатне правне помоћи, па би изменама Закона (члан 4) међу кориснике бесплатне правне помоћи требало уврстити и жртве свих облика родно заснованог насиља. Права мигранткиња на приступ правди регулише Закон о азилу и привременој заштити</w:t>
      </w:r>
      <w:r w:rsidRPr="00EF008E">
        <w:rPr>
          <w:rFonts w:ascii="Arial" w:hAnsi="Arial" w:cs="Arial"/>
          <w:color w:val="000000"/>
          <w:sz w:val="22"/>
          <w:szCs w:val="22"/>
          <w:vertAlign w:val="superscript"/>
          <w:lang w:val="sr-Cyrl-RS"/>
        </w:rPr>
        <w:t>576</w:t>
      </w:r>
      <w:r w:rsidRPr="00EF008E">
        <w:rPr>
          <w:rFonts w:ascii="Arial" w:hAnsi="Arial" w:cs="Arial"/>
          <w:color w:val="000000"/>
          <w:sz w:val="22"/>
          <w:szCs w:val="22"/>
          <w:lang w:val="sr-Cyrl-RS"/>
        </w:rPr>
        <w:t>, који забрањује дискриминацију због пола</w:t>
      </w:r>
      <w:r w:rsidRPr="00EF008E">
        <w:rPr>
          <w:rFonts w:ascii="Arial" w:hAnsi="Arial" w:cs="Arial"/>
          <w:color w:val="000000"/>
          <w:sz w:val="22"/>
          <w:szCs w:val="22"/>
          <w:vertAlign w:val="superscript"/>
          <w:lang w:val="sr-Cyrl-RS"/>
        </w:rPr>
        <w:t>577</w:t>
      </w:r>
      <w:r w:rsidRPr="00EF008E">
        <w:rPr>
          <w:rFonts w:ascii="Arial" w:hAnsi="Arial" w:cs="Arial"/>
          <w:color w:val="000000"/>
          <w:sz w:val="22"/>
          <w:szCs w:val="22"/>
          <w:lang w:val="sr-Cyrl-RS"/>
        </w:rPr>
        <w:t xml:space="preserve"> и протеривање уколико би слобода или безбедност лица била угрожена због пола</w:t>
      </w:r>
      <w:r w:rsidRPr="00EF008E">
        <w:rPr>
          <w:rFonts w:ascii="Arial" w:hAnsi="Arial" w:cs="Arial"/>
          <w:color w:val="000000"/>
          <w:sz w:val="22"/>
          <w:szCs w:val="22"/>
          <w:vertAlign w:val="superscript"/>
          <w:lang w:val="sr-Cyrl-RS"/>
        </w:rPr>
        <w:t>578</w:t>
      </w:r>
      <w:r w:rsidRPr="00EF008E">
        <w:rPr>
          <w:rFonts w:ascii="Arial" w:hAnsi="Arial" w:cs="Arial"/>
          <w:color w:val="000000"/>
          <w:sz w:val="22"/>
          <w:szCs w:val="22"/>
          <w:lang w:val="sr-Cyrl-RS"/>
        </w:rPr>
        <w:t>, регулише начело родне равноправности (родно осетљиво тумачење одредби закона, саслушање тражиоца уз помоћ преводиоца или тумача истог пола, жене тражиоци азила које су у мушкој пратњи дају изјаву одвојено од пратиоца)</w:t>
      </w:r>
      <w:r w:rsidRPr="00EF008E">
        <w:rPr>
          <w:rFonts w:ascii="Arial" w:hAnsi="Arial" w:cs="Arial"/>
          <w:color w:val="000000"/>
          <w:sz w:val="22"/>
          <w:szCs w:val="22"/>
          <w:vertAlign w:val="superscript"/>
          <w:lang w:val="sr-Cyrl-RS"/>
        </w:rPr>
        <w:t>579</w:t>
      </w:r>
      <w:r w:rsidRPr="00EF008E">
        <w:rPr>
          <w:rFonts w:ascii="Arial" w:hAnsi="Arial" w:cs="Arial"/>
          <w:color w:val="000000"/>
          <w:sz w:val="22"/>
          <w:szCs w:val="22"/>
          <w:lang w:val="sr-Cyrl-RS"/>
        </w:rPr>
        <w:t>, прописује посебне процесне прихватне гаранције за малолетна лица, особе са инвалидитетом, старија лица, самохране родитеље са малолетном децом, жртве трговине људима, тешко болесна лица, особе са душевним поремећајима, лица која су била мучена, силована или изложена другим облицима психичког или полног насиља, жене жртве сакаћења полних органа</w:t>
      </w:r>
      <w:r w:rsidRPr="00EF008E">
        <w:rPr>
          <w:rFonts w:ascii="Arial" w:hAnsi="Arial" w:cs="Arial"/>
          <w:color w:val="000000"/>
          <w:sz w:val="22"/>
          <w:szCs w:val="22"/>
          <w:vertAlign w:val="superscript"/>
          <w:lang w:val="sr-Cyrl-RS"/>
        </w:rPr>
        <w:t>580</w:t>
      </w:r>
      <w:r w:rsidRPr="00EF008E">
        <w:rPr>
          <w:rFonts w:ascii="Arial" w:hAnsi="Arial" w:cs="Arial"/>
          <w:color w:val="000000"/>
          <w:sz w:val="22"/>
          <w:szCs w:val="22"/>
          <w:lang w:val="sr-Cyrl-RS"/>
        </w:rPr>
        <w:t>, гарантује право на спајање породице</w:t>
      </w:r>
      <w:r w:rsidRPr="00EF008E">
        <w:rPr>
          <w:rFonts w:ascii="Arial" w:hAnsi="Arial" w:cs="Arial"/>
          <w:color w:val="000000"/>
          <w:sz w:val="22"/>
          <w:szCs w:val="22"/>
          <w:vertAlign w:val="superscript"/>
          <w:lang w:val="sr-Cyrl-RS"/>
        </w:rPr>
        <w:t>581</w:t>
      </w:r>
      <w:r w:rsidRPr="00EF008E">
        <w:rPr>
          <w:rFonts w:ascii="Arial" w:hAnsi="Arial" w:cs="Arial"/>
          <w:color w:val="000000"/>
          <w:sz w:val="22"/>
          <w:szCs w:val="22"/>
          <w:lang w:val="sr-Cyrl-RS"/>
        </w:rPr>
        <w:t xml:space="preserve"> и др. Проблем је и недостатак података који би омогућили континуирано праћење положаја жена из вишеструко дискриминисаних група, као и свеобухватна анализа њиховог положаја, што би допринело бољем сагледавању и разумевању и њихових потреба везаних за приступ правди и резултирало укључивањем одговарајућих мера у јавне политике како би се отклониле препреке које отежавају приступ правди. На потребу спровођења свеобухватне анализе за процену ситуације у којој су жене изложене вишеструкој дискриминацији упућују и препоруке CEDAW комитета, као и на потребу да се наставе напори на елиминисању вишеструке и међусобно повезане дискриминације и када је у питању приступ правди.</w:t>
      </w:r>
      <w:r w:rsidRPr="00EF008E">
        <w:rPr>
          <w:rFonts w:ascii="Arial" w:hAnsi="Arial" w:cs="Arial"/>
          <w:color w:val="000000"/>
          <w:sz w:val="22"/>
          <w:szCs w:val="22"/>
          <w:vertAlign w:val="superscript"/>
          <w:lang w:val="sr-Cyrl-RS"/>
        </w:rPr>
        <w:t>582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Информисање јавности, грађана и грађанки о правима која су им гарантована, инструментима и могућностима заштите права је неопходно континуирано спроводити. У тим активностима медији имају веома важну улогу, али и обавезу да активности везане за информисање о правима и могућностима њихове заштите, родним предрасудама и стереотипима, као и промовисање владавине права континуирано предузимају. Активности мреже </w:t>
      </w:r>
      <w:r>
        <w:rPr>
          <w:rFonts w:ascii="Arial" w:hAnsi="Arial" w:cs="Arial"/>
          <w:color w:val="000000"/>
          <w:sz w:val="22"/>
          <w:szCs w:val="22"/>
          <w:lang w:val="sr-Cyrl-RS"/>
        </w:rPr>
        <w:t>"</w:t>
      </w:r>
      <w:r w:rsidRPr="00EF008E">
        <w:rPr>
          <w:rFonts w:ascii="Arial" w:hAnsi="Arial" w:cs="Arial"/>
          <w:color w:val="000000"/>
          <w:sz w:val="22"/>
          <w:szCs w:val="22"/>
          <w:lang w:val="sr-Cyrl-RS"/>
        </w:rPr>
        <w:t>Новинарке против насиља према женама</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је пример добре праксе.</w:t>
      </w:r>
      <w:r w:rsidRPr="00EF008E">
        <w:rPr>
          <w:rFonts w:ascii="Arial" w:hAnsi="Arial" w:cs="Arial"/>
          <w:color w:val="000000"/>
          <w:sz w:val="22"/>
          <w:szCs w:val="22"/>
          <w:vertAlign w:val="superscript"/>
          <w:lang w:val="sr-Cyrl-RS"/>
        </w:rPr>
        <w:t>583</w:t>
      </w:r>
      <w:r w:rsidRPr="00EF008E">
        <w:rPr>
          <w:rFonts w:ascii="Arial" w:hAnsi="Arial" w:cs="Arial"/>
          <w:color w:val="000000"/>
          <w:sz w:val="22"/>
          <w:szCs w:val="22"/>
          <w:lang w:val="sr-Cyrl-RS"/>
        </w:rPr>
        <w:t xml:space="preserve"> Поред тога, треба користити и друге могућности за информисање рањивих група (непосредан контакт, сарадња са различитим ОЦД чија је активност концентрисана на рањиве групе, кампање, лифлети, водичи, приручници и сл.)</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5.2.2. Људска безбедност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Кризе и сукоби различито утичу и на мушкарце и на жене, дечаке и девојчице, а родна димензија је кључна за потпуније разумевање било које животне ситуације. Присутност и пораст ксенофобног популизма, претње женским правима широм света, увећање неједнакости, посебно оних повезаних са женама, директно или индиректно одражава се на личну безбедност како мушкараца тако и жена. Постизање родне равноправности у остваривању људских права и људске безбедности тесно је повезано за циљ 5. Агенде 2030, потциљ 5.1. (окончање свуда и свих облика дискриминације против жена и девојчица), потциљ 5.2. (елиминисање свих облика насиља према женама и девојчицама у јавној и приватној сфери, укључујући трговину људима и сексуалну и друге облике експлоатације) и потциљ 5.3. (елиминисање свих штетних пракси као што су дечији, рани и насилни бракови и сакаћење женских гениталија) као и за циљ 16. посебно за потциљ 16.1 (потреба значајног смањења свих облика насиља и са њима повезаним стопама смртних случајева) и потциљ 16.б (спровођење недискриминаторних закона и политика ради постизања одрживог развоја). Циљеве и активности из АП ЕУ за жене мир, безбедност (2019</w:t>
      </w:r>
      <w:r>
        <w:rPr>
          <w:rFonts w:ascii="Arial" w:hAnsi="Arial" w:cs="Arial"/>
          <w:color w:val="000000"/>
          <w:sz w:val="22"/>
          <w:szCs w:val="22"/>
          <w:lang w:val="sr-Cyrl-RS"/>
        </w:rPr>
        <w:t>-</w:t>
      </w:r>
      <w:r w:rsidRPr="00EF008E">
        <w:rPr>
          <w:rFonts w:ascii="Arial" w:hAnsi="Arial" w:cs="Arial"/>
          <w:color w:val="000000"/>
          <w:sz w:val="22"/>
          <w:szCs w:val="22"/>
          <w:lang w:val="sr-Cyrl-RS"/>
        </w:rPr>
        <w:t>2024),</w:t>
      </w:r>
      <w:r w:rsidRPr="00EF008E">
        <w:rPr>
          <w:rFonts w:ascii="Arial" w:hAnsi="Arial" w:cs="Arial"/>
          <w:color w:val="000000"/>
          <w:sz w:val="22"/>
          <w:szCs w:val="22"/>
          <w:vertAlign w:val="superscript"/>
          <w:lang w:val="sr-Cyrl-RS"/>
        </w:rPr>
        <w:t>584</w:t>
      </w:r>
      <w:r w:rsidRPr="00EF008E">
        <w:rPr>
          <w:rFonts w:ascii="Arial" w:hAnsi="Arial" w:cs="Arial"/>
          <w:color w:val="000000"/>
          <w:sz w:val="22"/>
          <w:szCs w:val="22"/>
          <w:lang w:val="sr-Cyrl-RS"/>
        </w:rPr>
        <w:t xml:space="preserve"> допуњује нови АП за родну равноправност ЕУ (2021</w:t>
      </w:r>
      <w:r>
        <w:rPr>
          <w:rFonts w:ascii="Arial" w:hAnsi="Arial" w:cs="Arial"/>
          <w:color w:val="000000"/>
          <w:sz w:val="22"/>
          <w:szCs w:val="22"/>
          <w:lang w:val="sr-Cyrl-RS"/>
        </w:rPr>
        <w:t>-</w:t>
      </w:r>
      <w:r w:rsidRPr="00EF008E">
        <w:rPr>
          <w:rFonts w:ascii="Arial" w:hAnsi="Arial" w:cs="Arial"/>
          <w:color w:val="000000"/>
          <w:sz w:val="22"/>
          <w:szCs w:val="22"/>
          <w:lang w:val="sr-Cyrl-RS"/>
        </w:rPr>
        <w:t>2025) (ГАП 3)</w:t>
      </w:r>
      <w:r w:rsidRPr="00EF008E">
        <w:rPr>
          <w:rFonts w:ascii="Arial" w:hAnsi="Arial" w:cs="Arial"/>
          <w:color w:val="000000"/>
          <w:sz w:val="22"/>
          <w:szCs w:val="22"/>
          <w:vertAlign w:val="superscript"/>
          <w:lang w:val="sr-Cyrl-RS"/>
        </w:rPr>
        <w:t>585</w:t>
      </w:r>
      <w:r w:rsidRPr="00EF008E">
        <w:rPr>
          <w:rFonts w:ascii="Arial" w:hAnsi="Arial" w:cs="Arial"/>
          <w:color w:val="000000"/>
          <w:sz w:val="22"/>
          <w:szCs w:val="22"/>
          <w:lang w:val="sr-Cyrl-RS"/>
        </w:rPr>
        <w:t xml:space="preserve"> који предвиђа: 1. родно одговорно лидерство на свим нивоима ЕУ, од политичког до менаџерског, 2. Обезбеђивање довољно интерних капацитета и способности за системску интеграцију родне перспективе и спровођење родних анализа у сектору безбедност и 3. блиски дијалог и сарадњу са државама чланицама и ангажовање ОЦД и других партнера, као што су мултилатералне и регионалне организације, академска заједница, истраживачки центри и приватни сектор, кроз приоритетне области деловања: учешће, увођење родне перспективе засноване на родним анализама, водство засновано на примерима, превенција, заштита и опоравак.</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Закључним запажањима у вези са Четвртим периодичном извештајем Републике Србије, CEDAW комитет је поздравио усвајање Националног акционог плана (2017</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2020) за спровођење Резолуције 1325 (2000) СБ УН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Жена, мир и безбедност.</w:t>
      </w:r>
      <w:r w:rsidRPr="00EF008E">
        <w:rPr>
          <w:rFonts w:ascii="Arial" w:hAnsi="Arial" w:cs="Arial"/>
          <w:color w:val="000000"/>
          <w:sz w:val="22"/>
          <w:szCs w:val="22"/>
          <w:vertAlign w:val="superscript"/>
          <w:lang w:val="sr-Cyrl-RS"/>
        </w:rPr>
        <w:t>586</w:t>
      </w:r>
      <w:r w:rsidRPr="00EF008E">
        <w:rPr>
          <w:rFonts w:ascii="Arial" w:hAnsi="Arial" w:cs="Arial"/>
          <w:color w:val="000000"/>
          <w:sz w:val="22"/>
          <w:szCs w:val="22"/>
          <w:lang w:val="sr-Cyrl-RS"/>
        </w:rPr>
        <w:t xml:space="preserve"> Комитет је изразио и забринутост због: а) непостојања специфичних информација о корацима предузетим за праћење и процену утицаја НАП-а и услуга које се пружају женама и девојкама жртвама насиља повезаних са сукобом; б) недовољне буџетске алокације за спровођење НАП-а; в) недостатка ангажовања на изради извештаја од стране жена погођених сукобом и ОЦД које раде са преживелима; г) непостојања статистичких података о насиљу према женама и девојкама који се односи на оружане сукобе. Позивајући се на општу препоруку бр. 30,</w:t>
      </w:r>
      <w:r w:rsidRPr="00EF008E">
        <w:rPr>
          <w:rFonts w:ascii="Arial" w:hAnsi="Arial" w:cs="Arial"/>
          <w:color w:val="000000"/>
          <w:sz w:val="22"/>
          <w:szCs w:val="22"/>
          <w:vertAlign w:val="superscript"/>
          <w:lang w:val="sr-Cyrl-RS"/>
        </w:rPr>
        <w:t>587</w:t>
      </w:r>
      <w:r w:rsidRPr="00EF008E">
        <w:rPr>
          <w:rFonts w:ascii="Arial" w:hAnsi="Arial" w:cs="Arial"/>
          <w:color w:val="000000"/>
          <w:sz w:val="22"/>
          <w:szCs w:val="22"/>
          <w:lang w:val="sr-Cyrl-RS"/>
        </w:rPr>
        <w:t xml:space="preserve"> Резолуцију СБ УН 1325 (2000) и накнадне резолуције, Комитет je препоручиo да држава уговорница: а) издвоји довољна средства и побољша механизме за ефикасно спровођење, праћење и процену утицаја НАП-а за спровођење Резолуције СБ УН 1325; предузме средњорочну евалуацију плана без одлагања; б) активно укључи ОЦД, укључујући жене погођене сукобом и организације које раде са преживелима, у спровођење, праћење и процену утицаја НАП-а за спровођење Резолуције СБ УН 1325, као и развој било ког стратешког документа, мировних преговора, обнове и реконструкције након сукоба; в) ојача и промовише заступљеност жена међу особљем за мировне преговоре и посредовање, укључујући и на вишим нивоима; прикупи податке о учешћу жена у спровођењу НАП-а за примену Резолуције СБ УН 1325 на законодавном, извршном и судском нивоу; г) обезбеди процену потреба и ефикасан приступ правним, здравственим и психосоцијалним услугама за све жене и девојке жртве насиља у вези са сукобом, укључујући жене и девојке из руралних подручја и жена и девојака из других друштвено осетљивих група; д) предузме мере за заштиту интерно расељених жена и девојака од присилног расељавања и насиља; ђ) унапреди стандардизовано прикупљање података о насиљу према женама и девојкама у вези са сукобом.</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Стратегија националне безбедности</w:t>
      </w:r>
      <w:r w:rsidRPr="00EF008E">
        <w:rPr>
          <w:rFonts w:ascii="Arial" w:hAnsi="Arial" w:cs="Arial"/>
          <w:color w:val="000000"/>
          <w:sz w:val="22"/>
          <w:szCs w:val="22"/>
          <w:vertAlign w:val="superscript"/>
          <w:lang w:val="sr-Cyrl-RS"/>
        </w:rPr>
        <w:t>588</w:t>
      </w:r>
      <w:r w:rsidRPr="00EF008E">
        <w:rPr>
          <w:rFonts w:ascii="Arial" w:hAnsi="Arial" w:cs="Arial"/>
          <w:color w:val="000000"/>
          <w:sz w:val="22"/>
          <w:szCs w:val="22"/>
          <w:lang w:val="sr-Cyrl-RS"/>
        </w:rPr>
        <w:t xml:space="preserve"> и Стратегија одбране</w:t>
      </w:r>
      <w:r w:rsidRPr="00EF008E">
        <w:rPr>
          <w:rFonts w:ascii="Arial" w:hAnsi="Arial" w:cs="Arial"/>
          <w:color w:val="000000"/>
          <w:sz w:val="22"/>
          <w:szCs w:val="22"/>
          <w:vertAlign w:val="superscript"/>
          <w:lang w:val="sr-Cyrl-RS"/>
        </w:rPr>
        <w:t>589</w:t>
      </w:r>
      <w:r w:rsidRPr="00EF008E">
        <w:rPr>
          <w:rFonts w:ascii="Arial" w:hAnsi="Arial" w:cs="Arial"/>
          <w:color w:val="000000"/>
          <w:sz w:val="22"/>
          <w:szCs w:val="22"/>
          <w:lang w:val="sr-Cyrl-RS"/>
        </w:rPr>
        <w:t xml:space="preserve"> су фундаментални политички документи у области националне безбедности и одбране. Позитивна новина је решење које предвиђа да Влада континуирано прати спровођење обе стратегије на основу АП за чију израду је задужено МО, што још није учињено. Законом о планском систему Републике Србије који прописује обавезу спровођења ex</w:t>
      </w:r>
      <w:r>
        <w:rPr>
          <w:rFonts w:ascii="Arial" w:hAnsi="Arial" w:cs="Arial"/>
          <w:color w:val="000000"/>
          <w:sz w:val="22"/>
          <w:szCs w:val="22"/>
          <w:lang w:val="sr-Cyrl-RS"/>
        </w:rPr>
        <w:t>-</w:t>
      </w:r>
      <w:r w:rsidRPr="00EF008E">
        <w:rPr>
          <w:rFonts w:ascii="Arial" w:hAnsi="Arial" w:cs="Arial"/>
          <w:color w:val="000000"/>
          <w:sz w:val="22"/>
          <w:szCs w:val="22"/>
          <w:lang w:val="sr-Cyrl-RS"/>
        </w:rPr>
        <w:t>ante анализе ефеката, Влада је овлашћена да ближе уређује за која документа јавних политика се та анализа не мора спроводити. То решење је контрадикторно. Уредба о методологији управљања јавним политикама, анализи ефеката јавних политика и прописа и садржају појединачних докумената јавних политика</w:t>
      </w:r>
      <w:r w:rsidRPr="00EF008E">
        <w:rPr>
          <w:rFonts w:ascii="Arial" w:hAnsi="Arial" w:cs="Arial"/>
          <w:color w:val="000000"/>
          <w:sz w:val="22"/>
          <w:szCs w:val="22"/>
          <w:vertAlign w:val="superscript"/>
          <w:lang w:val="sr-Cyrl-RS"/>
        </w:rPr>
        <w:t>590</w:t>
      </w:r>
      <w:r w:rsidRPr="00EF008E">
        <w:rPr>
          <w:rFonts w:ascii="Arial" w:hAnsi="Arial" w:cs="Arial"/>
          <w:color w:val="000000"/>
          <w:sz w:val="22"/>
          <w:szCs w:val="22"/>
          <w:lang w:val="sr-Cyrl-RS"/>
        </w:rPr>
        <w:t xml:space="preserve"> такође регулише када спровођење анализе ефеката није обавезно, па између осталог наводи </w:t>
      </w:r>
      <w:r>
        <w:rPr>
          <w:rFonts w:ascii="Arial" w:hAnsi="Arial" w:cs="Arial"/>
          <w:color w:val="000000"/>
          <w:sz w:val="22"/>
          <w:szCs w:val="22"/>
          <w:lang w:val="sr-Cyrl-RS"/>
        </w:rPr>
        <w:t>"</w:t>
      </w:r>
      <w:r w:rsidRPr="00EF008E">
        <w:rPr>
          <w:rFonts w:ascii="Arial" w:hAnsi="Arial" w:cs="Arial"/>
          <w:color w:val="000000"/>
          <w:sz w:val="22"/>
          <w:szCs w:val="22"/>
          <w:lang w:val="sr-Cyrl-RS"/>
        </w:rPr>
        <w:t>документа јавних политика и прописа, на републичком нивоу, који су од значаја за одбрану и безбедност или којима се ублажавају или отклањају последице катастрофа, елементарних и других непогода и ванредних ситуација.</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Стратегија превенције и сузбијања трговине људима, посебно женама и децом и заштите жртава (2017</w:t>
      </w:r>
      <w:r>
        <w:rPr>
          <w:rFonts w:ascii="Arial" w:hAnsi="Arial" w:cs="Arial"/>
          <w:color w:val="000000"/>
          <w:sz w:val="22"/>
          <w:szCs w:val="22"/>
          <w:lang w:val="sr-Cyrl-RS"/>
        </w:rPr>
        <w:t>-</w:t>
      </w:r>
      <w:r w:rsidRPr="00EF008E">
        <w:rPr>
          <w:rFonts w:ascii="Arial" w:hAnsi="Arial" w:cs="Arial"/>
          <w:color w:val="000000"/>
          <w:sz w:val="22"/>
          <w:szCs w:val="22"/>
          <w:lang w:val="sr-Cyrl-RS"/>
        </w:rPr>
        <w:t>2022)</w:t>
      </w:r>
      <w:r w:rsidRPr="00EF008E">
        <w:rPr>
          <w:rFonts w:ascii="Arial" w:hAnsi="Arial" w:cs="Arial"/>
          <w:color w:val="000000"/>
          <w:sz w:val="22"/>
          <w:szCs w:val="22"/>
          <w:vertAlign w:val="superscript"/>
          <w:lang w:val="sr-Cyrl-RS"/>
        </w:rPr>
        <w:t>591</w:t>
      </w:r>
      <w:r w:rsidRPr="00EF008E">
        <w:rPr>
          <w:rFonts w:ascii="Arial" w:hAnsi="Arial" w:cs="Arial"/>
          <w:color w:val="000000"/>
          <w:sz w:val="22"/>
          <w:szCs w:val="22"/>
          <w:lang w:val="sr-Cyrl-RS"/>
        </w:rPr>
        <w:t xml:space="preserve"> са АП (2017</w:t>
      </w:r>
      <w:r>
        <w:rPr>
          <w:rFonts w:ascii="Arial" w:hAnsi="Arial" w:cs="Arial"/>
          <w:color w:val="000000"/>
          <w:sz w:val="22"/>
          <w:szCs w:val="22"/>
          <w:lang w:val="sr-Cyrl-RS"/>
        </w:rPr>
        <w:t>-</w:t>
      </w:r>
      <w:r w:rsidRPr="00EF008E">
        <w:rPr>
          <w:rFonts w:ascii="Arial" w:hAnsi="Arial" w:cs="Arial"/>
          <w:color w:val="000000"/>
          <w:sz w:val="22"/>
          <w:szCs w:val="22"/>
          <w:lang w:val="sr-Cyrl-RS"/>
        </w:rPr>
        <w:t>2018) и АП (2019</w:t>
      </w:r>
      <w:r>
        <w:rPr>
          <w:rFonts w:ascii="Arial" w:hAnsi="Arial" w:cs="Arial"/>
          <w:color w:val="000000"/>
          <w:sz w:val="22"/>
          <w:szCs w:val="22"/>
          <w:lang w:val="sr-Cyrl-RS"/>
        </w:rPr>
        <w:t>-</w:t>
      </w:r>
      <w:r w:rsidRPr="00EF008E">
        <w:rPr>
          <w:rFonts w:ascii="Arial" w:hAnsi="Arial" w:cs="Arial"/>
          <w:color w:val="000000"/>
          <w:sz w:val="22"/>
          <w:szCs w:val="22"/>
          <w:lang w:val="sr-Cyrl-RS"/>
        </w:rPr>
        <w:t>2020) је такође важан плански документ за област јавне безбедности. Израђен је Предлог акционог плана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2022. године за спровођење Стратегије превенције и сузбијања трговине људима посебно женама и децом и заштите жртава за 2017</w:t>
      </w:r>
      <w:r>
        <w:rPr>
          <w:rFonts w:ascii="Arial" w:hAnsi="Arial" w:cs="Arial"/>
          <w:color w:val="000000"/>
          <w:sz w:val="22"/>
          <w:szCs w:val="22"/>
          <w:lang w:val="sr-Cyrl-RS"/>
        </w:rPr>
        <w:t>-</w:t>
      </w:r>
      <w:r w:rsidRPr="00EF008E">
        <w:rPr>
          <w:rFonts w:ascii="Arial" w:hAnsi="Arial" w:cs="Arial"/>
          <w:color w:val="000000"/>
          <w:sz w:val="22"/>
          <w:szCs w:val="22"/>
          <w:lang w:val="sr-Cyrl-RS"/>
        </w:rPr>
        <w:t>2022. године.</w:t>
      </w:r>
      <w:r w:rsidRPr="00EF008E">
        <w:rPr>
          <w:rFonts w:ascii="Arial" w:hAnsi="Arial" w:cs="Arial"/>
          <w:color w:val="000000"/>
          <w:sz w:val="22"/>
          <w:szCs w:val="22"/>
          <w:vertAlign w:val="superscript"/>
          <w:lang w:val="sr-Cyrl-RS"/>
        </w:rPr>
        <w:t>592</w:t>
      </w:r>
      <w:r w:rsidRPr="00EF008E">
        <w:rPr>
          <w:rFonts w:ascii="Arial" w:hAnsi="Arial" w:cs="Arial"/>
          <w:color w:val="000000"/>
          <w:sz w:val="22"/>
          <w:szCs w:val="22"/>
          <w:lang w:val="sr-Cyrl-RS"/>
        </w:rPr>
        <w:t xml:space="preserve"> Именован је национални координатор за борбу против трговине људима</w:t>
      </w:r>
      <w:r w:rsidRPr="00EF008E">
        <w:rPr>
          <w:rFonts w:ascii="Arial" w:hAnsi="Arial" w:cs="Arial"/>
          <w:color w:val="000000"/>
          <w:sz w:val="22"/>
          <w:szCs w:val="22"/>
          <w:vertAlign w:val="superscript"/>
          <w:lang w:val="sr-Cyrl-RS"/>
        </w:rPr>
        <w:t>593</w:t>
      </w:r>
      <w:r w:rsidRPr="00EF008E">
        <w:rPr>
          <w:rFonts w:ascii="Arial" w:hAnsi="Arial" w:cs="Arial"/>
          <w:color w:val="000000"/>
          <w:sz w:val="22"/>
          <w:szCs w:val="22"/>
          <w:lang w:val="sr-Cyrl-RS"/>
        </w:rPr>
        <w:t>, као један од предуслова за њено спровођење. Континуирано се спроводе обуке и семинари намењени полицајцима који раде на предметима трговине људима. Извршене су и одређене организационе промене. У оквиру дирекције полиције формирана је Канцеларија за координацију активности у борби против трговине људима. Надлежност за поступање у случајевима трговине људима из Управе граничне полиције прешла је у Управу криминалистичке полиције. У оквиру Службе за борбу против организованог криминала формирано је Одељење за сузбијање трговине људима и кријумчарење људи, са три одсека: Одсек за координацију, анализу и превенцију трговине људима, Одсек за сузбијање трговине људима и Одсек за сузбијање кријумчарења људи. Измене су извршене и у оквиру полицијских управа у већим градовима.</w:t>
      </w:r>
      <w:r w:rsidRPr="00EF008E">
        <w:rPr>
          <w:rFonts w:ascii="Arial" w:hAnsi="Arial" w:cs="Arial"/>
          <w:color w:val="000000"/>
          <w:sz w:val="22"/>
          <w:szCs w:val="22"/>
          <w:vertAlign w:val="superscript"/>
          <w:lang w:val="sr-Cyrl-RS"/>
        </w:rPr>
        <w:t>594</w:t>
      </w:r>
      <w:r w:rsidRPr="00EF008E">
        <w:rPr>
          <w:rFonts w:ascii="Arial" w:hAnsi="Arial" w:cs="Arial"/>
          <w:color w:val="000000"/>
          <w:sz w:val="22"/>
          <w:szCs w:val="22"/>
          <w:lang w:val="sr-Cyrl-RS"/>
        </w:rPr>
        <w:t xml:space="preserve"> У АП за реализацију ове стратегије предвиђено је знатно мање активности. У Извештају коалиције прЕУговор о напретку Републике Србије у Поглављима 23 и 24, наведено је да је из 4 мере изостављено 23 активности, од којих се највећи број односи на директну подршку жртвама.</w:t>
      </w:r>
      <w:r w:rsidRPr="00EF008E">
        <w:rPr>
          <w:rFonts w:ascii="Arial" w:hAnsi="Arial" w:cs="Arial"/>
          <w:color w:val="000000"/>
          <w:sz w:val="22"/>
          <w:szCs w:val="22"/>
          <w:vertAlign w:val="superscript"/>
          <w:lang w:val="sr-Cyrl-RS"/>
        </w:rPr>
        <w:t>595</w:t>
      </w:r>
      <w:r w:rsidRPr="00EF008E">
        <w:rPr>
          <w:rFonts w:ascii="Arial" w:hAnsi="Arial" w:cs="Arial"/>
          <w:color w:val="000000"/>
          <w:sz w:val="22"/>
          <w:szCs w:val="22"/>
          <w:lang w:val="sr-Cyrl-RS"/>
        </w:rPr>
        <w:t xml:space="preserve"> Република Србија је једна од ретких држава чланица УН чији НАП за Резолуцију СБ УН 1325 садржи меру која се односи на разоружање друштва и контролу незаконите трговине малим и лаким оружјем (МиЛО) и родно засновано насиље. У Извештају о резултатима спровођења АП за 2019. и 2020. годину за спровођење Стратегије превенције и сузбијања трговине људима, посебно женама и децом и заштите жртава 2017</w:t>
      </w:r>
      <w:r>
        <w:rPr>
          <w:rFonts w:ascii="Arial" w:hAnsi="Arial" w:cs="Arial"/>
          <w:color w:val="000000"/>
          <w:sz w:val="22"/>
          <w:szCs w:val="22"/>
          <w:lang w:val="sr-Cyrl-RS"/>
        </w:rPr>
        <w:t>-</w:t>
      </w:r>
      <w:r w:rsidRPr="00EF008E">
        <w:rPr>
          <w:rFonts w:ascii="Arial" w:hAnsi="Arial" w:cs="Arial"/>
          <w:color w:val="000000"/>
          <w:sz w:val="22"/>
          <w:szCs w:val="22"/>
          <w:lang w:val="sr-Cyrl-RS"/>
        </w:rPr>
        <w:t>2022. године, који је израдила мултисекторска Посебна радна група за спровођење и праћење Стратегије превенције и сузбијања трговине људима, посебно женама и децом и заштите жртава 2017</w:t>
      </w:r>
      <w:r>
        <w:rPr>
          <w:rFonts w:ascii="Arial" w:hAnsi="Arial" w:cs="Arial"/>
          <w:color w:val="000000"/>
          <w:sz w:val="22"/>
          <w:szCs w:val="22"/>
          <w:lang w:val="sr-Cyrl-RS"/>
        </w:rPr>
        <w:t>-</w:t>
      </w:r>
      <w:r w:rsidRPr="00EF008E">
        <w:rPr>
          <w:rFonts w:ascii="Arial" w:hAnsi="Arial" w:cs="Arial"/>
          <w:color w:val="000000"/>
          <w:sz w:val="22"/>
          <w:szCs w:val="22"/>
          <w:lang w:val="sr-Cyrl-RS"/>
        </w:rPr>
        <w:t>2022. године се наводи: да су одређени задаци нереално постављени, како по обиму, тако и по спроводљивости; одређени индикатори су сложено постављени, на које се не може одговорити без дубље анализе; у више различитих активности предвиђени су истоветни индикатори, што приликом извештавања о резултатима спровођења доводи до понављања.</w:t>
      </w:r>
      <w:r w:rsidRPr="00EF008E">
        <w:rPr>
          <w:rFonts w:ascii="Arial" w:hAnsi="Arial" w:cs="Arial"/>
          <w:color w:val="000000"/>
          <w:sz w:val="22"/>
          <w:szCs w:val="22"/>
          <w:vertAlign w:val="superscript"/>
          <w:lang w:val="sr-Cyrl-RS"/>
        </w:rPr>
        <w:t>596</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Иако не помиње Резолуцију СБ УН 1325 нова Стратегија контроле малог и лаког оружја (2019</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2024), препознаје да </w:t>
      </w:r>
      <w:r>
        <w:rPr>
          <w:rFonts w:ascii="Arial" w:hAnsi="Arial" w:cs="Arial"/>
          <w:color w:val="000000"/>
          <w:sz w:val="22"/>
          <w:szCs w:val="22"/>
          <w:lang w:val="sr-Cyrl-RS"/>
        </w:rPr>
        <w:t>"</w:t>
      </w:r>
      <w:r w:rsidRPr="00EF008E">
        <w:rPr>
          <w:rFonts w:ascii="Arial" w:hAnsi="Arial" w:cs="Arial"/>
          <w:color w:val="000000"/>
          <w:sz w:val="22"/>
          <w:szCs w:val="22"/>
          <w:lang w:val="sr-Cyrl-RS"/>
        </w:rPr>
        <w:t>поседовање, употреба, злоупотреба и ефекти малог и лаког оружја испољавају јасне родне димензије</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што је у складу са мерама другог НАП-а за имплементацију Резолуције СБ УН 1325 у Републици Србији. ОЦД Центар за истраживање јавних политика кроз активан процес заговарања значајно је допринео увођењу родне димензије контроле МиЛО у НАП и спровео низ истраживања о родној димензији употребе ватреног оружја у периоду од 2017</w:t>
      </w:r>
      <w:r>
        <w:rPr>
          <w:rFonts w:ascii="Arial" w:hAnsi="Arial" w:cs="Arial"/>
          <w:color w:val="000000"/>
          <w:sz w:val="22"/>
          <w:szCs w:val="22"/>
          <w:lang w:val="sr-Cyrl-RS"/>
        </w:rPr>
        <w:t>-</w:t>
      </w:r>
      <w:r w:rsidRPr="00EF008E">
        <w:rPr>
          <w:rFonts w:ascii="Arial" w:hAnsi="Arial" w:cs="Arial"/>
          <w:color w:val="000000"/>
          <w:sz w:val="22"/>
          <w:szCs w:val="22"/>
          <w:lang w:val="sr-Cyrl-RS"/>
        </w:rPr>
        <w:t>2019. године подржавајући на тај начин спровођење НАП за Резолуцију СБ УН 1325.</w:t>
      </w:r>
      <w:r w:rsidRPr="00EF008E">
        <w:rPr>
          <w:rFonts w:ascii="Arial" w:hAnsi="Arial" w:cs="Arial"/>
          <w:color w:val="000000"/>
          <w:sz w:val="22"/>
          <w:szCs w:val="22"/>
          <w:vertAlign w:val="superscript"/>
          <w:lang w:val="sr-Cyrl-RS"/>
        </w:rPr>
        <w:t>597</w:t>
      </w:r>
      <w:r w:rsidRPr="00EF008E">
        <w:rPr>
          <w:rFonts w:ascii="Arial" w:hAnsi="Arial" w:cs="Arial"/>
          <w:color w:val="000000"/>
          <w:sz w:val="22"/>
          <w:szCs w:val="22"/>
          <w:lang w:val="sr-Cyrl-RS"/>
        </w:rPr>
        <w:t xml:space="preserve"> НАП за Резолуцију СБ УН 1325 је компатибилан са Законом о спречавању насиља у породици и Законом о оружју и муницији, који препознају важност превентивног деловања за шта је значајна и мера одузимања ватреног оружја починиоцима насиља у породици, легализација ватреног оружја у нелегалном поседу и безбедно руковање легалним оружјем, као важних мера у превенцији фемицида. Према налазима Центра за истраживања јавних политика, грађани су заинтересовани да се укључе у локалне кампање за легализацију оружја као део напора да се унапреди безбедност заједница, а посебно жена и других рањивих група.</w:t>
      </w:r>
      <w:r w:rsidRPr="00EF008E">
        <w:rPr>
          <w:rFonts w:ascii="Arial" w:hAnsi="Arial" w:cs="Arial"/>
          <w:color w:val="000000"/>
          <w:sz w:val="22"/>
          <w:szCs w:val="22"/>
          <w:vertAlign w:val="superscript"/>
          <w:lang w:val="sr-Cyrl-RS"/>
        </w:rPr>
        <w:t>598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НАП за Резолуцију СБ УН 1325 (2017</w:t>
      </w:r>
      <w:r>
        <w:rPr>
          <w:rFonts w:ascii="Arial" w:hAnsi="Arial" w:cs="Arial"/>
          <w:color w:val="000000"/>
          <w:sz w:val="22"/>
          <w:szCs w:val="22"/>
          <w:lang w:val="sr-Cyrl-RS"/>
        </w:rPr>
        <w:t>-</w:t>
      </w:r>
      <w:r w:rsidRPr="00EF008E">
        <w:rPr>
          <w:rFonts w:ascii="Arial" w:hAnsi="Arial" w:cs="Arial"/>
          <w:color w:val="000000"/>
          <w:sz w:val="22"/>
          <w:szCs w:val="22"/>
          <w:lang w:val="sr-Cyrl-RS"/>
        </w:rPr>
        <w:t>2020)</w:t>
      </w:r>
      <w:r w:rsidRPr="00EF008E">
        <w:rPr>
          <w:rFonts w:ascii="Arial" w:hAnsi="Arial" w:cs="Arial"/>
          <w:color w:val="000000"/>
          <w:sz w:val="22"/>
          <w:szCs w:val="22"/>
          <w:vertAlign w:val="superscript"/>
          <w:lang w:val="sr-Cyrl-RS"/>
        </w:rPr>
        <w:t>599</w:t>
      </w:r>
      <w:r w:rsidRPr="00EF008E">
        <w:rPr>
          <w:rFonts w:ascii="Arial" w:hAnsi="Arial" w:cs="Arial"/>
          <w:color w:val="000000"/>
          <w:sz w:val="22"/>
          <w:szCs w:val="22"/>
          <w:lang w:val="sr-Cyrl-RS"/>
        </w:rPr>
        <w:t xml:space="preserve"> је обухватао пет области: актери, институционална тела и механизми, превенција, учествовање, заштита и опоравак, као и три прилога. Циљеви, активности, носиоци активности и партнери, потребни ресурси и показатељи учинка били су усмерени ка унапређењу свих аспеката безбедности жена у друштву. Активности су претежно биле усмерене на спречавање насиља према женама у мултинационалним операцијама, у конфликтном и постконфликтном опоравку друштва, кризним и ванредним ситуацијама, са посебним освртом на превентивно деловање, заштиту и опоравак жена услед деловања савремених изазова, ризика и претњи безбедности који посебно погађају маргинализоване и вишеструко дискриминисане категорије становништва. Радна група за израду новог НАП-а суочила се са неуједначеним родним евиденцијама у појединим органима државне управе и локалне самоуправе и неуједначеним системом извештавања који би омогућили да нови НАП садржи прецизне почетне, као и циљане вредности и циљеве које треба достићи до краја 2020. године</w:t>
      </w:r>
      <w:r w:rsidRPr="00EF008E">
        <w:rPr>
          <w:rFonts w:ascii="Arial" w:hAnsi="Arial" w:cs="Arial"/>
          <w:color w:val="000000"/>
          <w:sz w:val="22"/>
          <w:szCs w:val="22"/>
          <w:vertAlign w:val="superscript"/>
          <w:lang w:val="sr-Cyrl-RS"/>
        </w:rPr>
        <w:t>600</w:t>
      </w:r>
      <w:r w:rsidRPr="00EF008E">
        <w:rPr>
          <w:rFonts w:ascii="Arial" w:hAnsi="Arial" w:cs="Arial"/>
          <w:color w:val="000000"/>
          <w:sz w:val="22"/>
          <w:szCs w:val="22"/>
          <w:lang w:val="sr-Cyrl-RS"/>
        </w:rPr>
        <w:t xml:space="preserve"> У Извештају о спровођењу НАП за примену Резолуције СБ УН 1325 у МО и ВС, за 2020. годину,</w:t>
      </w:r>
      <w:r w:rsidRPr="00EF008E">
        <w:rPr>
          <w:rFonts w:ascii="Arial" w:hAnsi="Arial" w:cs="Arial"/>
          <w:color w:val="000000"/>
          <w:sz w:val="22"/>
          <w:szCs w:val="22"/>
          <w:vertAlign w:val="superscript"/>
          <w:lang w:val="sr-Cyrl-RS"/>
        </w:rPr>
        <w:t>601</w:t>
      </w:r>
      <w:r w:rsidRPr="00EF008E">
        <w:rPr>
          <w:rFonts w:ascii="Arial" w:hAnsi="Arial" w:cs="Arial"/>
          <w:color w:val="000000"/>
          <w:sz w:val="22"/>
          <w:szCs w:val="22"/>
          <w:lang w:val="sr-Cyrl-RS"/>
        </w:rPr>
        <w:t xml:space="preserve"> наводи се да су МО и ВС наставили са спровођењем НАП 1325 ради што обухватнијег и потпунијег остваривања циљева, дефинисаних НАП-ом.</w:t>
      </w:r>
      <w:r w:rsidRPr="00EF008E">
        <w:rPr>
          <w:rFonts w:ascii="Arial" w:hAnsi="Arial" w:cs="Arial"/>
          <w:color w:val="000000"/>
          <w:sz w:val="22"/>
          <w:szCs w:val="22"/>
          <w:vertAlign w:val="superscript"/>
          <w:lang w:val="sr-Cyrl-RS"/>
        </w:rPr>
        <w:t>602</w:t>
      </w:r>
      <w:r w:rsidRPr="00EF008E">
        <w:rPr>
          <w:rFonts w:ascii="Arial" w:hAnsi="Arial" w:cs="Arial"/>
          <w:color w:val="000000"/>
          <w:sz w:val="22"/>
          <w:szCs w:val="22"/>
          <w:lang w:val="sr-Cyrl-RS"/>
        </w:rPr>
        <w:t xml:space="preserve"> Влада је усвојила измену Закључка о образовању Политичког савета за спровођење НАП за примену Резолуције 1325 СБ УН (2017</w:t>
      </w:r>
      <w:r>
        <w:rPr>
          <w:rFonts w:ascii="Arial" w:hAnsi="Arial" w:cs="Arial"/>
          <w:color w:val="000000"/>
          <w:sz w:val="22"/>
          <w:szCs w:val="22"/>
          <w:lang w:val="sr-Cyrl-RS"/>
        </w:rPr>
        <w:t>-</w:t>
      </w:r>
      <w:r w:rsidRPr="00EF008E">
        <w:rPr>
          <w:rFonts w:ascii="Arial" w:hAnsi="Arial" w:cs="Arial"/>
          <w:color w:val="000000"/>
          <w:sz w:val="22"/>
          <w:szCs w:val="22"/>
          <w:lang w:val="sr-Cyrl-RS"/>
        </w:rPr>
        <w:t>2020).</w:t>
      </w:r>
      <w:r w:rsidRPr="00EF008E">
        <w:rPr>
          <w:rFonts w:ascii="Arial" w:hAnsi="Arial" w:cs="Arial"/>
          <w:color w:val="000000"/>
          <w:sz w:val="22"/>
          <w:szCs w:val="22"/>
          <w:vertAlign w:val="superscript"/>
          <w:lang w:val="sr-Cyrl-RS"/>
        </w:rPr>
        <w:t>603</w:t>
      </w:r>
      <w:r w:rsidRPr="00EF008E">
        <w:rPr>
          <w:rFonts w:ascii="Arial" w:hAnsi="Arial" w:cs="Arial"/>
          <w:color w:val="000000"/>
          <w:sz w:val="22"/>
          <w:szCs w:val="22"/>
          <w:lang w:val="sr-Cyrl-RS"/>
        </w:rPr>
        <w:t xml:space="preserve"> Министар одбране донео је Одлуку о одређивању саветнице министра одбране за спровођење НАП-а за примену Резолуције 1325 СБ УН (2017</w:t>
      </w:r>
      <w:r>
        <w:rPr>
          <w:rFonts w:ascii="Arial" w:hAnsi="Arial" w:cs="Arial"/>
          <w:color w:val="000000"/>
          <w:sz w:val="22"/>
          <w:szCs w:val="22"/>
          <w:lang w:val="sr-Cyrl-RS"/>
        </w:rPr>
        <w:t>-</w:t>
      </w:r>
      <w:r w:rsidRPr="00EF008E">
        <w:rPr>
          <w:rFonts w:ascii="Arial" w:hAnsi="Arial" w:cs="Arial"/>
          <w:color w:val="000000"/>
          <w:sz w:val="22"/>
          <w:szCs w:val="22"/>
          <w:lang w:val="sr-Cyrl-RS"/>
        </w:rPr>
        <w:t>2020)</w:t>
      </w:r>
      <w:r w:rsidRPr="00EF008E">
        <w:rPr>
          <w:rFonts w:ascii="Arial" w:hAnsi="Arial" w:cs="Arial"/>
          <w:color w:val="000000"/>
          <w:sz w:val="22"/>
          <w:szCs w:val="22"/>
          <w:vertAlign w:val="superscript"/>
          <w:lang w:val="sr-Cyrl-RS"/>
        </w:rPr>
        <w:t>604</w:t>
      </w:r>
      <w:r w:rsidRPr="00EF008E">
        <w:rPr>
          <w:rFonts w:ascii="Arial" w:hAnsi="Arial" w:cs="Arial"/>
          <w:color w:val="000000"/>
          <w:sz w:val="22"/>
          <w:szCs w:val="22"/>
          <w:lang w:val="sr-Cyrl-RS"/>
        </w:rPr>
        <w:t xml:space="preserve"> и Решење о образовању Аналитичке групе за спровођење НАП за примену Резолуције 1325 СБ УН (2017</w:t>
      </w:r>
      <w:r>
        <w:rPr>
          <w:rFonts w:ascii="Arial" w:hAnsi="Arial" w:cs="Arial"/>
          <w:color w:val="000000"/>
          <w:sz w:val="22"/>
          <w:szCs w:val="22"/>
          <w:lang w:val="sr-Cyrl-RS"/>
        </w:rPr>
        <w:t>-</w:t>
      </w:r>
      <w:r w:rsidRPr="00EF008E">
        <w:rPr>
          <w:rFonts w:ascii="Arial" w:hAnsi="Arial" w:cs="Arial"/>
          <w:color w:val="000000"/>
          <w:sz w:val="22"/>
          <w:szCs w:val="22"/>
          <w:lang w:val="sr-Cyrl-RS"/>
        </w:rPr>
        <w:t>2020) из надлежности МО и ВС.</w:t>
      </w:r>
      <w:r w:rsidRPr="00EF008E">
        <w:rPr>
          <w:rFonts w:ascii="Arial" w:hAnsi="Arial" w:cs="Arial"/>
          <w:color w:val="000000"/>
          <w:sz w:val="22"/>
          <w:szCs w:val="22"/>
          <w:vertAlign w:val="superscript"/>
          <w:lang w:val="sr-Cyrl-RS"/>
        </w:rPr>
        <w:t>605</w:t>
      </w:r>
      <w:r w:rsidRPr="00EF008E">
        <w:rPr>
          <w:rFonts w:ascii="Arial" w:hAnsi="Arial" w:cs="Arial"/>
          <w:color w:val="000000"/>
          <w:sz w:val="22"/>
          <w:szCs w:val="22"/>
          <w:lang w:val="sr-Cyrl-RS"/>
        </w:rPr>
        <w:t xml:space="preserve"> Аналитичка група МО и ВС, формирана 2019. године решењем министра одбране, у току 2020. године израдила je две родне анализе и нацрте годишњег и полугодишњег извештаја о спровођењу НАП у МО и ВС. Задатке Мултисекторског тела, које је преименовано у Оперативно тело, сада врши КТРР Владе РС. У току 2020. године у МO и ВС је редовно функционисао механизам за родну равноправност у МО и ВС </w:t>
      </w:r>
      <w:r>
        <w:rPr>
          <w:rFonts w:ascii="Arial" w:hAnsi="Arial" w:cs="Arial"/>
          <w:color w:val="000000"/>
          <w:sz w:val="22"/>
          <w:szCs w:val="22"/>
          <w:lang w:val="sr-Cyrl-RS"/>
        </w:rPr>
        <w:t>"</w:t>
      </w:r>
      <w:r w:rsidRPr="00EF008E">
        <w:rPr>
          <w:rFonts w:ascii="Arial" w:hAnsi="Arial" w:cs="Arial"/>
          <w:color w:val="000000"/>
          <w:sz w:val="22"/>
          <w:szCs w:val="22"/>
          <w:lang w:val="sr-Cyrl-RS"/>
        </w:rPr>
        <w:t>особа од поверења</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које су, у складу са Инструкцијом о избору и функцији </w:t>
      </w:r>
      <w:r>
        <w:rPr>
          <w:rFonts w:ascii="Arial" w:hAnsi="Arial" w:cs="Arial"/>
          <w:color w:val="000000"/>
          <w:sz w:val="22"/>
          <w:szCs w:val="22"/>
          <w:lang w:val="sr-Cyrl-RS"/>
        </w:rPr>
        <w:t>"</w:t>
      </w:r>
      <w:r w:rsidRPr="00EF008E">
        <w:rPr>
          <w:rFonts w:ascii="Arial" w:hAnsi="Arial" w:cs="Arial"/>
          <w:color w:val="000000"/>
          <w:sz w:val="22"/>
          <w:szCs w:val="22"/>
          <w:lang w:val="sr-Cyrl-RS"/>
        </w:rPr>
        <w:t>особе од поверења</w:t>
      </w:r>
      <w:r>
        <w:rPr>
          <w:rFonts w:ascii="Arial" w:hAnsi="Arial" w:cs="Arial"/>
          <w:color w:val="000000"/>
          <w:sz w:val="22"/>
          <w:szCs w:val="22"/>
          <w:lang w:val="sr-Cyrl-RS"/>
        </w:rPr>
        <w:t>"</w:t>
      </w:r>
      <w:r w:rsidRPr="00EF008E">
        <w:rPr>
          <w:rFonts w:ascii="Arial" w:hAnsi="Arial" w:cs="Arial"/>
          <w:color w:val="000000"/>
          <w:sz w:val="22"/>
          <w:szCs w:val="22"/>
          <w:vertAlign w:val="superscript"/>
          <w:lang w:val="sr-Cyrl-RS"/>
        </w:rPr>
        <w:t>606</w:t>
      </w:r>
      <w:r w:rsidRPr="00EF008E">
        <w:rPr>
          <w:rFonts w:ascii="Arial" w:hAnsi="Arial" w:cs="Arial"/>
          <w:color w:val="000000"/>
          <w:sz w:val="22"/>
          <w:szCs w:val="22"/>
          <w:lang w:val="sr-Cyrl-RS"/>
        </w:rPr>
        <w:t xml:space="preserve"> редовно подносиле извештај о свом раду саветници за родну равноправност. Издвајања у буџету РС за МО и ВС у 2020. години су смањена са 93,8 милијарди динара у 2019. на 92,4 милијарди динара.</w:t>
      </w:r>
      <w:r w:rsidRPr="00EF008E">
        <w:rPr>
          <w:rFonts w:ascii="Arial" w:hAnsi="Arial" w:cs="Arial"/>
          <w:color w:val="000000"/>
          <w:sz w:val="22"/>
          <w:szCs w:val="22"/>
          <w:vertAlign w:val="superscript"/>
          <w:lang w:val="sr-Cyrl-RS"/>
        </w:rPr>
        <w:t>607</w:t>
      </w:r>
      <w:r w:rsidRPr="00EF008E">
        <w:rPr>
          <w:rFonts w:ascii="Arial" w:hAnsi="Arial" w:cs="Arial"/>
          <w:color w:val="000000"/>
          <w:sz w:val="22"/>
          <w:szCs w:val="22"/>
          <w:lang w:val="sr-Cyrl-RS"/>
        </w:rPr>
        <w:t xml:space="preserve"> Буџет за 2020. годину је повећан за МУП са 85,2 милијарде динара у 2019. на 109,6 милијарди динара у 2020. години.</w:t>
      </w:r>
      <w:r w:rsidRPr="00EF008E">
        <w:rPr>
          <w:rFonts w:ascii="Arial" w:hAnsi="Arial" w:cs="Arial"/>
          <w:color w:val="000000"/>
          <w:sz w:val="22"/>
          <w:szCs w:val="22"/>
          <w:vertAlign w:val="superscript"/>
          <w:lang w:val="sr-Cyrl-RS"/>
        </w:rPr>
        <w:t>608</w:t>
      </w:r>
      <w:r w:rsidRPr="00EF008E">
        <w:rPr>
          <w:rFonts w:ascii="Arial" w:hAnsi="Arial" w:cs="Arial"/>
          <w:color w:val="000000"/>
          <w:sz w:val="22"/>
          <w:szCs w:val="22"/>
          <w:lang w:val="sr-Cyrl-RS"/>
        </w:rPr>
        <w:t xml:space="preserve"> У МО и ВС успостављен je процес родно одговорног буџетирања. Средства за активности МО за спровођење НАП за примену Резолуције СБ УН 1325 у току 2020. године нису коришћена из буџета. МУП је, такође, активно учествовало у примени НАП за примену Резолуције СБ УН 1325. Аналитичка група МУП-а је реализовала бројне активности од којих се могу издвојити именовање контакт особа у полицијским управама за праћење спровођења НАП-а, израда родних анализа и Плана МУП-а за спровођење НАП-а, као и Извештаја о спровођењу НАП</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а, који су током периода спровођења другог НАП-а достављани Координационом телу за родну равноправност. Аналитичка група и саветница министра за родну равноправност, кроз координацију сарадње са страним партнерима МУП-а, првенствено кроз сарадњу и комуникацију са Канцеларијом Шведске полиције у Београду, иницирала је припрему пројекта </w:t>
      </w:r>
      <w:r>
        <w:rPr>
          <w:rFonts w:ascii="Arial" w:hAnsi="Arial" w:cs="Arial"/>
          <w:color w:val="000000"/>
          <w:sz w:val="22"/>
          <w:szCs w:val="22"/>
          <w:lang w:val="sr-Cyrl-RS"/>
        </w:rPr>
        <w:t>"</w:t>
      </w:r>
      <w:r w:rsidRPr="00EF008E">
        <w:rPr>
          <w:rFonts w:ascii="Arial" w:hAnsi="Arial" w:cs="Arial"/>
          <w:color w:val="000000"/>
          <w:sz w:val="22"/>
          <w:szCs w:val="22"/>
          <w:lang w:val="sr-Cyrl-RS"/>
        </w:rPr>
        <w:t>Развијање родне агенде у МУПРС</w:t>
      </w:r>
      <w:r>
        <w:rPr>
          <w:rFonts w:ascii="Arial" w:hAnsi="Arial" w:cs="Arial"/>
          <w:color w:val="000000"/>
          <w:sz w:val="22"/>
          <w:szCs w:val="22"/>
          <w:lang w:val="sr-Cyrl-RS"/>
        </w:rPr>
        <w:t>"</w:t>
      </w:r>
      <w:r w:rsidRPr="00EF008E">
        <w:rPr>
          <w:rFonts w:ascii="Arial" w:hAnsi="Arial" w:cs="Arial"/>
          <w:color w:val="000000"/>
          <w:sz w:val="22"/>
          <w:szCs w:val="22"/>
          <w:lang w:val="sr-Cyrl-RS"/>
        </w:rPr>
        <w:t>. Циљеви и активности пројекта су базирани на циљевима и активностима дефинисаним у другом НАП-у, како би се системски обезбедила реализација активности из НАП-а, чији је носилац МУП, а посебно у делу повећаног учешћа и улоге жена на полицијским пословима, заштите од насиља и дискриминације, у области едукације о родној равноправности и начину интеграције у систем какав је полиција, већег броја жена на оперативним пословима и на местима руковођења.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Реализација пројекта </w:t>
      </w:r>
      <w:r>
        <w:rPr>
          <w:rFonts w:ascii="Arial" w:hAnsi="Arial" w:cs="Arial"/>
          <w:color w:val="000000"/>
          <w:sz w:val="22"/>
          <w:szCs w:val="22"/>
          <w:lang w:val="sr-Cyrl-RS"/>
        </w:rPr>
        <w:t>"</w:t>
      </w:r>
      <w:r w:rsidRPr="00EF008E">
        <w:rPr>
          <w:rFonts w:ascii="Arial" w:hAnsi="Arial" w:cs="Arial"/>
          <w:color w:val="000000"/>
          <w:sz w:val="22"/>
          <w:szCs w:val="22"/>
          <w:lang w:val="sr-Cyrl-RS"/>
        </w:rPr>
        <w:t>Развијање родне агенде у МУПРС</w:t>
      </w:r>
      <w:r>
        <w:rPr>
          <w:rFonts w:ascii="Arial" w:hAnsi="Arial" w:cs="Arial"/>
          <w:color w:val="000000"/>
          <w:sz w:val="22"/>
          <w:szCs w:val="22"/>
          <w:lang w:val="sr-Cyrl-RS"/>
        </w:rPr>
        <w:t>"</w:t>
      </w:r>
      <w:r w:rsidRPr="00EF008E">
        <w:rPr>
          <w:rFonts w:ascii="Arial" w:hAnsi="Arial" w:cs="Arial"/>
          <w:color w:val="000000"/>
          <w:sz w:val="22"/>
          <w:szCs w:val="22"/>
          <w:vertAlign w:val="superscript"/>
          <w:lang w:val="sr-Cyrl-RS"/>
        </w:rPr>
        <w:t>609</w:t>
      </w:r>
      <w:r w:rsidRPr="00EF008E">
        <w:rPr>
          <w:rFonts w:ascii="Arial" w:hAnsi="Arial" w:cs="Arial"/>
          <w:color w:val="000000"/>
          <w:sz w:val="22"/>
          <w:szCs w:val="22"/>
          <w:lang w:val="sr-Cyrl-RS"/>
        </w:rPr>
        <w:t xml:space="preserve"> у оквиру Програма подршке полиције Шведске МУП-у РС</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(SPAP II), коју је МУП спроводио уз стручну подршку полиције Краљевине Шведске, као имплементационог партнера и финансијску помоћ и подршку Шведске агенције за развој, започела је 2016. године. Крајем 2019. године одобрен је наставак рада на пројекту до краја 2021. године, у циљу обезбеђења одрживости резултата остварених у МУП.</w:t>
      </w:r>
      <w:r w:rsidRPr="00EF008E">
        <w:rPr>
          <w:rFonts w:ascii="Arial" w:hAnsi="Arial" w:cs="Arial"/>
          <w:color w:val="000000"/>
          <w:sz w:val="22"/>
          <w:szCs w:val="22"/>
          <w:vertAlign w:val="superscript"/>
          <w:lang w:val="sr-Cyrl-RS"/>
        </w:rPr>
        <w:t>610</w:t>
      </w:r>
      <w:r w:rsidRPr="00EF008E">
        <w:rPr>
          <w:rFonts w:ascii="Arial" w:hAnsi="Arial" w:cs="Arial"/>
          <w:color w:val="000000"/>
          <w:sz w:val="22"/>
          <w:szCs w:val="22"/>
          <w:lang w:val="sr-Cyrl-RS"/>
        </w:rPr>
        <w:t xml:space="preserve"> Један од најзначајних исхода пројекта је формирање Мреже жена у полицији крајем 2018. године.</w:t>
      </w:r>
      <w:r w:rsidRPr="00EF008E">
        <w:rPr>
          <w:rFonts w:ascii="Arial" w:hAnsi="Arial" w:cs="Arial"/>
          <w:color w:val="000000"/>
          <w:sz w:val="22"/>
          <w:szCs w:val="22"/>
          <w:vertAlign w:val="superscript"/>
          <w:lang w:val="sr-Cyrl-RS"/>
        </w:rPr>
        <w:t>611</w:t>
      </w:r>
      <w:r w:rsidRPr="00EF008E">
        <w:rPr>
          <w:rFonts w:ascii="Arial" w:hAnsi="Arial" w:cs="Arial"/>
          <w:color w:val="000000"/>
          <w:sz w:val="22"/>
          <w:szCs w:val="22"/>
          <w:lang w:val="sr-Cyrl-RS"/>
        </w:rPr>
        <w:t xml:space="preserve"> Мрежа представља модел подршке и охрабрења женама у полицији да развијају своје вештине и компетенције како би пружилe допринос ефикасности полиције и подстицај полицијској служби да поштује политику једнаких могућности у свим реформским процесима. МУП је први пример државне институције у Републици Србији која систематски регулише спречавање дискриминације унутар органа. Механизми РР у сектору безбедности, попут Политичког савета и аналитичких група, били су главни носиоци промена у претходном периоду. Политички савет пружио је политичку подршку примени плана унутар државних органа у сектору безбедности, а аналитичке групе у МО, МУП, Управи царина, Управи за извршење кривичних санкција и Безбедносно-информативној агенцији су спроводиле активности из плана у оквиру својих институција, прикупљале податке и извештавале Мултисекторско тело и Политички савет о напретку у спровођењу првог НАП. Континуирану едукацију чланова ових тела вршили су ОЦД уз подршку донатора, првенствено UN Women и UNDP. Након персоналних промена чланова/ца ових тела, њихова активност и утицај је умањен, а тема жене, мир и безбедност маргинализована. Скупштински надзор над спровођењем првог НАП-а вршила је у кратком периоду Комисија за праћење спровођења НАП-а за примену Резолуције СБ УН 1325 у Републици Србији. Нова Комисија која би вршила скупштински надзор над применом другог НАП-а није формирана. У претходном периоду Повереница за заштиту равноправности је надзирала рад сектора безбедности, давала мишљења и препоруке за отклањање дискриминације и у сарадњи са МУП спроводила активности на примени њиховог АП. Изазови са којима се сусрећу механизми РР у ЈЛС</w:t>
      </w:r>
      <w:r w:rsidRPr="00EF008E">
        <w:rPr>
          <w:rFonts w:ascii="Arial" w:hAnsi="Arial" w:cs="Arial"/>
          <w:color w:val="000000"/>
          <w:sz w:val="22"/>
          <w:szCs w:val="22"/>
          <w:vertAlign w:val="superscript"/>
          <w:lang w:val="sr-Cyrl-RS"/>
        </w:rPr>
        <w:t>612</w:t>
      </w:r>
      <w:r w:rsidRPr="00EF008E">
        <w:rPr>
          <w:rFonts w:ascii="Arial" w:hAnsi="Arial" w:cs="Arial"/>
          <w:color w:val="000000"/>
          <w:sz w:val="22"/>
          <w:szCs w:val="22"/>
          <w:lang w:val="sr-Cyrl-RS"/>
        </w:rPr>
        <w:t xml:space="preserve"> карактеристични су и за Савете за безбедност у ЈЛС. Од 2015. године интензивирано је оснивање и деловање ових савета. МУП и СКГО, уз финансијску подршку ОЕБС-а припремили су Приручник за деловање савета за безбедност у градовима и општинама</w:t>
      </w:r>
      <w:r w:rsidRPr="00EF008E">
        <w:rPr>
          <w:rFonts w:ascii="Arial" w:hAnsi="Arial" w:cs="Arial"/>
          <w:color w:val="000000"/>
          <w:sz w:val="22"/>
          <w:szCs w:val="22"/>
          <w:vertAlign w:val="superscript"/>
          <w:lang w:val="sr-Cyrl-RS"/>
        </w:rPr>
        <w:t>613</w:t>
      </w:r>
      <w:r w:rsidRPr="00EF008E">
        <w:rPr>
          <w:rFonts w:ascii="Arial" w:hAnsi="Arial" w:cs="Arial"/>
          <w:color w:val="000000"/>
          <w:sz w:val="22"/>
          <w:szCs w:val="22"/>
          <w:lang w:val="sr-Cyrl-RS"/>
        </w:rPr>
        <w:t xml:space="preserve"> који садржи информације о оснивању, надлежностима и значају деловања ових савета у превенцији криминала и стратешком дугорочном планирању превенције у ЈЛС и сл. На основу праћења ситуације у Расинском округу, поводом 20. годишњице Резолуције СБ УН 1325 организован је округли сто на коме је указано на негативан тренд који показује да су </w:t>
      </w:r>
      <w:r>
        <w:rPr>
          <w:rFonts w:ascii="Arial" w:hAnsi="Arial" w:cs="Arial"/>
          <w:color w:val="000000"/>
          <w:sz w:val="22"/>
          <w:szCs w:val="22"/>
          <w:lang w:val="sr-Cyrl-RS"/>
        </w:rPr>
        <w:t>"</w:t>
      </w:r>
      <w:r w:rsidRPr="00EF008E">
        <w:rPr>
          <w:rFonts w:ascii="Arial" w:hAnsi="Arial" w:cs="Arial"/>
          <w:color w:val="000000"/>
          <w:sz w:val="22"/>
          <w:szCs w:val="22"/>
          <w:lang w:val="sr-Cyrl-RS"/>
        </w:rPr>
        <w:t>савети за локалну безбедност основани, али да понегде дуго нису именовани чланови, или у њима није било жена, нити ОЦД које ту треба да буду, док су биле заступљене одређене организације којима у тим саветима није место,</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као и да је примену НАП за Резолуцију СБ УН 1325 немогуће проценити на нивоу спровођења свих активности, услед недовољне транспарентности локалних самоуправа и неажурних јавних података.</w:t>
      </w:r>
      <w:r w:rsidRPr="00EF008E">
        <w:rPr>
          <w:rFonts w:ascii="Arial" w:hAnsi="Arial" w:cs="Arial"/>
          <w:color w:val="000000"/>
          <w:sz w:val="22"/>
          <w:szCs w:val="22"/>
          <w:vertAlign w:val="superscript"/>
          <w:lang w:val="sr-Cyrl-RS"/>
        </w:rPr>
        <w:t>614</w:t>
      </w:r>
      <w:r w:rsidRPr="00EF008E">
        <w:rPr>
          <w:rFonts w:ascii="Arial" w:hAnsi="Arial" w:cs="Arial"/>
          <w:color w:val="000000"/>
          <w:sz w:val="22"/>
          <w:szCs w:val="22"/>
          <w:lang w:val="sr-Cyrl-RS"/>
        </w:rPr>
        <w:t xml:space="preserve"> Истраживање Националног конвента о ЕУ спроведено након укидања ванредног показало је да су ЈЛС у Србији активирале штабове за ванредне ситуације као део мера за координацију релевантних институција и организација у спречавању ширења пандемије на својој територији, као и да су у неким ЈЛС формирани кризни штабови или стручно-оперативни тимови са ужим саставом од штабова за ванредне ситуације.</w:t>
      </w:r>
      <w:r w:rsidRPr="00EF008E">
        <w:rPr>
          <w:rFonts w:ascii="Arial" w:hAnsi="Arial" w:cs="Arial"/>
          <w:color w:val="000000"/>
          <w:sz w:val="22"/>
          <w:szCs w:val="22"/>
          <w:vertAlign w:val="superscript"/>
          <w:lang w:val="sr-Cyrl-RS"/>
        </w:rPr>
        <w:t>615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Од усвајања НАП-а константно се повећава проценат жена запослених у сектору безбедности. Од укупног броја запослених у МО и ВС на крају 2020. године, жене чине 22,94%, што је за 1,01% више него у 2019. години. Међу официрима жене су заступљене са 7,91% (повећање за 0,92%), међу подофицирима са 2,40% (повећање за 0,44%), међу професионалним војницима са 15,89% (повећање за 0,48%) и међу цивилним лицима са 52,99% (повећање за 1,02%). Заступљеност жена на командним и руководећим дужностима на крају 2020. године, у односу на укупан број командних и руководећих дужности у МО и ВС је 8,96% (0,47% више него у 2019. години). За време примене НАП (2017</w:t>
      </w:r>
      <w:r>
        <w:rPr>
          <w:rFonts w:ascii="Arial" w:hAnsi="Arial" w:cs="Arial"/>
          <w:color w:val="000000"/>
          <w:sz w:val="22"/>
          <w:szCs w:val="22"/>
          <w:lang w:val="sr-Cyrl-RS"/>
        </w:rPr>
        <w:t>-</w:t>
      </w:r>
      <w:r w:rsidRPr="00EF008E">
        <w:rPr>
          <w:rFonts w:ascii="Arial" w:hAnsi="Arial" w:cs="Arial"/>
          <w:color w:val="000000"/>
          <w:sz w:val="22"/>
          <w:szCs w:val="22"/>
          <w:lang w:val="sr-Cyrl-RS"/>
        </w:rPr>
        <w:t>2020) повећана је заступљеност жена у Војнообавештајној агенцији (ВОА) са око 19,5% на 24%, (повећање за око 4,5%), чему је допринела измена формације ВОА којом је повећан број формацијских места цивилних лица на која жене могу равноправно да аплицирају у складу са потребним квалификацијама. ВОА је, водећи рачуна о родној равноправности, уподобила прописе, тако да на конкурсе за изасланике одбране равноправно могу да конкуришу професионални припадници ВС оба пола. Заступљеност жена у ВС је повећана са 11,7% у 2019. години на 12,35% у 2020. години. Заступљеност жена на командним и руководећим дужностима у ВС је 4,80%, што чини 1,05% укупног броја припадника ВС (повећање за 0,15% у односу на 2019. годину). У мултинационалне операције УН и ЕУ, у току 2020. године, упућено је 43 (13,78%) припадница МО и ВС, од укупно 312 упућених припадника (4,34% више у односу на 2019. годину). У школској 2020/2021. години на основне студије у Војној академији уписано је 38% девојака, а на интегрисаним академским студијама Медицинског факултета ВМА уписано је 68% девојака, што је благо повећање (за 1%, односно 3%) у односу на 2019. годину. У школској 2020/2021. години у први разред Војне гимназије уписано је 57%, а у Средњу стручну војну школу 46% девојака што је знатно више (за 21%, односно 25%) него претходне године. У току 2020. године на Курс слушалаца резервних официра упућено је укупно 88 кандидата, од којих су 26, односно 29,54% биле девојке. У току 2020. године су реализована четири упутна рока на добровољно служење војног рока (март, јун, септембар и децембар) у којима је упућено 1.154 кандидата, од којих су 200 (17,33%) жене.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Министарству унутрашњих послова, пратећи тренд од 2016. године, до краја 2020. године проценат жена се повећао са 23% на 26%, са тенденцијом раста.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Преговори о статусу Аутономне покрајине Косова и Метохије највећи су безбедносни изазов са којим се Република Србија суочава већ годинама, а нарочито током 2020. године. Жене нису учествовале у склапању бројних техничких споразума постигнутих током дијалога, као ни Бриселског споразума из 2013. године. Другим НАП-ом 1325 предвиђено је укључивање родне перспективе и већа заступљеност жена у дијалогу између Београда и Приштине, посебно жена на руководећим позицијама у саставу делегација. Закључци независног мониторинга</w:t>
      </w:r>
      <w:r w:rsidRPr="00EF008E">
        <w:rPr>
          <w:rFonts w:ascii="Arial" w:hAnsi="Arial" w:cs="Arial"/>
          <w:color w:val="000000"/>
          <w:sz w:val="22"/>
          <w:szCs w:val="22"/>
          <w:vertAlign w:val="superscript"/>
          <w:lang w:val="sr-Cyrl-RS"/>
        </w:rPr>
        <w:t>617</w:t>
      </w:r>
      <w:r w:rsidRPr="00EF008E">
        <w:rPr>
          <w:rFonts w:ascii="Arial" w:hAnsi="Arial" w:cs="Arial"/>
          <w:color w:val="000000"/>
          <w:sz w:val="22"/>
          <w:szCs w:val="22"/>
          <w:lang w:val="sr-Cyrl-RS"/>
        </w:rPr>
        <w:t xml:space="preserve"> преговора Београда и Приштине из перспективе жена указују на то да су жене систематски маргинализоване у формалним процесима дијалога и изградње мира. То говори да нема адекватног механизма нити политичке воље за укључивање жена у овај процес.</w:t>
      </w:r>
      <w:r w:rsidRPr="00EF008E">
        <w:rPr>
          <w:rFonts w:ascii="Arial" w:hAnsi="Arial" w:cs="Arial"/>
          <w:color w:val="000000"/>
          <w:sz w:val="22"/>
          <w:szCs w:val="22"/>
          <w:vertAlign w:val="superscript"/>
          <w:lang w:val="sr-Cyrl-RS"/>
        </w:rPr>
        <w:t>618</w:t>
      </w:r>
      <w:r w:rsidRPr="00EF008E">
        <w:rPr>
          <w:rFonts w:ascii="Arial" w:hAnsi="Arial" w:cs="Arial"/>
          <w:color w:val="000000"/>
          <w:sz w:val="22"/>
          <w:szCs w:val="22"/>
          <w:lang w:val="sr-Cyrl-RS"/>
        </w:rPr>
        <w:t xml:space="preserve"> Женске ОЦД, феминисткиње и мировне активисткиње континуирано се залажу за суочавање са прошлошћу и кажњавање ратних злочина што је од 2017. године део и НАП за примену Резолуције СБ УН 1325, залажу се и за то да транзициона правда буде део политичке агенде у дијалогу и процесу нормализације односа између Срба и Албанаца. Транзициона правда, међутим, није једина тема од интереса за грађане и грађанке. Жене у региону Косовске Митровице сматрају да преговарачки тимови не препознају и не покрећу питања која су од интереса за свакодневни живот и жена и мушкараца као што је, на пример, издавање и добијање личних докумената, образовање, запошљавање и безбедност. Зато је неопходно укључивање жена, њихових приоритета и иницијатива женских група и појединки у процес ЕУ интеграција и преговора Београда и Приштине, јер осигурава да постигнути договори буду утемељени у стварним приоритетима и потребама грађана и грађанки, како би били одрживи у будућности.</w:t>
      </w:r>
      <w:r w:rsidRPr="00EF008E">
        <w:rPr>
          <w:rFonts w:ascii="Arial" w:hAnsi="Arial" w:cs="Arial"/>
          <w:color w:val="000000"/>
          <w:sz w:val="22"/>
          <w:szCs w:val="22"/>
          <w:vertAlign w:val="superscript"/>
          <w:lang w:val="sr-Cyrl-RS"/>
        </w:rPr>
        <w:t>619</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5.2.3. Родно засновано насиље и насиље према женама и у породици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Насиље уопште, а посебно према женама, најраспрострањенији је и најтежи вид кршења основних људских права. Оно је присутно у медијима који шире мизогине, сексистичке поруке,</w:t>
      </w:r>
      <w:r w:rsidRPr="00EF008E">
        <w:rPr>
          <w:rFonts w:ascii="Arial" w:hAnsi="Arial" w:cs="Arial"/>
          <w:color w:val="000000"/>
          <w:sz w:val="22"/>
          <w:szCs w:val="22"/>
          <w:vertAlign w:val="superscript"/>
          <w:lang w:val="sr-Cyrl-RS"/>
        </w:rPr>
        <w:t>620</w:t>
      </w:r>
      <w:r w:rsidRPr="00EF008E">
        <w:rPr>
          <w:rFonts w:ascii="Arial" w:hAnsi="Arial" w:cs="Arial"/>
          <w:color w:val="000000"/>
          <w:sz w:val="22"/>
          <w:szCs w:val="22"/>
          <w:lang w:val="sr-Cyrl-RS"/>
        </w:rPr>
        <w:t xml:space="preserve"> као структурно насиље које их искључује из одлучивања, са тржишта рада, из имовине, нових технологија, из политичког и јавног живота.</w:t>
      </w:r>
      <w:r w:rsidRPr="00EF008E">
        <w:rPr>
          <w:rFonts w:ascii="Arial" w:hAnsi="Arial" w:cs="Arial"/>
          <w:color w:val="000000"/>
          <w:sz w:val="22"/>
          <w:szCs w:val="22"/>
          <w:vertAlign w:val="superscript"/>
          <w:lang w:val="sr-Cyrl-RS"/>
        </w:rPr>
        <w:t>621</w:t>
      </w:r>
      <w:r w:rsidRPr="00EF008E">
        <w:rPr>
          <w:rFonts w:ascii="Arial" w:hAnsi="Arial" w:cs="Arial"/>
          <w:color w:val="000000"/>
          <w:sz w:val="22"/>
          <w:szCs w:val="22"/>
          <w:lang w:val="sr-Cyrl-RS"/>
        </w:rPr>
        <w:t xml:space="preserve"> Насиље према женама присутно је на радном месту, у институцијама где би требало да остваре социјалну или здравствену заштиту</w:t>
      </w:r>
      <w:r w:rsidRPr="00EF008E">
        <w:rPr>
          <w:rFonts w:ascii="Arial" w:hAnsi="Arial" w:cs="Arial"/>
          <w:color w:val="000000"/>
          <w:sz w:val="22"/>
          <w:szCs w:val="22"/>
          <w:vertAlign w:val="superscript"/>
          <w:lang w:val="sr-Cyrl-RS"/>
        </w:rPr>
        <w:t>622</w:t>
      </w:r>
      <w:r w:rsidRPr="00EF008E">
        <w:rPr>
          <w:rFonts w:ascii="Arial" w:hAnsi="Arial" w:cs="Arial"/>
          <w:color w:val="000000"/>
          <w:sz w:val="22"/>
          <w:szCs w:val="22"/>
          <w:lang w:val="sr-Cyrl-RS"/>
        </w:rPr>
        <w:t>, у породици, у партнерским односима. Резултати Истраживања о добробити и безбедности жена</w:t>
      </w:r>
      <w:r w:rsidRPr="00EF008E">
        <w:rPr>
          <w:rFonts w:ascii="Arial" w:hAnsi="Arial" w:cs="Arial"/>
          <w:color w:val="000000"/>
          <w:sz w:val="22"/>
          <w:szCs w:val="22"/>
          <w:vertAlign w:val="superscript"/>
          <w:lang w:val="sr-Cyrl-RS"/>
        </w:rPr>
        <w:t>623</w:t>
      </w:r>
      <w:r w:rsidRPr="00EF008E">
        <w:rPr>
          <w:rFonts w:ascii="Arial" w:hAnsi="Arial" w:cs="Arial"/>
          <w:color w:val="000000"/>
          <w:sz w:val="22"/>
          <w:szCs w:val="22"/>
          <w:lang w:val="sr-Cyrl-RS"/>
        </w:rPr>
        <w:t xml:space="preserve"> у земљама југоисточне и источне Европе, указују на знатну распрострањеност различитих облика родно заснованог насиља према женама. Подаци из истраживања о распрострањености насиља према женама у Републици Србији су разлог за велику забринутост. Било који облик насиља, укључујући непартнерско и партнерско, као и сексуално узнемиравање и прогањање, од навршене 15. године доживело је 62% жена старости 18</w:t>
      </w:r>
      <w:r>
        <w:rPr>
          <w:rFonts w:ascii="Arial" w:hAnsi="Arial" w:cs="Arial"/>
          <w:color w:val="000000"/>
          <w:sz w:val="22"/>
          <w:szCs w:val="22"/>
          <w:lang w:val="sr-Cyrl-RS"/>
        </w:rPr>
        <w:t>-</w:t>
      </w:r>
      <w:r w:rsidRPr="00EF008E">
        <w:rPr>
          <w:rFonts w:ascii="Arial" w:hAnsi="Arial" w:cs="Arial"/>
          <w:color w:val="000000"/>
          <w:sz w:val="22"/>
          <w:szCs w:val="22"/>
          <w:lang w:val="sr-Cyrl-RS"/>
        </w:rPr>
        <w:t>74 године (1,7 милиона жена у Републици Србији). Скоро трећина жена преноси искуство неког облика насиља током детињства.</w:t>
      </w:r>
      <w:r w:rsidRPr="00EF008E">
        <w:rPr>
          <w:rFonts w:ascii="Arial" w:hAnsi="Arial" w:cs="Arial"/>
          <w:color w:val="000000"/>
          <w:sz w:val="22"/>
          <w:szCs w:val="22"/>
          <w:vertAlign w:val="superscript"/>
          <w:lang w:val="sr-Cyrl-RS"/>
        </w:rPr>
        <w:t>624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Републици Србији је 2017. године усвојен Закон о спречавању насиља у породици</w:t>
      </w:r>
      <w:r w:rsidRPr="00EF008E">
        <w:rPr>
          <w:rFonts w:ascii="Arial" w:hAnsi="Arial" w:cs="Arial"/>
          <w:color w:val="000000"/>
          <w:sz w:val="22"/>
          <w:szCs w:val="22"/>
          <w:vertAlign w:val="superscript"/>
          <w:lang w:val="sr-Cyrl-RS"/>
        </w:rPr>
        <w:t>625</w:t>
      </w:r>
      <w:r w:rsidRPr="00EF008E">
        <w:rPr>
          <w:rFonts w:ascii="Arial" w:hAnsi="Arial" w:cs="Arial"/>
          <w:color w:val="000000"/>
          <w:sz w:val="22"/>
          <w:szCs w:val="22"/>
          <w:lang w:val="sr-Cyrl-RS"/>
        </w:rPr>
        <w:t xml:space="preserve"> као један од одговора државе на широку распрострањеност насиља према женама, а циљ овог закона је да се на општи и јединствен начин регулише поступање државних органа првенствено у вези са превенцијом, али и са заштитом од насиља у породици. Већина напора у погледу закона и политика углавном је усмерена на насиље у породици као најраспрострањенији вид насиља према женама. Од усвајања до почетка примене Закона, организоване су обавезне лиценциране обуке за полицијске службенике</w:t>
      </w:r>
      <w:r w:rsidRPr="00EF008E">
        <w:rPr>
          <w:rFonts w:ascii="Arial" w:hAnsi="Arial" w:cs="Arial"/>
          <w:color w:val="000000"/>
          <w:sz w:val="22"/>
          <w:szCs w:val="22"/>
          <w:vertAlign w:val="superscript"/>
          <w:lang w:val="sr-Cyrl-RS"/>
        </w:rPr>
        <w:t>626</w:t>
      </w:r>
      <w:r w:rsidRPr="00EF008E">
        <w:rPr>
          <w:rFonts w:ascii="Arial" w:hAnsi="Arial" w:cs="Arial"/>
          <w:color w:val="000000"/>
          <w:sz w:val="22"/>
          <w:szCs w:val="22"/>
          <w:lang w:val="sr-Cyrl-RS"/>
        </w:rPr>
        <w:t xml:space="preserve"> и за представнике тужилаштва, судова и прекршајних судова</w:t>
      </w:r>
      <w:r w:rsidRPr="00EF008E">
        <w:rPr>
          <w:rFonts w:ascii="Arial" w:hAnsi="Arial" w:cs="Arial"/>
          <w:color w:val="000000"/>
          <w:sz w:val="22"/>
          <w:szCs w:val="22"/>
          <w:vertAlign w:val="superscript"/>
          <w:lang w:val="sr-Cyrl-RS"/>
        </w:rPr>
        <w:t>627</w:t>
      </w:r>
      <w:r w:rsidRPr="00EF008E">
        <w:rPr>
          <w:rFonts w:ascii="Arial" w:hAnsi="Arial" w:cs="Arial"/>
          <w:color w:val="000000"/>
          <w:sz w:val="22"/>
          <w:szCs w:val="22"/>
          <w:lang w:val="sr-Cyrl-RS"/>
        </w:rPr>
        <w:t xml:space="preserve"> али не и за службенике у ЦСР, које Закон и не предвиђа, као ни континуирана обука за представнике других институција које имају обавезу поступања у случајевима насиља. У Посебном извештају Заштитника грађана о раду гурпа за координацију и сарадњу са подручја града Београда</w:t>
      </w:r>
      <w:r w:rsidRPr="00EF008E">
        <w:rPr>
          <w:rFonts w:ascii="Arial" w:hAnsi="Arial" w:cs="Arial"/>
          <w:color w:val="000000"/>
          <w:sz w:val="22"/>
          <w:szCs w:val="22"/>
          <w:vertAlign w:val="superscript"/>
          <w:lang w:val="sr-Cyrl-RS"/>
        </w:rPr>
        <w:t>628</w:t>
      </w:r>
      <w:r w:rsidRPr="00EF008E">
        <w:rPr>
          <w:rFonts w:ascii="Arial" w:hAnsi="Arial" w:cs="Arial"/>
          <w:color w:val="000000"/>
          <w:sz w:val="22"/>
          <w:szCs w:val="22"/>
          <w:lang w:val="sr-Cyrl-RS"/>
        </w:rPr>
        <w:t>, наводи се да Министарство за рад, запошљавање, борачка и социјална питања и Републички завод за социјалну заштиту, у сарадњи са Правосудном академијом, Службом за управљање кадровима и другим органима и установама, треба да обезбеде континуиране обуке стручних радника у ЦСР који примењују Закон о спречавању насиља у породици. Републичко јавно тужилаштво, Министарство за рад, запошљавање, борачка и социјална питања и Министарство унутрашњих послова треба да обезбеде континуиране едукације запослених који поступају у случајевима насиља у породици и који су чланови група за координацију и сарадњу, за стицање и унапређење знања и компетенција за превенцију, сузбијање и заштиту од насиља у породици и од злостављања и занемаривања деце.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Праћење примене овог закона указује да постоје изазови у примени члана 17.</w:t>
      </w:r>
      <w:r w:rsidRPr="00EF008E">
        <w:rPr>
          <w:rFonts w:ascii="Arial" w:hAnsi="Arial" w:cs="Arial"/>
          <w:color w:val="000000"/>
          <w:sz w:val="22"/>
          <w:szCs w:val="22"/>
          <w:vertAlign w:val="superscript"/>
          <w:lang w:val="sr-Cyrl-RS"/>
        </w:rPr>
        <w:t>629</w:t>
      </w:r>
      <w:r w:rsidRPr="00EF008E">
        <w:rPr>
          <w:rFonts w:ascii="Arial" w:hAnsi="Arial" w:cs="Arial"/>
          <w:color w:val="000000"/>
          <w:sz w:val="22"/>
          <w:szCs w:val="22"/>
          <w:lang w:val="sr-Cyrl-RS"/>
        </w:rPr>
        <w:t xml:space="preserve"> и да је неопходно унапредити разумевање права и потреба жртава насиља у породици и других кривичних дела обухваћених Законом. Подаци о примени Закона о спречавању насиља у породици у периоду март</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август 2020. године, указују на знатна смањења активности надлежних органа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полиције, тужилаштва и ЦСР, што је могло негативно да утиче на заштиту жртава. Полиција је у време ванредног стања због епидемије болести COVID-19 (март</w:t>
      </w:r>
      <w:r>
        <w:rPr>
          <w:rFonts w:ascii="Arial" w:hAnsi="Arial" w:cs="Arial"/>
          <w:color w:val="000000"/>
          <w:sz w:val="22"/>
          <w:szCs w:val="22"/>
          <w:lang w:val="sr-Cyrl-RS"/>
        </w:rPr>
        <w:t>-</w:t>
      </w:r>
      <w:r w:rsidRPr="00EF008E">
        <w:rPr>
          <w:rFonts w:ascii="Arial" w:hAnsi="Arial" w:cs="Arial"/>
          <w:color w:val="000000"/>
          <w:sz w:val="22"/>
          <w:szCs w:val="22"/>
          <w:lang w:val="sr-Cyrl-RS"/>
        </w:rPr>
        <w:t>април) примила за 10% мање пријава догађаја насиља у односу на исти период 2019. године, а овај тренд настављен је и у јулу 2020. године (11% мање пријава догађаја). Број изречених полицијских хитних мера у истом периоду је мањи за 6,6%.</w:t>
      </w:r>
      <w:r w:rsidRPr="00EF008E">
        <w:rPr>
          <w:rFonts w:ascii="Arial" w:hAnsi="Arial" w:cs="Arial"/>
          <w:color w:val="000000"/>
          <w:sz w:val="22"/>
          <w:szCs w:val="22"/>
          <w:vertAlign w:val="superscript"/>
          <w:lang w:val="sr-Cyrl-RS"/>
        </w:rPr>
        <w:t>630</w:t>
      </w:r>
      <w:r w:rsidRPr="00EF008E">
        <w:rPr>
          <w:rFonts w:ascii="Arial" w:hAnsi="Arial" w:cs="Arial"/>
          <w:color w:val="000000"/>
          <w:sz w:val="22"/>
          <w:szCs w:val="22"/>
          <w:lang w:val="sr-Cyrl-RS"/>
        </w:rPr>
        <w:t xml:space="preserve"> Законом о изменама и допунама Кривичног законика</w:t>
      </w:r>
      <w:r w:rsidRPr="00EF008E">
        <w:rPr>
          <w:rFonts w:ascii="Arial" w:hAnsi="Arial" w:cs="Arial"/>
          <w:color w:val="000000"/>
          <w:sz w:val="22"/>
          <w:szCs w:val="22"/>
          <w:vertAlign w:val="superscript"/>
          <w:lang w:val="sr-Cyrl-RS"/>
        </w:rPr>
        <w:t>631</w:t>
      </w:r>
      <w:r w:rsidRPr="00EF008E">
        <w:rPr>
          <w:rFonts w:ascii="Arial" w:hAnsi="Arial" w:cs="Arial"/>
          <w:color w:val="000000"/>
          <w:sz w:val="22"/>
          <w:szCs w:val="22"/>
          <w:lang w:val="sr-Cyrl-RS"/>
        </w:rPr>
        <w:t xml:space="preserve"> из 2018. године, уведена су три нова кривична дела: прогањање, полно узнемиравање и принудни брак у циљу усклађивања националног кривичног законодавства са Истанбулском конвенцијом. Из Кривичног законика уклоњене су одредбе које су предвиђале да се гоњење предузима по предлогу за кривична дела Силовање, Обљуба над немоћним лицем учињена према брачном другу и Недозвољене полне радње. Само увођење нових кривичних дела не представља довољну, сигурну и адекватну заштиту од насиља. Потребна је доследна примена Закона и коришћење предвиђених механизама заштите жртава насиља. Рестриктивно тумачење права главни је узрок лоше правне заштите жртава насиља.</w:t>
      </w:r>
      <w:r w:rsidRPr="00EF008E">
        <w:rPr>
          <w:rFonts w:ascii="Arial" w:hAnsi="Arial" w:cs="Arial"/>
          <w:color w:val="000000"/>
          <w:sz w:val="22"/>
          <w:szCs w:val="22"/>
          <w:vertAlign w:val="superscript"/>
          <w:lang w:val="sr-Cyrl-RS"/>
        </w:rPr>
        <w:t>632</w:t>
      </w:r>
      <w:r w:rsidRPr="00EF008E">
        <w:rPr>
          <w:rFonts w:ascii="Arial" w:hAnsi="Arial" w:cs="Arial"/>
          <w:color w:val="000000"/>
          <w:sz w:val="22"/>
          <w:szCs w:val="22"/>
          <w:lang w:val="sr-Cyrl-RS"/>
        </w:rPr>
        <w:t xml:space="preserve"> Допуне Закона о азилу из 2018. године, омогућавају женама из избегличко</w:t>
      </w:r>
      <w:r>
        <w:rPr>
          <w:rFonts w:ascii="Arial" w:hAnsi="Arial" w:cs="Arial"/>
          <w:color w:val="000000"/>
          <w:sz w:val="22"/>
          <w:szCs w:val="22"/>
          <w:lang w:val="sr-Cyrl-RS"/>
        </w:rPr>
        <w:t>-</w:t>
      </w:r>
      <w:r w:rsidRPr="00EF008E">
        <w:rPr>
          <w:rFonts w:ascii="Arial" w:hAnsi="Arial" w:cs="Arial"/>
          <w:color w:val="000000"/>
          <w:sz w:val="22"/>
          <w:szCs w:val="22"/>
          <w:lang w:val="sr-Cyrl-RS"/>
        </w:rPr>
        <w:t>мигрантске популације да остваре право на азил по основу родно заснованог насиља које су претрпеле у земљи порекла или у транзиту, и по том основу додељени су азили.</w:t>
      </w:r>
      <w:r w:rsidRPr="00EF008E">
        <w:rPr>
          <w:rFonts w:ascii="Arial" w:hAnsi="Arial" w:cs="Arial"/>
          <w:color w:val="000000"/>
          <w:sz w:val="22"/>
          <w:szCs w:val="22"/>
          <w:vertAlign w:val="superscript"/>
          <w:lang w:val="sr-Cyrl-RS"/>
        </w:rPr>
        <w:t>633</w:t>
      </w:r>
      <w:r w:rsidRPr="00EF008E">
        <w:rPr>
          <w:rFonts w:ascii="Arial" w:hAnsi="Arial" w:cs="Arial"/>
          <w:color w:val="000000"/>
          <w:sz w:val="22"/>
          <w:szCs w:val="22"/>
          <w:lang w:val="sr-Cyrl-RS"/>
        </w:rPr>
        <w:t xml:space="preserve"> Дуго очекивани Закон о родној равноправности</w:t>
      </w:r>
      <w:r w:rsidRPr="00EF008E">
        <w:rPr>
          <w:rFonts w:ascii="Arial" w:hAnsi="Arial" w:cs="Arial"/>
          <w:color w:val="000000"/>
          <w:sz w:val="22"/>
          <w:szCs w:val="22"/>
          <w:vertAlign w:val="superscript"/>
          <w:lang w:val="sr-Cyrl-RS"/>
        </w:rPr>
        <w:t>634</w:t>
      </w:r>
      <w:r w:rsidRPr="00EF008E">
        <w:rPr>
          <w:rFonts w:ascii="Arial" w:hAnsi="Arial" w:cs="Arial"/>
          <w:color w:val="000000"/>
          <w:sz w:val="22"/>
          <w:szCs w:val="22"/>
          <w:lang w:val="sr-Cyrl-RS"/>
        </w:rPr>
        <w:t>, као и измене и допуне Закона о забрани дискриминације</w:t>
      </w:r>
      <w:r w:rsidRPr="00EF008E">
        <w:rPr>
          <w:rFonts w:ascii="Arial" w:hAnsi="Arial" w:cs="Arial"/>
          <w:color w:val="000000"/>
          <w:sz w:val="22"/>
          <w:szCs w:val="22"/>
          <w:vertAlign w:val="superscript"/>
          <w:lang w:val="sr-Cyrl-RS"/>
        </w:rPr>
        <w:t>635</w:t>
      </w:r>
      <w:r w:rsidRPr="00EF008E">
        <w:rPr>
          <w:rFonts w:ascii="Arial" w:hAnsi="Arial" w:cs="Arial"/>
          <w:color w:val="000000"/>
          <w:sz w:val="22"/>
          <w:szCs w:val="22"/>
          <w:lang w:val="sr-Cyrl-RS"/>
        </w:rPr>
        <w:t xml:space="preserve"> усвојени су у мају 2021. године. Закон о родној равноправности у уводном делу дефинише појмове родно заснованог насиља, насиља према женама, насиља у породици</w:t>
      </w:r>
      <w:r w:rsidRPr="00EF008E">
        <w:rPr>
          <w:rFonts w:ascii="Arial" w:hAnsi="Arial" w:cs="Arial"/>
          <w:color w:val="000000"/>
          <w:sz w:val="22"/>
          <w:szCs w:val="22"/>
          <w:vertAlign w:val="superscript"/>
          <w:lang w:val="sr-Cyrl-RS"/>
        </w:rPr>
        <w:t>636</w:t>
      </w:r>
      <w:r w:rsidRPr="00EF008E">
        <w:rPr>
          <w:rFonts w:ascii="Arial" w:hAnsi="Arial" w:cs="Arial"/>
          <w:color w:val="000000"/>
          <w:sz w:val="22"/>
          <w:szCs w:val="22"/>
          <w:lang w:val="sr-Cyrl-RS"/>
        </w:rPr>
        <w:t>, узнемиравање, сексуално узнемиравање, сексуално и полно уцењивање</w:t>
      </w:r>
      <w:r w:rsidRPr="00EF008E">
        <w:rPr>
          <w:rFonts w:ascii="Arial" w:hAnsi="Arial" w:cs="Arial"/>
          <w:color w:val="000000"/>
          <w:sz w:val="22"/>
          <w:szCs w:val="22"/>
          <w:vertAlign w:val="superscript"/>
          <w:lang w:val="sr-Cyrl-RS"/>
        </w:rPr>
        <w:t>637</w:t>
      </w:r>
      <w:r w:rsidRPr="00EF008E">
        <w:rPr>
          <w:rFonts w:ascii="Arial" w:hAnsi="Arial" w:cs="Arial"/>
          <w:color w:val="000000"/>
          <w:sz w:val="22"/>
          <w:szCs w:val="22"/>
          <w:lang w:val="sr-Cyrl-RS"/>
        </w:rPr>
        <w:t>, у складу са међународним стандардима. У посебном поглављу регулише спречавање родно заснованог насиља и насиља према женама, а нарочито: посебне мере (члан 52), обавеза пријављивања насиља (члан 53), опште услуге подршке жртвама родно заснованог насиља (члан 54), специјализоване услуге подршке жртвама насиља (члан 55), програме за учиниоце родно заснованог насиља (члан 56), спречавање родно заснованог насиља (члан 57) и финансијска средства за реализовање општих и посебних услуга подршке (члан 58). Усвајањем Закона употпуњен је нормативни оквир родне равноправности у овој области. Стратегија за спречавање и борбу против родно заснованог насиља према женама и насиља у породици за период од 2021. до 2025. године усвојена је у априлу 2021. године и припремљен је АП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2023. године, чије се усвајање очекује.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Обједињена статистика о броју фемицида и убистава жена у Републици Србији још не постоји.</w:t>
      </w:r>
      <w:r w:rsidRPr="00EF008E">
        <w:rPr>
          <w:rFonts w:ascii="Arial" w:hAnsi="Arial" w:cs="Arial"/>
          <w:color w:val="000000"/>
          <w:sz w:val="22"/>
          <w:szCs w:val="22"/>
          <w:vertAlign w:val="superscript"/>
          <w:lang w:val="sr-Cyrl-RS"/>
        </w:rPr>
        <w:t>638</w:t>
      </w:r>
      <w:r w:rsidRPr="00EF008E">
        <w:rPr>
          <w:rFonts w:ascii="Arial" w:hAnsi="Arial" w:cs="Arial"/>
          <w:color w:val="000000"/>
          <w:sz w:val="22"/>
          <w:szCs w:val="22"/>
          <w:lang w:val="sr-Cyrl-RS"/>
        </w:rPr>
        <w:t xml:space="preserve"> Републички завод за статистику објављује податке о броју умрлих, према узорку смрти и полу, на основу редовног истраживања о умрлима.</w:t>
      </w:r>
      <w:r w:rsidRPr="00EF008E">
        <w:rPr>
          <w:rFonts w:ascii="Arial" w:hAnsi="Arial" w:cs="Arial"/>
          <w:color w:val="000000"/>
          <w:sz w:val="22"/>
          <w:szCs w:val="22"/>
          <w:vertAlign w:val="superscript"/>
          <w:lang w:val="sr-Cyrl-RS"/>
        </w:rPr>
        <w:t>639</w:t>
      </w:r>
      <w:r w:rsidRPr="00EF008E">
        <w:rPr>
          <w:rFonts w:ascii="Arial" w:hAnsi="Arial" w:cs="Arial"/>
          <w:color w:val="000000"/>
          <w:sz w:val="22"/>
          <w:szCs w:val="22"/>
          <w:lang w:val="sr-Cyrl-RS"/>
        </w:rPr>
        <w:t xml:space="preserve"> Министарство унутрашњих послова израдило је апликацију КДУ (кривична дела и учиниоци) у коју се, у складу са Кривичним закоником, уносе кривичне пријаве и из које се може приказати, разврстано по полу, број убистава, тешких убистава и догађаја са смртним исходом у породичним и партнерским односима, с обзиром да приликом попуњавања кривичне пријаве постоји обавезно поље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сродство. Подаци о броју убијених жена по потреби се достављају и јавно објављују. Према евиденцији Мреже Жене против насиља која прикупља податке о броју партнерских убистава жена, током више од две деценије убијено је више од 355 жена, а више од 400 деце је остало без мајки.</w:t>
      </w:r>
      <w:r w:rsidRPr="00EF008E">
        <w:rPr>
          <w:rFonts w:ascii="Arial" w:hAnsi="Arial" w:cs="Arial"/>
          <w:color w:val="000000"/>
          <w:sz w:val="22"/>
          <w:szCs w:val="22"/>
          <w:vertAlign w:val="superscript"/>
          <w:lang w:val="sr-Cyrl-RS"/>
        </w:rPr>
        <w:t>640</w:t>
      </w:r>
      <w:r w:rsidRPr="00EF008E">
        <w:rPr>
          <w:rFonts w:ascii="Arial" w:hAnsi="Arial" w:cs="Arial"/>
          <w:color w:val="000000"/>
          <w:sz w:val="22"/>
          <w:szCs w:val="22"/>
          <w:lang w:val="sr-Cyrl-RS"/>
        </w:rPr>
        <w:t xml:space="preserve"> Убице су партнери, брачни или ванбрачни а највећи број убистава почињен је ватреним оружјем и ножем.</w:t>
      </w:r>
      <w:r w:rsidRPr="00EF008E">
        <w:rPr>
          <w:rFonts w:ascii="Arial" w:hAnsi="Arial" w:cs="Arial"/>
          <w:color w:val="000000"/>
          <w:sz w:val="22"/>
          <w:szCs w:val="22"/>
          <w:vertAlign w:val="superscript"/>
          <w:lang w:val="sr-Cyrl-RS"/>
        </w:rPr>
        <w:t>641</w:t>
      </w:r>
      <w:r w:rsidRPr="00EF008E">
        <w:rPr>
          <w:rFonts w:ascii="Arial" w:hAnsi="Arial" w:cs="Arial"/>
          <w:color w:val="000000"/>
          <w:sz w:val="22"/>
          <w:szCs w:val="22"/>
          <w:lang w:val="sr-Cyrl-RS"/>
        </w:rPr>
        <w:t xml:space="preserve"> Истраживање организације FemPlatz и Женског истраживачког центра о фемициду у Републици Србији обухвата случајеве фемицида који су имали судски епилог, али недостаје евиденција случајева убистава жена праћених самоубиством учиниоца.</w:t>
      </w:r>
      <w:r w:rsidRPr="00EF008E">
        <w:rPr>
          <w:rFonts w:ascii="Arial" w:hAnsi="Arial" w:cs="Arial"/>
          <w:color w:val="000000"/>
          <w:sz w:val="22"/>
          <w:szCs w:val="22"/>
          <w:vertAlign w:val="superscript"/>
          <w:lang w:val="sr-Cyrl-RS"/>
        </w:rPr>
        <w:t>642</w:t>
      </w:r>
      <w:r w:rsidRPr="00EF008E">
        <w:rPr>
          <w:rFonts w:ascii="Arial" w:hAnsi="Arial" w:cs="Arial"/>
          <w:color w:val="000000"/>
          <w:sz w:val="22"/>
          <w:szCs w:val="22"/>
          <w:lang w:val="sr-Cyrl-RS"/>
        </w:rPr>
        <w:t xml:space="preserve"> Анализа судске праксе показала је да се увек изричу санкције које су ближе минимуму прописаних казни (период 2016</w:t>
      </w:r>
      <w:r>
        <w:rPr>
          <w:rFonts w:ascii="Arial" w:hAnsi="Arial" w:cs="Arial"/>
          <w:color w:val="000000"/>
          <w:sz w:val="22"/>
          <w:szCs w:val="22"/>
          <w:lang w:val="sr-Cyrl-RS"/>
        </w:rPr>
        <w:t>-</w:t>
      </w:r>
      <w:r w:rsidRPr="00EF008E">
        <w:rPr>
          <w:rFonts w:ascii="Arial" w:hAnsi="Arial" w:cs="Arial"/>
          <w:color w:val="000000"/>
          <w:sz w:val="22"/>
          <w:szCs w:val="22"/>
          <w:lang w:val="sr-Cyrl-RS"/>
        </w:rPr>
        <w:t>2020. године). Промене Кривичног законика нису довеле до промене благе казнене политике судова.</w:t>
      </w:r>
      <w:r w:rsidRPr="00EF008E">
        <w:rPr>
          <w:rFonts w:ascii="Arial" w:hAnsi="Arial" w:cs="Arial"/>
          <w:color w:val="000000"/>
          <w:sz w:val="22"/>
          <w:szCs w:val="22"/>
          <w:vertAlign w:val="superscript"/>
          <w:lang w:val="sr-Cyrl-RS"/>
        </w:rPr>
        <w:t>643</w:t>
      </w:r>
      <w:r w:rsidRPr="00EF008E">
        <w:rPr>
          <w:rFonts w:ascii="Arial" w:hAnsi="Arial" w:cs="Arial"/>
          <w:color w:val="000000"/>
          <w:sz w:val="22"/>
          <w:szCs w:val="22"/>
          <w:lang w:val="sr-Cyrl-RS"/>
        </w:rPr>
        <w:t xml:space="preserve"> Подаци о стању у области насиља према женама још увек нису усклађени, ни доступни. Као отворени подаци, морају се потраживати, давање одговора појединих институција није задовољавајућа, а када се и достављају, подаци нису у формату који је адекватан за праћење примене норми. Заштита жртава насиља у породици и даље је недовољно ефикасна и делотворна. Добар део пријављених случајева насиља за која нису издата наређења за хитне мере, остаје без планова и праћења. Према Извештају прЕУговор Аларм за 2020. годину, Савет за сузбијање насиља у породици не прати реализацију Закона о спречавању насиља у породици, што успорава и зауставља унапређење заштите и подршке жртвама. Подаци и искуства говоре о нужности боље заштите и подршке жртвама насиља у време пандемије COVID-19. Подаци о раду СОС телефона у 2019. години указују да није постојала потреба да се формира нови национални СОС телефон. У Републици Србији је проблем насиља према женама повезан и са поседовањем оружја. Од укупног броја власника оружја у Републици Србији, мушкарци су власници 94,7% ватреног оружја.</w:t>
      </w:r>
      <w:r w:rsidRPr="00EF008E">
        <w:rPr>
          <w:rFonts w:ascii="Arial" w:hAnsi="Arial" w:cs="Arial"/>
          <w:color w:val="000000"/>
          <w:sz w:val="22"/>
          <w:szCs w:val="22"/>
          <w:vertAlign w:val="superscript"/>
          <w:lang w:val="sr-Cyrl-RS"/>
        </w:rPr>
        <w:t>644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Мушкарци су учинили 96,6% свих кривичних дела повезаних са ватреним оружјем.</w:t>
      </w:r>
      <w:r w:rsidRPr="00EF008E">
        <w:rPr>
          <w:rFonts w:ascii="Arial" w:hAnsi="Arial" w:cs="Arial"/>
          <w:color w:val="000000"/>
          <w:sz w:val="22"/>
          <w:szCs w:val="22"/>
          <w:vertAlign w:val="superscript"/>
          <w:lang w:val="sr-Cyrl-RS"/>
        </w:rPr>
        <w:t>645</w:t>
      </w:r>
      <w:r w:rsidRPr="00EF008E">
        <w:rPr>
          <w:rFonts w:ascii="Arial" w:hAnsi="Arial" w:cs="Arial"/>
          <w:color w:val="000000"/>
          <w:sz w:val="22"/>
          <w:szCs w:val="22"/>
          <w:lang w:val="sr-Cyrl-RS"/>
        </w:rPr>
        <w:t xml:space="preserve"> Република Србија је предузела мере да унапреди нормативни оквир у вези са поседовањем и недозвољеним држањем оружја. Измене Закона о оружју и муницији</w:t>
      </w:r>
      <w:r w:rsidRPr="00EF008E">
        <w:rPr>
          <w:rFonts w:ascii="Arial" w:hAnsi="Arial" w:cs="Arial"/>
          <w:color w:val="000000"/>
          <w:sz w:val="22"/>
          <w:szCs w:val="22"/>
          <w:vertAlign w:val="superscript"/>
          <w:lang w:val="sr-Cyrl-RS"/>
        </w:rPr>
        <w:t>646</w:t>
      </w:r>
      <w:r w:rsidRPr="00EF008E">
        <w:rPr>
          <w:rFonts w:ascii="Arial" w:hAnsi="Arial" w:cs="Arial"/>
          <w:color w:val="000000"/>
          <w:sz w:val="22"/>
          <w:szCs w:val="22"/>
          <w:lang w:val="sr-Cyrl-RS"/>
        </w:rPr>
        <w:t xml:space="preserve"> садрже две важне новине уведене да би се смањила злоупотреба легалног оружја у поседу грађана. Прва се тиче набављања оружја, и предвиђа да подносилац захтева, поред безбедносне провере, здравствене способности, потврде да није осуђиван и кажњаван и потврде о обучености за руковањем ватреним оружјем, мора да има оправдан захтев за набавку оружја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доказ да му је угрожена лична безбедност или због природе посла. Друга се односи на здравствену способност подносиоца захтева за оружје и доказује се на сваких пет година лекарским уверењем. По издавању дозволе, МУП обавештава изабраног лекара да је његовом пацијенту издата дозвола, и лекар је у обавези да пријави МУП-у промене здравственог стања (или сумње) које би утицале на руковање оружјем. Законом о изменама и допунама Кривичног законика из 2016. године, пооштрене су казне за недозвољено набављање, држање и ношење оружја, као и за неовлашћену израду, преправљање, продају и размену ватреног оружја. Поседовање ватреног оружја представља значајну безбедносну претњу у случају родно заснованог насиља. У већини случајева, у регистрованим примерима насиља у породици коришћено је илегално (нерегистровано) ватрено оружје, али не изостају и примери злоупотребе легалног оружја. Женама у Републици Србији са искуством насиља у конфликту, још увек није доступна делотворна заштита. Жене нису препознате као учеснице оружаних сукоба, нити као цивилне жртве рата у законодавству Републике Србије.</w:t>
      </w:r>
      <w:r w:rsidRPr="00EF008E">
        <w:rPr>
          <w:rFonts w:ascii="Arial" w:hAnsi="Arial" w:cs="Arial"/>
          <w:color w:val="000000"/>
          <w:sz w:val="22"/>
          <w:szCs w:val="22"/>
          <w:vertAlign w:val="superscript"/>
          <w:lang w:val="sr-Cyrl-RS"/>
        </w:rPr>
        <w:t>647</w:t>
      </w:r>
      <w:r w:rsidRPr="00EF008E">
        <w:rPr>
          <w:rFonts w:ascii="Arial" w:hAnsi="Arial" w:cs="Arial"/>
          <w:color w:val="000000"/>
          <w:sz w:val="22"/>
          <w:szCs w:val="22"/>
          <w:lang w:val="sr-Cyrl-RS"/>
        </w:rPr>
        <w:t xml:space="preserve"> Закон о правима бораца, војних инвалида, цивилних инвалида рата и њихових породица</w:t>
      </w:r>
      <w:r w:rsidRPr="00EF008E">
        <w:rPr>
          <w:rFonts w:ascii="Arial" w:hAnsi="Arial" w:cs="Arial"/>
          <w:color w:val="000000"/>
          <w:sz w:val="22"/>
          <w:szCs w:val="22"/>
          <w:vertAlign w:val="superscript"/>
          <w:lang w:val="sr-Cyrl-RS"/>
        </w:rPr>
        <w:t>648</w:t>
      </w:r>
      <w:r w:rsidRPr="00EF008E">
        <w:rPr>
          <w:rFonts w:ascii="Arial" w:hAnsi="Arial" w:cs="Arial"/>
          <w:color w:val="000000"/>
          <w:sz w:val="22"/>
          <w:szCs w:val="22"/>
          <w:lang w:val="sr-Cyrl-RS"/>
        </w:rPr>
        <w:t xml:space="preserve"> садржи дискриминаторна решења у односу на цивилне жртве рата.</w:t>
      </w:r>
      <w:r w:rsidRPr="00EF008E">
        <w:rPr>
          <w:rFonts w:ascii="Arial" w:hAnsi="Arial" w:cs="Arial"/>
          <w:color w:val="000000"/>
          <w:sz w:val="22"/>
          <w:szCs w:val="22"/>
          <w:vertAlign w:val="superscript"/>
          <w:lang w:val="sr-Cyrl-RS"/>
        </w:rPr>
        <w:t>649</w:t>
      </w:r>
      <w:r w:rsidRPr="00EF008E">
        <w:rPr>
          <w:rFonts w:ascii="Arial" w:hAnsi="Arial" w:cs="Arial"/>
          <w:color w:val="000000"/>
          <w:sz w:val="22"/>
          <w:szCs w:val="22"/>
          <w:lang w:val="sr-Cyrl-RS"/>
        </w:rPr>
        <w:t xml:space="preserve"> У Србији не постоји никаква врста репарација и признања за жене које су преживеле сексуално насиље у рату.</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498 Доступно на : https://www.secons.net/files/publications/99-publication.pdf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499 У овом периоду АП није постојао већ је био само припремљен. Документ је подељен на састанку Радне групе за припреми Националне стратегије за родну равноправност, али у овом моменту није доступан на интернету.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500 Доступно на: https://rsjp.gov.rs/wp-content/uploads/Agenda-UN-2030.pdf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501 CEDAW/C/SRB/CO/4 од 8.3.2019. доступно на: https://undocs.org/en/CEDAW/C/SRB/CO/4 приступ 31.5.2121.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502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101/20.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503 Доступно на: https://www.mpravde.gov.rs/sr/tekst/30402/revidirani-akcioni-plan-za-poglavlje-23-приступ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504</w:t>
      </w:r>
      <w:r w:rsidRPr="00EF008E">
        <w:rPr>
          <w:rFonts w:ascii="Arial" w:hAnsi="Arial" w:cs="Arial"/>
          <w:i/>
          <w:color w:val="000000"/>
          <w:sz w:val="22"/>
          <w:szCs w:val="22"/>
          <w:lang w:val="sr-Cyrl-RS"/>
        </w:rPr>
        <w:tab/>
        <w:t>Доступно на: https://www.minrzs.gov.rs/sr/dokumenti/ostalo/sektor-za-socijalnu-zastitu/strategija-za-sprecavanje-i-borbu-protiv-rodno-zasnovanog-nasilja-prema-zenama-i-nasilja-u-porodici-za-period-2021-2025-godine приступ 8.9.2021.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505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52/21.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506 Први став тачке 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3 Основних начела УН о независности судства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Резолуција Генерална скупштина УН 40/32 (1985) и 40/146 (1985), члан 6 Европске конвенције за заштиту људских права и слобода, Препорука Комитета министара СЕ (2010)12 о независности, ефикасности и одговорности судија Recommendation CM/Rec(2010)12 of the Committee of Ministers to member states on judges: independence, efficiency and responsibilities (Adopted by the Committee of Ministers on 17 November 2010 at the 1098thmeeting of the Ministers’ Deputies) доступно на: https://rm.coe.int/cmrec-2010-12-on-independence-efficiency-responsibilites-of-judges/16809f007d приступ 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507 Члан 21. став 1. Устава РС.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508 Члан 21. став 2. Устава РС.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509 Члан 22. став 1. Устава РС.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510 Члан 170. Устава РС.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511 Члан 22. став. 2. Устава РС.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512 Најпре 2005. године када је разматрала неколико нацрта устава РС (Мишљење бр. 349/2005 документ CDL-AD(2005)023), потом шест месеци (март 2007.) након што је Устав РС 2006 установљен и тако одступила од праксе да се мишљење доставља пре усвајања устава. Доступно на: www.venice.coe.int/webforms/documents/default.aspx?pdffile. приступ 11. II 2018. као и током рада на припреми амандмана на Устав РС.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513</w:t>
      </w:r>
      <w:r w:rsidRPr="00EF008E">
        <w:rPr>
          <w:rFonts w:ascii="Arial" w:hAnsi="Arial" w:cs="Arial"/>
          <w:i/>
          <w:color w:val="000000"/>
          <w:sz w:val="22"/>
          <w:szCs w:val="22"/>
          <w:lang w:val="sr-Cyrl-RS"/>
        </w:rPr>
        <w:tab/>
        <w:t>Доступно на: https://www.mpravde.gov.rs/files/amandmani%20za%20objavljivanje1.pdf приступ 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514</w:t>
      </w:r>
      <w:r w:rsidRPr="00EF008E">
        <w:rPr>
          <w:rFonts w:ascii="Arial" w:hAnsi="Arial" w:cs="Arial"/>
          <w:i/>
          <w:color w:val="000000"/>
          <w:sz w:val="22"/>
          <w:szCs w:val="22"/>
          <w:lang w:val="sr-Cyrl-RS"/>
        </w:rPr>
        <w:tab/>
        <w:t>Доступно на: https://vss.sud.rs/sr-lat/saop%C5%A1tenja/saop%C5%A1tenje-visokog-saveta-sudstva-u-vezi-promena-ustava приступ 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515 Сведочанство припреме за промену Устава Србије из 2006. и струка. Друштво судија Србије, 2018. Доступно на https://www.sudije.rs/images/Dru%C5%A1tvo_sudija_Srbije_-_Svedo%C4%8Danstvo.pdf и Консултативно веће европских судија, доступно на: https://wcd.coe.int/ViewDoc.jsp?p=&amp;id=2198457&amp;Site=COE&amp;direct=true приступ 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516</w:t>
      </w:r>
      <w:r w:rsidRPr="00EF008E">
        <w:rPr>
          <w:rFonts w:ascii="Arial" w:hAnsi="Arial" w:cs="Arial"/>
          <w:i/>
          <w:color w:val="000000"/>
          <w:sz w:val="22"/>
          <w:szCs w:val="22"/>
          <w:lang w:val="sr-Cyrl-RS"/>
        </w:rPr>
        <w:tab/>
        <w:t>Доступно на: https://uts.org.rs/images/2018/280218.dvt.misljenje.ustav.pdf и Консултативно веће Европских тужилаца доступно на: https://www.uts.org.rs/images/2019/misljenje_CCPE.pdf приступљено 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517</w:t>
      </w:r>
      <w:r w:rsidRPr="00EF008E">
        <w:rPr>
          <w:rFonts w:ascii="Arial" w:hAnsi="Arial" w:cs="Arial"/>
          <w:i/>
          <w:color w:val="000000"/>
          <w:sz w:val="22"/>
          <w:szCs w:val="22"/>
          <w:lang w:val="sr-Cyrl-RS"/>
        </w:rPr>
        <w:tab/>
        <w:t>ЖПРС формулисала је своје предлоге за промену Устава РС, што је био услов за учешће у јавној расправи и учествовала је у јавној расправи о променама Устава. Доступно на. https://media.genderhub.org.rs/2021/04/Ustavne-promene-iz-ugla-Zenske-platforme.pdf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518 Друштво судија Србије Оп. цит. 2018. доступно на https://www.sudije.rs/images/Dru%C5%A1tvo_sudija_Srbije_-_Svedo%C4%8Danstvo.pdf приступ 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519 Нацрт Амандмани I до XXIX (18.4.2018) доступно на: https://www.paragraf.rs/dnevne-vesti/160418/160418-vest15.html, Нацрт амандмана на Устав Србије I до XXXII. Доступно на: http://www.emins.org/wp-content/uploads/2018/11/Ustavni-amandmani-IV-verzija-srp.pdf приступ 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520 Пандемија КОВИД 19, парламентарни избори одржани су јуна 2020. године.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521</w:t>
      </w:r>
      <w:r w:rsidRPr="00EF008E">
        <w:rPr>
          <w:rFonts w:ascii="Arial" w:hAnsi="Arial" w:cs="Arial"/>
          <w:i/>
          <w:color w:val="000000"/>
          <w:sz w:val="22"/>
          <w:szCs w:val="22"/>
          <w:lang w:val="sr-Cyrl-RS"/>
        </w:rPr>
        <w:tab/>
        <w:t>До сада одржана су јавна слушања 19, 24, 26, 27, 31 маја и 2. јуна. Доступно на: http://www.parlament.gov.rs/aktivnosti/narodna-skupstina/radna-tela/javna-slusanja.3012.html приступљено 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522 О отвореним питањима везаним за поступак промене Устава РС видети: Зборник Ревизиона власт у Србији (ур. Шарчевић, и др. Сарајево 2017.; Зборник, Сведочанство припреме за промену Устава од 2006. године и струка, прилози: Вучић, О, стр. 250</w:t>
      </w:r>
      <w:r>
        <w:rPr>
          <w:rFonts w:ascii="Arial" w:hAnsi="Arial" w:cs="Arial"/>
          <w:i/>
          <w:color w:val="000000"/>
          <w:sz w:val="22"/>
          <w:szCs w:val="22"/>
          <w:lang w:val="sr-Cyrl-RS"/>
        </w:rPr>
        <w:t>-</w:t>
      </w:r>
      <w:r w:rsidRPr="00EF008E">
        <w:rPr>
          <w:rFonts w:ascii="Arial" w:hAnsi="Arial" w:cs="Arial"/>
          <w:i/>
          <w:color w:val="000000"/>
          <w:sz w:val="22"/>
          <w:szCs w:val="22"/>
          <w:lang w:val="sr-Cyrl-RS"/>
        </w:rPr>
        <w:t>252, Стојановић, Д. стр. 259</w:t>
      </w:r>
      <w:r>
        <w:rPr>
          <w:rFonts w:ascii="Arial" w:hAnsi="Arial" w:cs="Arial"/>
          <w:i/>
          <w:color w:val="000000"/>
          <w:sz w:val="22"/>
          <w:szCs w:val="22"/>
          <w:lang w:val="sr-Cyrl-RS"/>
        </w:rPr>
        <w:t>-</w:t>
      </w:r>
      <w:r w:rsidRPr="00EF008E">
        <w:rPr>
          <w:rFonts w:ascii="Arial" w:hAnsi="Arial" w:cs="Arial"/>
          <w:i/>
          <w:color w:val="000000"/>
          <w:sz w:val="22"/>
          <w:szCs w:val="22"/>
          <w:lang w:val="sr-Cyrl-RS"/>
        </w:rPr>
        <w:t>263, Пејић, И. стр. Симовић, Д. стр. 243</w:t>
      </w:r>
      <w:r>
        <w:rPr>
          <w:rFonts w:ascii="Arial" w:hAnsi="Arial" w:cs="Arial"/>
          <w:i/>
          <w:color w:val="000000"/>
          <w:sz w:val="22"/>
          <w:szCs w:val="22"/>
          <w:lang w:val="sr-Cyrl-RS"/>
        </w:rPr>
        <w:t>-</w:t>
      </w:r>
      <w:r w:rsidRPr="00EF008E">
        <w:rPr>
          <w:rFonts w:ascii="Arial" w:hAnsi="Arial" w:cs="Arial"/>
          <w:i/>
          <w:color w:val="000000"/>
          <w:sz w:val="22"/>
          <w:szCs w:val="22"/>
          <w:lang w:val="sr-Cyrl-RS"/>
        </w:rPr>
        <w:t>244, Ненадић, Б. стр 292</w:t>
      </w:r>
      <w:r>
        <w:rPr>
          <w:rFonts w:ascii="Arial" w:hAnsi="Arial" w:cs="Arial"/>
          <w:i/>
          <w:color w:val="000000"/>
          <w:sz w:val="22"/>
          <w:szCs w:val="22"/>
          <w:lang w:val="sr-Cyrl-RS"/>
        </w:rPr>
        <w:t>-</w:t>
      </w:r>
      <w:r w:rsidRPr="00EF008E">
        <w:rPr>
          <w:rFonts w:ascii="Arial" w:hAnsi="Arial" w:cs="Arial"/>
          <w:i/>
          <w:color w:val="000000"/>
          <w:sz w:val="22"/>
          <w:szCs w:val="22"/>
          <w:lang w:val="sr-Cyrl-RS"/>
        </w:rPr>
        <w:t>293, Ракић, Водинелић В. стр. 322</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323; Пајванчић М.: Поступак одлучивања о променама Устава РС, Зборник (ур. Дајовић, Г.)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Српско правосуђе на уставној раскрсници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сведочанство о </w:t>
      </w:r>
      <w:r>
        <w:rPr>
          <w:rFonts w:ascii="Arial" w:hAnsi="Arial" w:cs="Arial"/>
          <w:i/>
          <w:color w:val="000000"/>
          <w:sz w:val="22"/>
          <w:szCs w:val="22"/>
          <w:lang w:val="sr-Cyrl-RS"/>
        </w:rPr>
        <w:t>"</w:t>
      </w:r>
      <w:r w:rsidRPr="00EF008E">
        <w:rPr>
          <w:rFonts w:ascii="Arial" w:hAnsi="Arial" w:cs="Arial"/>
          <w:i/>
          <w:color w:val="000000"/>
          <w:sz w:val="22"/>
          <w:szCs w:val="22"/>
          <w:lang w:val="sr-Cyrl-RS"/>
        </w:rPr>
        <w:t>дебати</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поводом иницијативе за промену Устава РС у области правосуђа</w:t>
      </w:r>
      <w:r>
        <w:rPr>
          <w:rFonts w:ascii="Arial" w:hAnsi="Arial" w:cs="Arial"/>
          <w:i/>
          <w:color w:val="000000"/>
          <w:sz w:val="22"/>
          <w:szCs w:val="22"/>
          <w:lang w:val="sr-Cyrl-RS"/>
        </w:rPr>
        <w:t>"</w:t>
      </w:r>
      <w:r w:rsidRPr="00EF008E">
        <w:rPr>
          <w:rFonts w:ascii="Arial" w:hAnsi="Arial" w:cs="Arial"/>
          <w:i/>
          <w:color w:val="000000"/>
          <w:sz w:val="22"/>
          <w:szCs w:val="22"/>
          <w:lang w:val="sr-Cyrl-RS"/>
        </w:rPr>
        <w:t>, ЦЕПРИС, 2019, стр. 166</w:t>
      </w:r>
      <w:r>
        <w:rPr>
          <w:rFonts w:ascii="Arial" w:hAnsi="Arial" w:cs="Arial"/>
          <w:i/>
          <w:color w:val="000000"/>
          <w:sz w:val="22"/>
          <w:szCs w:val="22"/>
          <w:lang w:val="sr-Cyrl-RS"/>
        </w:rPr>
        <w:t>-</w:t>
      </w:r>
      <w:r w:rsidRPr="00EF008E">
        <w:rPr>
          <w:rFonts w:ascii="Arial" w:hAnsi="Arial" w:cs="Arial"/>
          <w:i/>
          <w:color w:val="000000"/>
          <w:sz w:val="22"/>
          <w:szCs w:val="22"/>
          <w:lang w:val="sr-Cyrl-RS"/>
        </w:rPr>
        <w:t>176. Доступно на https://www.cepris.org/wp-content/uploads/2019/06/Zbornik-CEPRIS.pdf приступ 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523 У више наврата на јавним слушањима наглашена је потреба да РС </w:t>
      </w:r>
      <w:r>
        <w:rPr>
          <w:rFonts w:ascii="Arial" w:hAnsi="Arial" w:cs="Arial"/>
          <w:i/>
          <w:color w:val="000000"/>
          <w:sz w:val="22"/>
          <w:szCs w:val="22"/>
          <w:lang w:val="sr-Cyrl-RS"/>
        </w:rPr>
        <w:t>"</w:t>
      </w:r>
      <w:r w:rsidRPr="00EF008E">
        <w:rPr>
          <w:rFonts w:ascii="Arial" w:hAnsi="Arial" w:cs="Arial"/>
          <w:i/>
          <w:color w:val="000000"/>
          <w:sz w:val="22"/>
          <w:szCs w:val="22"/>
          <w:lang w:val="sr-Cyrl-RS"/>
        </w:rPr>
        <w:t>анализира постојеће одредбе Устава са становишта општеприхваћених европских и међународних стандарда изражених кроз документа ЕУ, УН, СЕ, посебно Венецијанске комисије, али и групе држава против корупције ГРЕКО, Европске комисије за ефикасност правосуђа СЕПЕШ, Консултативног већа европских судија, Консултативног већа европских тужилаца и Европске мреже савета правосуђа.</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Доступно на: http://www.parlament.gov.rs/Odr%C5%BEano_Sedmo_javno_slu%C5%A1anje_na_temu_promene_Ustava.41696.941.html приступ 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524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52/21.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525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52/21.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526 Члан 65.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527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528 Члан 4. став 3. Закона о пружању бесплатне правне помоћи.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529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41/21.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530</w:t>
      </w:r>
      <w:r w:rsidRPr="00EF008E">
        <w:rPr>
          <w:rFonts w:ascii="Arial" w:hAnsi="Arial" w:cs="Arial"/>
          <w:i/>
          <w:color w:val="000000"/>
          <w:sz w:val="22"/>
          <w:szCs w:val="22"/>
          <w:lang w:val="sr-Cyrl-RS"/>
        </w:rPr>
        <w:tab/>
        <w:t>Доступно на: https://www.mpravde.gov.rs/vest/26213/poziv-za-upis-u-registar-pruzalaca-besplatne-pravne-pomoci-i-besplatne-pravne-podrske.php, приступ 20.5.2021.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531 Доступно на: https://www.rtv.rs/sr_lat/drustvo/za-6-meseci-1.902-gradjana-dobilo-besplatnu-pravnu-pomoc_1117081.html,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532 Извештај Министарства правде о спровођењу Закона о бесплатној правној помоћи од 31. март 2020. године. https://www.mpravde.gov.rs/files/Izvestaj%20o%20sprovodjenju%20ZBPP% 201.okt%20 do%2031. %20marta.pdf приступ 1.9.2021.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533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534 Члан 9. став 1. Закона о пружању бесплатне правне помоћи. Регистар пружалаца правне помоћи и бесплатне правне подршке доступан на: https://www.mpravde.gov.rs/sr/tekst/26350/registar-pruzalaca-besplatne-pravne-pomoci-i-besplatne- pravne-podrske.php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535</w:t>
      </w:r>
      <w:r w:rsidRPr="00EF008E">
        <w:rPr>
          <w:rFonts w:ascii="Arial" w:hAnsi="Arial" w:cs="Arial"/>
          <w:i/>
          <w:color w:val="000000"/>
          <w:sz w:val="22"/>
          <w:szCs w:val="22"/>
          <w:lang w:val="sr-Cyrl-RS"/>
        </w:rPr>
        <w:tab/>
        <w:t>Доступно на: https://www.drzavnauprava.gov.rs/tekst/26350/registar-pruzalaca-besplatne-pravne-pomoci-i-besplatne-pravne-podrske.php.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536 Члан 9. став 5. Закона о пружању бесплатне правне помоћи.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537 Члан 58. став 1. тачка 2. Закона о пружању бесплатне правне помоћи.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538 Члан 12. Закона о бесплатној правној помоћи.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539</w:t>
      </w:r>
      <w:r w:rsidRPr="00EF008E">
        <w:rPr>
          <w:rFonts w:ascii="Arial" w:hAnsi="Arial" w:cs="Arial"/>
          <w:i/>
          <w:color w:val="000000"/>
          <w:sz w:val="22"/>
          <w:szCs w:val="22"/>
          <w:lang w:val="sr-Cyrl-RS"/>
        </w:rPr>
        <w:tab/>
        <w:t xml:space="preserve">На пример, све општине у Севернобачком округу пружају бесплатну правну помоћ, наспрам само 25% општина Зајечарског округа. Видети: Филиповић, М. Закон о бесплатној правној помоћи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Првих шест месеци примене, YUCOM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Комитет правника за људска права, Београд, 2020. Доступно на: https://www.yucom.org.rs/zakon-o-besplatnoj-pravnoj-pomoci-prvih-sest-meseci-primene/ приступ 8.9.2021.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540</w:t>
      </w:r>
      <w:r w:rsidRPr="00EF008E">
        <w:rPr>
          <w:rFonts w:ascii="Arial" w:hAnsi="Arial" w:cs="Arial"/>
          <w:i/>
          <w:color w:val="000000"/>
          <w:sz w:val="22"/>
          <w:szCs w:val="22"/>
          <w:lang w:val="sr-Cyrl-RS"/>
        </w:rPr>
        <w:tab/>
        <w:t>Видети Извештај Министарства правде о спровођењу Закона о бесплатној правној помоћи. Доступно на: https://mpravde.gov.rs/files/Izvestaj%20o%20sprovodjenju%20ZBPP%201.okt%20do%2031.%20marta.pdf,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541 Члан 9. став 2. Закона о бесплатној правној помоћи.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542 Начин вођења евиденције регулисан је Правилником о начину вођења евиденције о пруженој бесплатној правној помоћи и бесплатној правној подршци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68/19).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543 Члан 65.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544</w:t>
      </w:r>
      <w:r w:rsidRPr="00EF008E">
        <w:rPr>
          <w:rFonts w:ascii="Arial" w:hAnsi="Arial" w:cs="Arial"/>
          <w:i/>
          <w:color w:val="000000"/>
          <w:sz w:val="22"/>
          <w:szCs w:val="22"/>
          <w:lang w:val="sr-Cyrl-RS"/>
        </w:rPr>
        <w:tab/>
        <w:t>Више: Бекер, К. и др. Извештај о правима жена и родној равноправности у Србији за 2019. стр. 65</w:t>
      </w:r>
      <w:r>
        <w:rPr>
          <w:rFonts w:ascii="Arial" w:hAnsi="Arial" w:cs="Arial"/>
          <w:i/>
          <w:color w:val="000000"/>
          <w:sz w:val="22"/>
          <w:szCs w:val="22"/>
          <w:lang w:val="sr-Cyrl-RS"/>
        </w:rPr>
        <w:t>-</w:t>
      </w:r>
      <w:r w:rsidRPr="00EF008E">
        <w:rPr>
          <w:rFonts w:ascii="Arial" w:hAnsi="Arial" w:cs="Arial"/>
          <w:i/>
          <w:color w:val="000000"/>
          <w:sz w:val="22"/>
          <w:szCs w:val="22"/>
          <w:lang w:val="sr-Cyrl-RS"/>
        </w:rPr>
        <w:t>67 FemPlatz, 2020. стр. 65</w:t>
      </w:r>
      <w:r>
        <w:rPr>
          <w:rFonts w:ascii="Arial" w:hAnsi="Arial" w:cs="Arial"/>
          <w:i/>
          <w:color w:val="000000"/>
          <w:sz w:val="22"/>
          <w:szCs w:val="22"/>
          <w:lang w:val="sr-Cyrl-RS"/>
        </w:rPr>
        <w:t>-</w:t>
      </w:r>
      <w:r w:rsidRPr="00EF008E">
        <w:rPr>
          <w:rFonts w:ascii="Arial" w:hAnsi="Arial" w:cs="Arial"/>
          <w:i/>
          <w:color w:val="000000"/>
          <w:sz w:val="22"/>
          <w:szCs w:val="22"/>
          <w:lang w:val="sr-Cyrl-RS"/>
        </w:rPr>
        <w:t>67 доступно на: https://www.femplatz.org као и https://www.femplatz.org/library/reports/2020-08-10_PreneraZena.pdf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545 Закон о седиштима и подручјима судова и јавних тужилаштава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брoj 101/13.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546 Закон о судским таксама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28/94, 53/95, 16/97, 34/01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9/02, 29/04, 61/05, 116/08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31/09, 101/11, 93/12, 93/14, 106/15 и 95/18.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547 На пример, житељи Крајишника удаљени су од Основног суда и Основног јавног тужилаштва у Зрењанину 57 km. У општинама Сечањ и Житиште које су им ближе не постоји основни суд нити основно јавно тужилаштво. (члан 3. став 1. тачка 21. и члан 9. став 1. тачка 20. Закона о седиштима и подручјима судова и јавних тужилаштава,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101/13).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548 Члан 7. Правилника о накнади трошкова у судским поступцима,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57/03 и 69/11.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549 Чланови 2. и 7. Правилника о тарифи, наградама и накнадама трошкова за рад извршитеља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50/12.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550 Више: Пајванчић, М.: Наша урушена права, ФЕС, 2019., стр. 9</w:t>
      </w:r>
      <w:r>
        <w:rPr>
          <w:rFonts w:ascii="Arial" w:hAnsi="Arial" w:cs="Arial"/>
          <w:i/>
          <w:color w:val="000000"/>
          <w:sz w:val="22"/>
          <w:szCs w:val="22"/>
          <w:lang w:val="sr-Cyrl-RS"/>
        </w:rPr>
        <w:t>-</w:t>
      </w:r>
      <w:r w:rsidRPr="00EF008E">
        <w:rPr>
          <w:rFonts w:ascii="Arial" w:hAnsi="Arial" w:cs="Arial"/>
          <w:i/>
          <w:color w:val="000000"/>
          <w:sz w:val="22"/>
          <w:szCs w:val="22"/>
          <w:lang w:val="sr-Cyrl-RS"/>
        </w:rPr>
        <w:t>13. Доступно на: http://library.fes.de/pdf-files/bueros/belgrad/15439.pdf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551</w:t>
      </w:r>
      <w:r w:rsidRPr="00EF008E">
        <w:rPr>
          <w:rFonts w:ascii="Arial" w:hAnsi="Arial" w:cs="Arial"/>
          <w:i/>
          <w:color w:val="000000"/>
          <w:sz w:val="22"/>
          <w:szCs w:val="22"/>
          <w:lang w:val="sr-Cyrl-RS"/>
        </w:rPr>
        <w:tab/>
        <w:t xml:space="preserve">Анализа судске праксе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Поступање судова по предлогу за ослобађање од плаћања судских трошкова у парничној материји, Београд: YUCOM, 2018. страна 2. Доступно на: https://www.yucom.org.rs/wp-content/uploads/2018/06/Analiza-sudske-prakse-Postupanje-sudova-po-predlogu-za-osloba%C4%91anje-od-pla%C4%87anja-sudskih-tro%C5%A1kova-u-parni%C4%8Dnoj-materiji.pdf.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552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40/15.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553 Више: Пајванчић, М. Анализа начина одлучивања Уставног суда у: Бељански, С. Уставног суда и судске власти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стање и перспективе, ЦЕПРИС, 2019. стр. 33</w:t>
      </w:r>
      <w:r>
        <w:rPr>
          <w:rFonts w:ascii="Arial" w:hAnsi="Arial" w:cs="Arial"/>
          <w:i/>
          <w:color w:val="000000"/>
          <w:sz w:val="22"/>
          <w:szCs w:val="22"/>
          <w:lang w:val="sr-Cyrl-RS"/>
        </w:rPr>
        <w:t>-</w:t>
      </w:r>
      <w:r w:rsidRPr="00EF008E">
        <w:rPr>
          <w:rFonts w:ascii="Arial" w:hAnsi="Arial" w:cs="Arial"/>
          <w:i/>
          <w:color w:val="000000"/>
          <w:sz w:val="22"/>
          <w:szCs w:val="22"/>
          <w:lang w:val="sr-Cyrl-RS"/>
        </w:rPr>
        <w:t>38. Доступно на: https://www.cepris. org/wp-content/uploads/2019/10/CEPRIS-Odnos-Ustavnog-suda-i-sudske-vlasti2.pdf приступ 14.6.2020.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554 Преглед рада Уставног суда за 2017. страна 10. Доступно на: http://www.ustavni.sud.rs/page/view/137-101100/pregled-rada приступ 23.2.2019.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555 На пример, број уставних жалби у 2008. години био је 1927, да би у 2017. години достигао 25 846. Доступно на: http://www.ustavni.sud.rs/page/view/137-101100/pregled-rada приступљено 23.2.2019.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556 Више: Пајванчић, М. Оп. цит. 2019, страна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557 На пример, у 2018. години Уставни суд је одбацио 87,06% уставних жалби, а свега 12, 94% су мериторно решене.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558 Видети: Пајванчић, М. и др. Оп. цит. 2019, страна 37.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559 Ставови Уставног суда утврђени 2009, 2010, 2011, 2012, 2019. доступно на: http://www.ustavni.sud.rs/page/view/163-100890/stavovi-suda приступљено 23.2.2019.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560 На пример: рок у коме се може изјавити, посебно у случају пропуштања; допуна и благовременост накнадних поднесака; дозвољеност ревизије; обавезна садржину уставне жалбе; поступак мериторног одлучивања посебно изрека одлуке којом се жалба усваја, отклањање штетних последица и накнада штете; структура образложења одлуке којом се уставна жалба усваја; оцена уставности у општег акта у поступку одлучивања по уставној жалби; поступак преиспитивања уставне жалбе; поступање по представци, жалби или уставној жалби изјављеној против одлуке, решења или закључка Уставног суда и др. Више: Пајванчић, М. и др. Оп. цит.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561 На пример, Закон о уређењу судова, Закон о судијама, Закон о јавном тужилаштву, Закон о Високом савету судства, Закон о Државном већу тужилаца, Закон о седиштима и подручјима судова и тужилаштава, Закон о полагању правосудног испита, Закон о правосудној академији.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562 На пример, Закон о привременом уређивању начина исплате пензија који је повредио имовинско право великог броја пензионера искључио је могућност коришћења било ког инструмента за заштиту права. Видети, Пајванчић, М. и др. Оп. цит. стр. 40</w:t>
      </w:r>
      <w:r>
        <w:rPr>
          <w:rFonts w:ascii="Arial" w:hAnsi="Arial" w:cs="Arial"/>
          <w:i/>
          <w:color w:val="000000"/>
          <w:sz w:val="22"/>
          <w:szCs w:val="22"/>
          <w:lang w:val="sr-Cyrl-RS"/>
        </w:rPr>
        <w:t>-</w:t>
      </w:r>
      <w:r w:rsidRPr="00EF008E">
        <w:rPr>
          <w:rFonts w:ascii="Arial" w:hAnsi="Arial" w:cs="Arial"/>
          <w:i/>
          <w:color w:val="000000"/>
          <w:sz w:val="22"/>
          <w:szCs w:val="22"/>
          <w:lang w:val="sr-Cyrl-RS"/>
        </w:rPr>
        <w:t>47, 2019.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563 Уставни суд је 2020. године решевајући по предлогу Повереника за равноправност утврдио да одредбе Закона о финансијској подршци породици са децом које неједнако третирају пољопривредне осигуранице нису у сагласности са Уставом (Одлука ИУз-216/2018).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564</w:t>
      </w:r>
      <w:r w:rsidRPr="00EF008E">
        <w:rPr>
          <w:rFonts w:ascii="Arial" w:hAnsi="Arial" w:cs="Arial"/>
          <w:i/>
          <w:color w:val="000000"/>
          <w:sz w:val="22"/>
          <w:szCs w:val="22"/>
          <w:lang w:val="sr-Cyrl-RS"/>
        </w:rPr>
        <w:tab/>
        <w:t>Редован годишњи извештај Повереника за заштиту равноправности за 2020. стр. 40</w:t>
      </w:r>
      <w:r>
        <w:rPr>
          <w:rFonts w:ascii="Arial" w:hAnsi="Arial" w:cs="Arial"/>
          <w:i/>
          <w:color w:val="000000"/>
          <w:sz w:val="22"/>
          <w:szCs w:val="22"/>
          <w:lang w:val="sr-Cyrl-RS"/>
        </w:rPr>
        <w:t>-</w:t>
      </w:r>
      <w:r w:rsidRPr="00EF008E">
        <w:rPr>
          <w:rFonts w:ascii="Arial" w:hAnsi="Arial" w:cs="Arial"/>
          <w:i/>
          <w:color w:val="000000"/>
          <w:sz w:val="22"/>
          <w:szCs w:val="22"/>
          <w:lang w:val="sr-Cyrl-RS"/>
        </w:rPr>
        <w:t>41. Доступно на: http://ravnopravnost.gov.rs/wp-content/uploads/2021/04/Poverenik-za-zastitu-ravnopravnosti-Godisnji-izvestaj-za-2020.pdf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565 Исто, страна 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566 Исто, страна 39.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567 Исто, страна 41.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568 Годишњи извештај Заштитника грађана, стр. 7, 8 и 25. Доступно на: https://www.ombudsman.rs/index.php/izvestaji/godisnji-izvestaji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569 Видети: Однос грађана и грађанки према дискриминацији у Србији, Повереник за заштиту равноправности, Београд, 2019, доступно на: http://ravnopravnost.gov.rs/wp-content/uploads/ 2019/11/izvestaj-o-istrazivanju-javnog-mnjenja.pdf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570</w:t>
      </w:r>
      <w:r w:rsidRPr="00EF008E">
        <w:rPr>
          <w:rFonts w:ascii="Arial" w:hAnsi="Arial" w:cs="Arial"/>
          <w:i/>
          <w:color w:val="000000"/>
          <w:sz w:val="22"/>
          <w:szCs w:val="22"/>
          <w:lang w:val="sr-Cyrl-RS"/>
        </w:rPr>
        <w:tab/>
        <w:t>Истраживање Перцепција Ромске заједнице о дискриминацији, Повереник за равноправност, 2021. Доступно на: http://ravnopravnost.gov.rs/rs/istrazivanje-percepcija-romske-zajednice-o-diskriminaciji/ приступ 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571 Истраживање Положај старијих жена у Србији, Повереник за равноправност, Београд 2021. Доступно на. http://ravnopravnost.gov.rs/rs/istrazivanje-o-polozaju-starijih-zena-u-srbiji/ приступ 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572</w:t>
      </w:r>
      <w:r w:rsidRPr="00EF008E">
        <w:rPr>
          <w:rFonts w:ascii="Arial" w:hAnsi="Arial" w:cs="Arial"/>
          <w:i/>
          <w:color w:val="000000"/>
          <w:sz w:val="22"/>
          <w:szCs w:val="22"/>
          <w:lang w:val="sr-Cyrl-RS"/>
        </w:rPr>
        <w:tab/>
        <w:t xml:space="preserve">Видети: Петрушић, Н. и др. Равноправност у пракси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примена антидискриминационих закона у Србији, Equal Rights Trust, London, 2019, страна 89. доступно на: www.equalrightstrust.org/resources/ravnopravnost-u-praksi-primena-antidiskriminacionih-zakona-u-srbiji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573 CEDAW/C/SRB/CO/4 para. 45. и 46.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574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87/18.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575 Члан 4. став 3. Закона о пружању бесплатне правне помоћи.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576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24/18.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577 Члан 7. Закона о азилу и привременој заштити.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578 Члан 6. Закона о азилу и привременој заштити.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579 Члан 16. Закона о азилу и привременој заштити.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580 Члан 17. Закона о азилу и привременој заштити.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581 Члан 9. Закона о азилу и привременој заштити.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582 CEDAW/C/SRB/CO/4 para. 44.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583 Ова група формирана је на иницијативу УН, КТРР и Фонда б92. Видети нпр. Смернице за медијско извештавање о насиљу према женама, 2019. Како извештавати о судским процесима о насиљу и др. Више о активностима ове мреже на: https://www.womenngo.org.rs/vesti/1083-novinarke-protiv-nasilja-prema-zenama приступ 13.6.2021.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584</w:t>
      </w:r>
      <w:r w:rsidRPr="00EF008E">
        <w:rPr>
          <w:rFonts w:ascii="Arial" w:hAnsi="Arial" w:cs="Arial"/>
          <w:i/>
          <w:color w:val="000000"/>
          <w:sz w:val="22"/>
          <w:szCs w:val="22"/>
          <w:lang w:val="sr-Cyrl-RS"/>
        </w:rPr>
        <w:tab/>
        <w:t>Доступно на: https://data.consilium.europa.eu/doc/document/ST-11031-2019-INIT/en/pdf,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585</w:t>
      </w:r>
      <w:r w:rsidRPr="00EF008E">
        <w:rPr>
          <w:rFonts w:ascii="Arial" w:hAnsi="Arial" w:cs="Arial"/>
          <w:i/>
          <w:color w:val="000000"/>
          <w:sz w:val="22"/>
          <w:szCs w:val="22"/>
          <w:lang w:val="sr-Cyrl-RS"/>
        </w:rPr>
        <w:tab/>
        <w:t>Доступно на: https://ec.europa.eu/international-partnerships/system/files/swd_2020_284_en_final.pdf,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586</w:t>
      </w:r>
      <w:r w:rsidRPr="00EF008E">
        <w:rPr>
          <w:rFonts w:ascii="Arial" w:hAnsi="Arial" w:cs="Arial"/>
          <w:i/>
          <w:color w:val="000000"/>
          <w:sz w:val="22"/>
          <w:szCs w:val="22"/>
          <w:lang w:val="sr-Cyrl-RS"/>
        </w:rPr>
        <w:tab/>
        <w:t>Параграф 9 CEDAW/C/SRB/CO/4, Доступно на: https://ljudskaprava.gov.rs/sh/node/19867,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587</w:t>
      </w:r>
      <w:r w:rsidRPr="00EF008E">
        <w:rPr>
          <w:rFonts w:ascii="Arial" w:hAnsi="Arial" w:cs="Arial"/>
          <w:i/>
          <w:color w:val="000000"/>
          <w:sz w:val="22"/>
          <w:szCs w:val="22"/>
          <w:lang w:val="sr-Cyrl-RS"/>
        </w:rPr>
        <w:tab/>
        <w:t>Доступно на: https://www.ohchr.org/documents/hrbodies/cedaw/gcomments/cedaw.c.cg.30.pdf, приступ 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588</w:t>
      </w:r>
      <w:r w:rsidRPr="00EF008E">
        <w:rPr>
          <w:rFonts w:ascii="Arial" w:hAnsi="Arial" w:cs="Arial"/>
          <w:i/>
          <w:color w:val="000000"/>
          <w:sz w:val="22"/>
          <w:szCs w:val="22"/>
          <w:lang w:val="sr-Cyrl-RS"/>
        </w:rPr>
        <w:tab/>
        <w:t>Усвојена 2011. Доступно на: https://www.rsjp.gov.rs/mapa1/3.%20Odbrana/f_strategija_nacionalne_bezbednosti.pdf,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589</w:t>
      </w:r>
      <w:r w:rsidRPr="00EF008E">
        <w:rPr>
          <w:rFonts w:ascii="Arial" w:hAnsi="Arial" w:cs="Arial"/>
          <w:i/>
          <w:color w:val="000000"/>
          <w:sz w:val="22"/>
          <w:szCs w:val="22"/>
          <w:lang w:val="sr-Cyrl-RS"/>
        </w:rPr>
        <w:tab/>
        <w:t>Усвојена 2012. Доступно на: https://www.rsjp.gov.rs/mapa1/3.%20Odbrana/f_strategija_odbrane.pdf,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590</w:t>
      </w:r>
      <w:r w:rsidRPr="00EF008E">
        <w:rPr>
          <w:rFonts w:ascii="Arial" w:hAnsi="Arial" w:cs="Arial"/>
          <w:i/>
          <w:color w:val="000000"/>
          <w:sz w:val="22"/>
          <w:szCs w:val="22"/>
          <w:lang w:val="sr-Cyrl-RS"/>
        </w:rPr>
        <w:tab/>
        <w:t>Члан 6. Уредбе. Доступно на: https://www.pravno-informacioni-sistem.rs/SlGlasnikPortal/eli/rep/sgrs/vlada/uredba/2019/8/9/reg,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591 Доступно на: https://media.srbija.gov.rs/medsrp/dokumenti/nacionalna_strategija_i_akcioni_plan.pdf, приступ 11.6.2021.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592 Доступно на: http://javnerasprave.euprava.gov.rs/javna-rasprava/289, приступ 5.7.2021.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593 Решење Владе 24 број 119-9273/2017 од 6.10.2017.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594</w:t>
      </w:r>
      <w:r w:rsidRPr="00EF008E">
        <w:rPr>
          <w:rFonts w:ascii="Arial" w:hAnsi="Arial" w:cs="Arial"/>
          <w:i/>
          <w:color w:val="000000"/>
          <w:sz w:val="22"/>
          <w:szCs w:val="22"/>
          <w:lang w:val="sr-Cyrl-RS"/>
        </w:rPr>
        <w:tab/>
        <w:t>Доступно на: https://scindeks-clanci.ceon.rs/data/pdf/0409-2953/2020/0409-29532003124R.pdf,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595 Према званичним подацима, до октобра 2020. године у Србији је идентификовано 48 жртава трговине људима, међу којима и 15 девојчица и осам дечака, који су били жртве сексуалне експлоатације и принудних бракова, принуђени на просјачење или вршење кривичних дела. Пискулидис, представница Астре у интервју који је дала у јануару месецу ове године, између осталог, даје оцену како је пандемија </w:t>
      </w:r>
      <w:r>
        <w:rPr>
          <w:rFonts w:ascii="Arial" w:hAnsi="Arial" w:cs="Arial"/>
          <w:i/>
          <w:color w:val="000000"/>
          <w:sz w:val="22"/>
          <w:szCs w:val="22"/>
          <w:lang w:val="sr-Cyrl-RS"/>
        </w:rPr>
        <w:t>"</w:t>
      </w:r>
      <w:r w:rsidRPr="00EF008E">
        <w:rPr>
          <w:rFonts w:ascii="Arial" w:hAnsi="Arial" w:cs="Arial"/>
          <w:i/>
          <w:color w:val="000000"/>
          <w:sz w:val="22"/>
          <w:szCs w:val="22"/>
          <w:lang w:val="sr-Cyrl-RS"/>
        </w:rPr>
        <w:t>оголила систем</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 показала колико је фрагилан и спор, тако да су ОЦД које пружају подршку жртвама трговине људима у овом случају брже реаговале од система Радио 021(8.1.2021). Доступно на:https://www.021.rs/story/Info/Srbija/262993/Astra-Identifikovali-smo-31-zrtvu-trgovine-ljudima-tokom-2020-godine.html, приступ 13.6.2021.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596</w:t>
      </w:r>
      <w:r w:rsidRPr="00EF008E">
        <w:rPr>
          <w:rFonts w:ascii="Arial" w:hAnsi="Arial" w:cs="Arial"/>
          <w:i/>
          <w:color w:val="000000"/>
          <w:sz w:val="22"/>
          <w:szCs w:val="22"/>
          <w:lang w:val="sr-Cyrl-RS"/>
        </w:rPr>
        <w:tab/>
        <w:t>Доступно на: http://www.mup.gov.rs/wps/wcm/connect/cd2d35c1-10a0-4dae-b17e-4a376d55057a/Izve%C5%A1taj+AP+trgovina+ljudima+2019-2020.pdf?MOD=AJPERES&amp;CVID=nugibDG, приступ 13.9.2021.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597 Управо последње истраживање Род и ватрено оружје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Зашто је НАП 1325 тако важан, усмерено је на промовисање родно одговорног и транспарентног приступа одговору на безбедносне изазове везане за ватрено оружје у ЈЛСу Србији, Видети: The Public Policy Research Centre (CENTER)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Gender and Firearms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Why is NAP 1325 so important</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Final Report June 20, 2019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December 19, 2019. Доступно на: https://www.publicpolicy.rs/files/NAP%201325.pdf приступ 28.8.2021.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598 Центар за истраживање јавних политика, Искуства примене НАП 1325, доступно на: https://www.publicpolicy.rs/publikacije/8503f622ab8ce6981bfbd8f57bcd415357450725.pdf,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599 Национални акциони план за примену Резолуције 1325 СБ УН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Жене, мир и безбедност у РС (2017</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2020),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53/17.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600</w:t>
      </w:r>
      <w:r w:rsidRPr="00EF008E">
        <w:rPr>
          <w:rFonts w:ascii="Arial" w:hAnsi="Arial" w:cs="Arial"/>
          <w:i/>
          <w:color w:val="000000"/>
          <w:sz w:val="22"/>
          <w:szCs w:val="22"/>
          <w:lang w:val="sr-Cyrl-RS"/>
        </w:rPr>
        <w:tab/>
        <w:t>Овај документ је био усмерен на локални ниво, односно остваривање видљивих промена у свакодневном животу жена и мушкараца у локалним заједницама, како би се побољшала њихова лична безбедност и обезбедила</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већа укљученост жена у очувању мира и безбедности на нивоу локалне заједнице</w:t>
      </w:r>
      <w:r>
        <w:rPr>
          <w:rFonts w:ascii="Arial" w:hAnsi="Arial" w:cs="Arial"/>
          <w:i/>
          <w:color w:val="000000"/>
          <w:sz w:val="22"/>
          <w:szCs w:val="22"/>
          <w:lang w:val="sr-Cyrl-RS"/>
        </w:rPr>
        <w:t>"</w:t>
      </w:r>
      <w:r w:rsidRPr="00EF008E">
        <w:rPr>
          <w:rFonts w:ascii="Arial" w:hAnsi="Arial" w:cs="Arial"/>
          <w:i/>
          <w:color w:val="000000"/>
          <w:sz w:val="22"/>
          <w:szCs w:val="22"/>
          <w:lang w:val="sr-Cyrl-RS"/>
        </w:rPr>
        <w:t>. Документом је било предвиђено у укључивање ОЦД у спровођење активности. Доступно на: http://www.mod.gov.rs/multimedia/file/staticki_sadrzaj/dokumenta/akcioni_planovi/2017/Zakljucak%20Vlade%20o%20usvajanju%20NAP%20za%20primenu%20R_1325%20SB%20UN%20u%20R_Srbiji.pdf, приступ 30.5.2021.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601</w:t>
      </w:r>
      <w:r w:rsidRPr="00EF008E">
        <w:rPr>
          <w:rFonts w:ascii="Arial" w:hAnsi="Arial" w:cs="Arial"/>
          <w:i/>
          <w:color w:val="000000"/>
          <w:sz w:val="22"/>
          <w:szCs w:val="22"/>
          <w:lang w:val="sr-Cyrl-RS"/>
        </w:rPr>
        <w:tab/>
        <w:t>Доступно на: http://www.mod.gov.rs/multimedia/file/staticki_sadrzaj/dokumenta/akcioni_planovi/2021/Izvestaj%20za%20NAP%20za%202020%20Prilog.pdf, приступ 30.5.2021.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602 Резултати спровођења НАП у току 2020. године достављени су од надлежних организационих јединица МО и ВС и обрађени од стране Аналитичке групе МО и ВС за анализу спровођења НАП за примену Резолуције 1325 СБ УН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Жене, мир и безбедност у РС.</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603 Закључак 05 број 02-4504/2020, од 4. јуна 2020. године.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604 Нема јавно доступног документа; Реферисано на основу података које је доставило МО у току прикупљања информација за извештавање о Пекиншкој платформи за акцију.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605 Нема јавно доступног документа; Реферисано на основу података које је доставило МО у току прикупљања информација за извештавање о Пекиншкој платформи за акцију.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606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војни лист</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607</w:t>
      </w:r>
      <w:r w:rsidRPr="00EF008E">
        <w:rPr>
          <w:rFonts w:ascii="Arial" w:hAnsi="Arial" w:cs="Arial"/>
          <w:i/>
          <w:color w:val="000000"/>
          <w:sz w:val="22"/>
          <w:szCs w:val="22"/>
          <w:lang w:val="sr-Cyrl-RS"/>
        </w:rPr>
        <w:tab/>
        <w:t>Доступно на: https://www.slobodnaevropa.org/a/vojska-srbija-naoruzanje-novac/29637678.html приступ 16.6.2021.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608</w:t>
      </w:r>
      <w:r w:rsidRPr="00EF008E">
        <w:rPr>
          <w:rFonts w:ascii="Arial" w:hAnsi="Arial" w:cs="Arial"/>
          <w:i/>
          <w:color w:val="000000"/>
          <w:sz w:val="22"/>
          <w:szCs w:val="22"/>
          <w:lang w:val="sr-Cyrl-RS"/>
        </w:rPr>
        <w:tab/>
        <w:t>Насупрот војним издацима, планирана буџетска средства за спровођење програма жене, мир и безбедност за периоду 2017</w:t>
      </w:r>
      <w:r>
        <w:rPr>
          <w:rFonts w:ascii="Arial" w:hAnsi="Arial" w:cs="Arial"/>
          <w:i/>
          <w:color w:val="000000"/>
          <w:sz w:val="22"/>
          <w:szCs w:val="22"/>
          <w:lang w:val="sr-Cyrl-RS"/>
        </w:rPr>
        <w:t>-</w:t>
      </w:r>
      <w:r w:rsidRPr="00EF008E">
        <w:rPr>
          <w:rFonts w:ascii="Arial" w:hAnsi="Arial" w:cs="Arial"/>
          <w:i/>
          <w:color w:val="000000"/>
          <w:sz w:val="22"/>
          <w:szCs w:val="22"/>
          <w:lang w:val="sr-Cyrl-RS"/>
        </w:rPr>
        <w:t>2020. износе 2.480.000,00 динара, али финансијска средства још увек нису коришћена за спровођење плана, нити су предвиђена финансијска средстава довољна да би се план у целости спровео. Стога је узета у обзир донаторска подршка, као и сарадња са ОЦД у циљу спровођења плана. У периоду од 2017. до 2020. спровођење програма жене, мир и безбедност су највише финансирале донаторске организације (нпр. Мисија ОЕБС у Србији, UNWomen и UNDP, Kvinna till Kvinna, Амбасада Краљевине Норвешке, Амбасада САД, Краљевине Холандије, Влада Краљевине Норвешке, НАТО и др.) самостално или кроз пројекте ОЦД. Доступно на: http://www.parlament.gov.rs/upload/archive/files/cir/pdf/zakoni/2019/BUDZET%202020.pdf, приступ 16.6.2021.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609 Циљ Пројекта </w:t>
      </w:r>
      <w:r>
        <w:rPr>
          <w:rFonts w:ascii="Arial" w:hAnsi="Arial" w:cs="Arial"/>
          <w:i/>
          <w:color w:val="000000"/>
          <w:sz w:val="22"/>
          <w:szCs w:val="22"/>
          <w:lang w:val="sr-Cyrl-RS"/>
        </w:rPr>
        <w:t>"</w:t>
      </w:r>
      <w:r w:rsidRPr="00EF008E">
        <w:rPr>
          <w:rFonts w:ascii="Arial" w:hAnsi="Arial" w:cs="Arial"/>
          <w:i/>
          <w:color w:val="000000"/>
          <w:sz w:val="22"/>
          <w:szCs w:val="22"/>
          <w:lang w:val="sr-Cyrl-RS"/>
        </w:rPr>
        <w:t>Развијање родне агенде у МУП-у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је прелазак са ad hoc приступа родним питањима на конкретну, практичну и мерљиву примену политике за родну равноправност, уклањањем стварних и формалних препрека за веће учешће и задржавање жена на полицијским пословима и руководећим положајима, не само као основну претпоставку за спровођење политике једнаких могућности, већ и развој полиције која препознаје и на адекватан начин одговара на различите безбедносне изазове у друштву. Фокусиран је на стварање формалних и фактичких предуслова за институционалну интеграцију родне равноправности у све интерне процесе, структуре и функције у полицији, посебно у систему управљања људским ресурсима, препознавањем мера које треба предузети да би се жене задржале у полицијском раду и уклониле постојеће препреке за њихов рад и напредак унутар полиције.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610 У току рада на пројекту развијене су и усвојене Смернице за спровођење мера за постизање родне равноправности у МУП кроз систем управљања људским ресурсима, а мере су интегрисане у све функције управљања људским ресурсима са индикаторима за праћење реализације и постигнутог утицаја; израђен је Програм обуке руководилаца и запослених о интегрисању родне перспективе у рад полиције и обучени тренери унутар организације полиције који ће ову обуку спроводити у оквиру едукације у МУП; донето је Упутство са смерницама за превенцију и заштиту од родно засноване дискриминације и дискриминације по другим личним својствима у МУП; припремљен је Приручник о поступању у случајевима родно засноване дискриминације и дискриминације по другим личним својствима у МУП; усвојен је Програм обуке медијатора, као један од кључних механизама у поступку по пријавама за дискриминацију у оквиру МУП; реализована обука једног броја именованих медијатора у МУП; створене су организационе и нормативне претпоставке за ефикасну превенцију и одговор на случајеве родно засноване дискриминације и дискриминације по другим личним својствима у МУП и полицији; у неколико циклуса организоване су обуке руководилаца високог нивоа руковођења и др.</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611 Рађено је на подизању капацитета чланица Мреже како би могле ефикасно да комуницирају циљеве и вредности Мреже кроз полицијску организацију и промовишу жене у полицији, реализоване су и бројне промотивне активности и обезбеђен је простор и средства за рад Мреже.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612 Видети Посебан извештај Заштитника грађана </w:t>
      </w:r>
      <w:r>
        <w:rPr>
          <w:rFonts w:ascii="Arial" w:hAnsi="Arial" w:cs="Arial"/>
          <w:i/>
          <w:color w:val="000000"/>
          <w:sz w:val="22"/>
          <w:szCs w:val="22"/>
          <w:lang w:val="sr-Cyrl-RS"/>
        </w:rPr>
        <w:t>"</w:t>
      </w:r>
      <w:r w:rsidRPr="00EF008E">
        <w:rPr>
          <w:rFonts w:ascii="Arial" w:hAnsi="Arial" w:cs="Arial"/>
          <w:i/>
          <w:color w:val="000000"/>
          <w:sz w:val="22"/>
          <w:szCs w:val="22"/>
          <w:lang w:val="sr-Cyrl-RS"/>
        </w:rPr>
        <w:t>Заступљеност жена на местима одлучивања и позиција и активности локалних механизама за родну равноправност у јединицама локалне самоуправе у Србији.</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Доступно на: https://www.ombudsman.rs/index.php/izvestaji/posebnii-izvestaji/5901-p-s-b-n-izv-sh-z-sh-i-ni-gr-d-n-z-s-uplj-n-s-z-n-n-s-i-dluciv-nj-i-p-zici-i-ivn-s-i-l-lnih-h-niz-z-r-dnu-r-vn-pr-vn-s-u-dinic-l-l-n-s-upr-v-u-srbi-i приступ 16.6.2021.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613</w:t>
      </w:r>
      <w:r w:rsidRPr="00EF008E">
        <w:rPr>
          <w:rFonts w:ascii="Arial" w:hAnsi="Arial" w:cs="Arial"/>
          <w:i/>
          <w:color w:val="000000"/>
          <w:sz w:val="22"/>
          <w:szCs w:val="22"/>
          <w:lang w:val="sr-Cyrl-RS"/>
        </w:rPr>
        <w:tab/>
        <w:t>Публикован 2015. године. Доступно на: https://www.osce.org/files/f/documents/a/0/217011.pdf, приступ 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614</w:t>
      </w:r>
      <w:r w:rsidRPr="00EF008E">
        <w:rPr>
          <w:rFonts w:ascii="Arial" w:hAnsi="Arial" w:cs="Arial"/>
          <w:i/>
          <w:color w:val="000000"/>
          <w:sz w:val="22"/>
          <w:szCs w:val="22"/>
          <w:lang w:val="sr-Cyrl-RS"/>
        </w:rPr>
        <w:tab/>
        <w:t>Више: Извештај Помирење из женске перспективе: ка нормализацији односа Србије и Косова, који су припремили Удружење жена Пешчаник, из Крушевца и Асоцијација жена Митровице за људска права, из Косовске Митровице, а који представља део пројекта Жене за мир и безбедност: ка добросуседским односима Србије и Косова, подржан од стране ЕУ и шведске фондације Квинна тилл Квинна, доступно на: https://udruzenjepescanik.org/izvestaji/pomirenje-iz-zenske-perspektive-ka-normalizaciji-odnosa-srbije-i-kosova/#_Toc61949668, приступ 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615 Доступно на: https://uploads-ssl.webflow.com/5e9038a5fc30d378d256622b/5f8dac20b5dfb27e678f8991_Monitoring-izvestaj-.-Delovanje-jedinica-lokalne-samouprave-tokom-vanrednog-stanja.pdf приступ 11.6.2021.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616</w:t>
      </w:r>
      <w:r w:rsidRPr="00EF008E">
        <w:rPr>
          <w:rFonts w:ascii="Arial" w:hAnsi="Arial" w:cs="Arial"/>
          <w:i/>
          <w:color w:val="000000"/>
          <w:sz w:val="22"/>
          <w:szCs w:val="22"/>
          <w:lang w:val="sr-Cyrl-RS"/>
        </w:rPr>
        <w:tab/>
        <w:t>Доступно на: http://www.mod.gov.rs/multimedia/file/staticki_sadrzaj/dokumenta/akcioni_planovi/2021/Izvestaj%20za%20NAP%20za%202020%20Prilog.pdf,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617 Независни мониторинг преговора Београда и Приштине резултат је сарадње Организације жена (Косовске) Митровице за људска права и Удружења жена Пешчаник из Крушевца на повећању улоге жена у процесу Европских интеграција и посебно, преговорима између Београда и Приштине. Удружење жена Пешчаник, </w:t>
      </w:r>
      <w:r>
        <w:rPr>
          <w:rFonts w:ascii="Arial" w:hAnsi="Arial" w:cs="Arial"/>
          <w:i/>
          <w:color w:val="000000"/>
          <w:sz w:val="22"/>
          <w:szCs w:val="22"/>
          <w:lang w:val="sr-Cyrl-RS"/>
        </w:rPr>
        <w:t>"</w:t>
      </w:r>
      <w:r w:rsidRPr="00EF008E">
        <w:rPr>
          <w:rFonts w:ascii="Arial" w:hAnsi="Arial" w:cs="Arial"/>
          <w:i/>
          <w:color w:val="000000"/>
          <w:sz w:val="22"/>
          <w:szCs w:val="22"/>
          <w:lang w:val="sr-Cyrl-RS"/>
        </w:rPr>
        <w:t>Преговори Београда и Приштине из женске перспективе</w:t>
      </w:r>
      <w:r>
        <w:rPr>
          <w:rFonts w:ascii="Arial" w:hAnsi="Arial" w:cs="Arial"/>
          <w:i/>
          <w:color w:val="000000"/>
          <w:sz w:val="22"/>
          <w:szCs w:val="22"/>
          <w:lang w:val="sr-Cyrl-RS"/>
        </w:rPr>
        <w:t>"</w:t>
      </w:r>
      <w:r w:rsidRPr="00EF008E">
        <w:rPr>
          <w:rFonts w:ascii="Arial" w:hAnsi="Arial" w:cs="Arial"/>
          <w:i/>
          <w:color w:val="000000"/>
          <w:sz w:val="22"/>
          <w:szCs w:val="22"/>
          <w:lang w:val="sr-Cyrl-RS"/>
        </w:rPr>
        <w:t>, 28.3.2018. доступно на: https://udruzenjepescanik.org/aktuelnosti/688-pregovori-beograda-i-pristine-iz-zenske-perspektive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618 У независном мониторингу се наводи да </w:t>
      </w:r>
      <w:r>
        <w:rPr>
          <w:rFonts w:ascii="Arial" w:hAnsi="Arial" w:cs="Arial"/>
          <w:i/>
          <w:color w:val="000000"/>
          <w:sz w:val="22"/>
          <w:szCs w:val="22"/>
          <w:lang w:val="sr-Cyrl-RS"/>
        </w:rPr>
        <w:t>"</w:t>
      </w:r>
      <w:r w:rsidRPr="00EF008E">
        <w:rPr>
          <w:rFonts w:ascii="Arial" w:hAnsi="Arial" w:cs="Arial"/>
          <w:i/>
          <w:color w:val="000000"/>
          <w:sz w:val="22"/>
          <w:szCs w:val="22"/>
          <w:lang w:val="sr-Cyrl-RS"/>
        </w:rPr>
        <w:t>чак и када женске организације самоиницијативно спроводе активности усмерене у правцу помирења, представници јавних власти не желе да у њима учествују, а у неким случајевима чак и активно раде на томе да спрече да до разговора Српкиња и Албанки уопште дође</w:t>
      </w:r>
      <w:r>
        <w:rPr>
          <w:rFonts w:ascii="Arial" w:hAnsi="Arial" w:cs="Arial"/>
          <w:i/>
          <w:color w:val="000000"/>
          <w:sz w:val="22"/>
          <w:szCs w:val="22"/>
          <w:lang w:val="sr-Cyrl-RS"/>
        </w:rPr>
        <w:t>"</w:t>
      </w:r>
      <w:r w:rsidRPr="00EF008E">
        <w:rPr>
          <w:rFonts w:ascii="Arial" w:hAnsi="Arial" w:cs="Arial"/>
          <w:i/>
          <w:color w:val="000000"/>
          <w:sz w:val="22"/>
          <w:szCs w:val="22"/>
          <w:lang w:val="sr-Cyrl-RS"/>
        </w:rPr>
        <w:t>,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619 Ибид.</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620</w:t>
      </w:r>
      <w:r w:rsidRPr="00EF008E">
        <w:rPr>
          <w:rFonts w:ascii="Arial" w:hAnsi="Arial" w:cs="Arial"/>
          <w:i/>
          <w:color w:val="000000"/>
          <w:sz w:val="22"/>
          <w:szCs w:val="22"/>
          <w:lang w:val="sr-Cyrl-RS"/>
        </w:rPr>
        <w:tab/>
        <w:t>Доступно на: https://rc.gradjanske.org/kako-mediji-izvestavaju-o-nasilju-prema-zenama/ приступ 26.5.2021.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621</w:t>
      </w:r>
      <w:r w:rsidRPr="00EF008E">
        <w:rPr>
          <w:rFonts w:ascii="Arial" w:hAnsi="Arial" w:cs="Arial"/>
          <w:i/>
          <w:color w:val="000000"/>
          <w:sz w:val="22"/>
          <w:szCs w:val="22"/>
          <w:lang w:val="sr-Cyrl-RS"/>
        </w:rPr>
        <w:tab/>
        <w:t>Доступно на: https://www.danas.rs/drustvo/pasalic-zabrinjavajuci-stepen-mrznje-kojoj-su-zene-u-javnosti-izlozene/ приступ 26.5.2021.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622</w:t>
      </w:r>
      <w:r w:rsidRPr="00EF008E">
        <w:rPr>
          <w:rFonts w:ascii="Arial" w:hAnsi="Arial" w:cs="Arial"/>
          <w:i/>
          <w:color w:val="000000"/>
          <w:sz w:val="22"/>
          <w:szCs w:val="22"/>
          <w:lang w:val="sr-Cyrl-RS"/>
        </w:rPr>
        <w:tab/>
        <w:t>Доступно на: https://www.021.rs/story/Info/Biznis-i-ekonomija/132358/Recenice-koje-mozda-slusate-svaki-dan-a-koje-su-mobing.html, приступ 30.5.2021.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623 Истраживање је спровео ОЕБС (2018). Доступно на: https://www.osce.org/sr/secretariat/419756,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624 Ибид.</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625</w:t>
      </w:r>
      <w:r w:rsidRPr="00EF008E">
        <w:rPr>
          <w:rFonts w:ascii="Arial" w:hAnsi="Arial" w:cs="Arial"/>
          <w:i/>
          <w:color w:val="000000"/>
          <w:sz w:val="22"/>
          <w:szCs w:val="22"/>
          <w:lang w:val="sr-Cyrl-RS"/>
        </w:rPr>
        <w:tab/>
        <w:t>Доступно на: https://www.paragraf.rs/propisi/zakon_o_sprecavanju_nasilja_u_porodici.html, приступ 20.5.2021.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626 Доступно на: https://www.kpu.edu.rs/cms/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627</w:t>
      </w:r>
      <w:r w:rsidRPr="00EF008E">
        <w:rPr>
          <w:rFonts w:ascii="Arial" w:hAnsi="Arial" w:cs="Arial"/>
          <w:i/>
          <w:color w:val="000000"/>
          <w:sz w:val="22"/>
          <w:szCs w:val="22"/>
          <w:lang w:val="sr-Cyrl-RS"/>
        </w:rPr>
        <w:tab/>
        <w:t>Доступно на: https://pars.rs/sr/tags/sprecavanje-nasilja-u-porodici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628 Видети Посебан извештај Заштитника грађана о раду Група за координацију и сарадњу са подручја града Београда, 2020, доступно на: https://www.ombudsman.rs/index.php/izvestaji/posebnii-izvestaji/6804-p-s-b-n-izv-sh-z-sh-i-ni-gr-d-n-r-du-grup-z-rdin-ci-u-i-s-r-dnju-n-p-druc-u-gr-d-b-gr-d приступ: 13.9.2021.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629 Члан 17. није адекватно сагледао специфичне потребе Ромкиња које су изложене породичном насиљу. Како Ромкиње живе у проширеним породицама са родитељима насилника, у случају изрицања хитне мере оне буду изложене додатној тортури и насиљу од стране породице насилника и приморане да повуку кривичне пријаве за насиље у породици.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630 Ибид.</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631</w:t>
      </w:r>
      <w:r w:rsidRPr="00EF008E">
        <w:rPr>
          <w:rFonts w:ascii="Arial" w:hAnsi="Arial" w:cs="Arial"/>
          <w:i/>
          <w:color w:val="000000"/>
          <w:sz w:val="22"/>
          <w:szCs w:val="22"/>
          <w:lang w:val="sr-Cyrl-RS"/>
        </w:rPr>
        <w:tab/>
        <w:t>Дoступно на: https://www.paragraf.rs/izmene_i_dopune/241116-zakon_o_izmenama_i_dopunama_krivicnog_zakonika.html,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632 Доступно на: https://www.paragraf.rs/dnevne-vesti/140916/140916-vest10.html приступ 13.6.2021.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633 Доступно на: https://www.paragraf.rs/propisi/zakon-o-azilu-i-privremenoj-zastiti.html приступ 13.6.2021.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634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52/01.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635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52/01.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636 Члан 6. став 1. тач. 10, 11. и 12.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637 Члан 6. став 1. тач. 13, 15. и 16.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638</w:t>
      </w:r>
      <w:r w:rsidRPr="00EF008E">
        <w:rPr>
          <w:rFonts w:ascii="Arial" w:hAnsi="Arial" w:cs="Arial"/>
          <w:i/>
          <w:color w:val="000000"/>
          <w:sz w:val="22"/>
          <w:szCs w:val="22"/>
          <w:lang w:val="sr-Cyrl-RS"/>
        </w:rPr>
        <w:tab/>
        <w:t>Доступно на: https://www.danas.rs/drustvo/mreza-zene-protiv-nasilja-od-pocetka-2020-ubijeno-sest-zena-brojke-mogu-biti-vece/ приступ 23.5.2021.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639</w:t>
      </w:r>
      <w:r w:rsidRPr="00EF008E">
        <w:rPr>
          <w:rFonts w:ascii="Arial" w:hAnsi="Arial" w:cs="Arial"/>
          <w:i/>
          <w:color w:val="000000"/>
          <w:sz w:val="22"/>
          <w:szCs w:val="22"/>
          <w:lang w:val="sr-Cyrl-RS"/>
        </w:rPr>
        <w:tab/>
        <w:t>Доступно на: https://publikacije.stat.gov.rs/G2021/Pdf/G20213009.pdf, приступ 13.9.2021.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640</w:t>
      </w:r>
      <w:r w:rsidRPr="00EF008E">
        <w:rPr>
          <w:rFonts w:ascii="Arial" w:hAnsi="Arial" w:cs="Arial"/>
          <w:i/>
          <w:color w:val="000000"/>
          <w:sz w:val="22"/>
          <w:szCs w:val="22"/>
          <w:lang w:val="sr-Cyrl-RS"/>
        </w:rPr>
        <w:tab/>
        <w:t>Доступно на: https://www.zeneprotivnasilja.net/femicid-u-srbiji#2010-godina, приступ 17.6.2021.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641 Ибид.</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642</w:t>
      </w:r>
      <w:r w:rsidRPr="00EF008E">
        <w:rPr>
          <w:rFonts w:ascii="Arial" w:hAnsi="Arial" w:cs="Arial"/>
          <w:i/>
          <w:color w:val="000000"/>
          <w:sz w:val="22"/>
          <w:szCs w:val="22"/>
          <w:lang w:val="sr-Cyrl-RS"/>
        </w:rPr>
        <w:tab/>
        <w:t>Доступно на: http://www.femplatz.org/library/publications/2019-11_Femicid_monografija_Prva_publikacija_E_primerak.pdf приступ 17.6.2021.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643 У 2019. години завршен је поступак по кривичној пријави за 92 797 пунолетних учинилаца кривичних дела, што је 0,1% мање него у 2018. години, док је правоснажно осуђено 28 112 пунолетних лица што је за 6% мање него у 2018. години. Кривична дела против брака и породице су међу најбројнијим кривичним делима за која су правоснажно осуђена п У Ревидирани АП за Поглавље 23, додат је као (нови) показатељ </w:t>
      </w:r>
      <w:r>
        <w:rPr>
          <w:rFonts w:ascii="Arial" w:hAnsi="Arial" w:cs="Arial"/>
          <w:i/>
          <w:color w:val="000000"/>
          <w:sz w:val="22"/>
          <w:szCs w:val="22"/>
          <w:lang w:val="sr-Cyrl-RS"/>
        </w:rPr>
        <w:t>"</w:t>
      </w:r>
      <w:r w:rsidRPr="00EF008E">
        <w:rPr>
          <w:rFonts w:ascii="Arial" w:hAnsi="Arial" w:cs="Arial"/>
          <w:i/>
          <w:color w:val="000000"/>
          <w:sz w:val="22"/>
          <w:szCs w:val="22"/>
          <w:lang w:val="sr-Cyrl-RS"/>
        </w:rPr>
        <w:t>јавно доступни квартални извештаји о спровођењу закона</w:t>
      </w:r>
      <w:r>
        <w:rPr>
          <w:rFonts w:ascii="Arial" w:hAnsi="Arial" w:cs="Arial"/>
          <w:i/>
          <w:color w:val="000000"/>
          <w:sz w:val="22"/>
          <w:szCs w:val="22"/>
          <w:lang w:val="sr-Cyrl-RS"/>
        </w:rPr>
        <w:t>"</w:t>
      </w:r>
      <w:r w:rsidRPr="00EF008E">
        <w:rPr>
          <w:rFonts w:ascii="Arial" w:hAnsi="Arial" w:cs="Arial"/>
          <w:i/>
          <w:color w:val="000000"/>
          <w:sz w:val="22"/>
          <w:szCs w:val="22"/>
          <w:lang w:val="sr-Cyrl-RS"/>
        </w:rPr>
        <w:t>, а АЖЦ наставља са независним извештавањем о праћењу примене овог закона.643 пунолетна лица 14,8%. Доступно на: https://www.stat.gov.rs/sr-latn/oblasti/pravosudje/ приступ 17.6.2021.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644 Божанић, Д. Род и малокалибарско оружје у Србији: Кључне чињенице, UNDP SEESAC, 2019, str. 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645 Ибид.</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646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20/15, 10/19 и 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647 Независни извештај о локализацији НАП-а 1325 у Србији сачињен у оквиру пројекта </w:t>
      </w:r>
      <w:r>
        <w:rPr>
          <w:rFonts w:ascii="Arial" w:hAnsi="Arial" w:cs="Arial"/>
          <w:i/>
          <w:color w:val="000000"/>
          <w:sz w:val="22"/>
          <w:szCs w:val="22"/>
          <w:lang w:val="sr-Cyrl-RS"/>
        </w:rPr>
        <w:t>"</w:t>
      </w:r>
      <w:r w:rsidRPr="00EF008E">
        <w:rPr>
          <w:rFonts w:ascii="Arial" w:hAnsi="Arial" w:cs="Arial"/>
          <w:i/>
          <w:color w:val="000000"/>
          <w:sz w:val="22"/>
          <w:szCs w:val="22"/>
          <w:lang w:val="sr-Cyrl-RS"/>
        </w:rPr>
        <w:t>подршка учешћу цивилног друштва у имплементацији и праћењу НАП за Резолуцију СБУН 1325 (2017</w:t>
      </w:r>
      <w:r>
        <w:rPr>
          <w:rFonts w:ascii="Arial" w:hAnsi="Arial" w:cs="Arial"/>
          <w:i/>
          <w:color w:val="000000"/>
          <w:sz w:val="22"/>
          <w:szCs w:val="22"/>
          <w:lang w:val="sr-Cyrl-RS"/>
        </w:rPr>
        <w:t>-</w:t>
      </w:r>
      <w:r w:rsidRPr="00EF008E">
        <w:rPr>
          <w:rFonts w:ascii="Arial" w:hAnsi="Arial" w:cs="Arial"/>
          <w:i/>
          <w:color w:val="000000"/>
          <w:sz w:val="22"/>
          <w:szCs w:val="22"/>
          <w:lang w:val="sr-Cyrl-RS"/>
        </w:rPr>
        <w:t>2020) на локалном нивоу</w:t>
      </w:r>
      <w:r>
        <w:rPr>
          <w:rFonts w:ascii="Arial" w:hAnsi="Arial" w:cs="Arial"/>
          <w:i/>
          <w:color w:val="000000"/>
          <w:sz w:val="22"/>
          <w:szCs w:val="22"/>
          <w:lang w:val="sr-Cyrl-RS"/>
        </w:rPr>
        <w:t>"</w:t>
      </w:r>
      <w:r w:rsidRPr="00EF008E">
        <w:rPr>
          <w:rFonts w:ascii="Arial" w:hAnsi="Arial" w:cs="Arial"/>
          <w:i/>
          <w:color w:val="000000"/>
          <w:sz w:val="22"/>
          <w:szCs w:val="22"/>
          <w:lang w:val="sr-Cyrl-RS"/>
        </w:rPr>
        <w:t>, (2018</w:t>
      </w:r>
      <w:r>
        <w:rPr>
          <w:rFonts w:ascii="Arial" w:hAnsi="Arial" w:cs="Arial"/>
          <w:i/>
          <w:color w:val="000000"/>
          <w:sz w:val="22"/>
          <w:szCs w:val="22"/>
          <w:lang w:val="sr-Cyrl-RS"/>
        </w:rPr>
        <w:t>-</w:t>
      </w:r>
      <w:r w:rsidRPr="00EF008E">
        <w:rPr>
          <w:rFonts w:ascii="Arial" w:hAnsi="Arial" w:cs="Arial"/>
          <w:i/>
          <w:color w:val="000000"/>
          <w:sz w:val="22"/>
          <w:szCs w:val="22"/>
          <w:lang w:val="sr-Cyrl-RS"/>
        </w:rPr>
        <w:t>2019. године), Центар за подршку женама, уз подршку мисије ОEBS у Србији, припремила Бјелош, М.</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648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18/20.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649 Према стручном мишљењу Фонда за хуманитарно право, овај нацрт Закона је дискриминаторан у делу у којем нацрт прописује да би жртва остварила статус цивилног инвалида рата или члана породице цивилне жртве рата, потребно је да истовремено испуни неколико услова: да је држављанин Србије, да има телесно оштећење од 50%, да је повреду претрпела од стране непријатеља током рата или оружаног сукоба, као и да се та повреда догодила на територији Србије. Овако предвиђено законско решење велики број жртава онемогућава да остваре своја права. Тако жртве сексуалног насиља не могу остварити статус цивилног инвалида рата, јер сексуално насиље најчешће не доводи до телесних, већ до психичких последица које Нацрт закона не препознаје.</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5.2.4. Политички живот и учешће жена у одлучивању о јавним пословима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Родни јаз и даље је присутан у политичком животу, посебно у политичким странкама, приступу руководећим местима у институцијама, јавним установама, највишим позицијама у ЈЛС и месним заједницама. Стереотипи и предрасуде и даље постоје што доводи до тога да се политички ангажман жена редукује на области и питања које се традиционално сматрају женским питањима. Равноправно учешће жена у политичком и јавном животу од суштинске је важности за постизање ЦОР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Агенде 2030, посебно циља 5. Иако је родни јаз у овој области смањен, а ангажовање жена у политичком животу повећано посебно њихова заступљеност у скупштинама на националном, покрајинском и локалном нивоу</w:t>
      </w:r>
      <w:r w:rsidRPr="00EF008E">
        <w:rPr>
          <w:rFonts w:ascii="Arial" w:hAnsi="Arial" w:cs="Arial"/>
          <w:color w:val="000000"/>
          <w:sz w:val="22"/>
          <w:szCs w:val="22"/>
          <w:vertAlign w:val="superscript"/>
          <w:lang w:val="sr-Cyrl-RS"/>
        </w:rPr>
        <w:t>650</w:t>
      </w:r>
      <w:r w:rsidRPr="00EF008E">
        <w:rPr>
          <w:rFonts w:ascii="Arial" w:hAnsi="Arial" w:cs="Arial"/>
          <w:color w:val="000000"/>
          <w:sz w:val="22"/>
          <w:szCs w:val="22"/>
          <w:lang w:val="sr-Cyrl-RS"/>
        </w:rPr>
        <w:t>, још увек је мање жена међу доносиоцима одлука (УН: индикатор 5.5.1). Највећи родни јаз је на највишим позицијама у ЈЛС и месним заједницама.</w:t>
      </w:r>
      <w:r w:rsidRPr="00EF008E">
        <w:rPr>
          <w:rFonts w:ascii="Arial" w:hAnsi="Arial" w:cs="Arial"/>
          <w:color w:val="000000"/>
          <w:sz w:val="22"/>
          <w:szCs w:val="22"/>
          <w:vertAlign w:val="superscript"/>
          <w:lang w:val="sr-Cyrl-RS"/>
        </w:rPr>
        <w:t>651</w:t>
      </w:r>
      <w:r w:rsidRPr="00EF008E">
        <w:rPr>
          <w:rFonts w:ascii="Arial" w:hAnsi="Arial" w:cs="Arial"/>
          <w:color w:val="000000"/>
          <w:sz w:val="22"/>
          <w:szCs w:val="22"/>
          <w:lang w:val="sr-Cyrl-RS"/>
        </w:rPr>
        <w:t xml:space="preserve"> Жене су мање заступљене на местима председника општина, амбасадора, као и на руководећим положајима у јавним предузећима.</w:t>
      </w:r>
      <w:r w:rsidRPr="00EF008E">
        <w:rPr>
          <w:rFonts w:ascii="Arial" w:hAnsi="Arial" w:cs="Arial"/>
          <w:color w:val="000000"/>
          <w:sz w:val="22"/>
          <w:szCs w:val="22"/>
          <w:vertAlign w:val="superscript"/>
          <w:lang w:val="sr-Cyrl-RS"/>
        </w:rPr>
        <w:t>652</w:t>
      </w:r>
      <w:r w:rsidRPr="00EF008E">
        <w:rPr>
          <w:rFonts w:ascii="Arial" w:hAnsi="Arial" w:cs="Arial"/>
          <w:color w:val="000000"/>
          <w:sz w:val="22"/>
          <w:szCs w:val="22"/>
          <w:lang w:val="sr-Cyrl-RS"/>
        </w:rPr>
        <w:t xml:space="preserve"> Поред заступљености жена у органима јавне власти, једнако значајна је и: њихова заступљеност на руководећим местима у тим органима; процедуре које омогућавају утицај на одлучивање о јавним пословима; као и превазилажење стереотипа који политички ангажман жена редукују на само области друштвеног живота које се традиционално сматрају женским пословима (породица, социјална питања, брига о деци, старима, особама са инвалидитетом и понекада здравствена заштита, образовање и култура). Национална стратегија за родну равноправност је посебно значајан инструмент за унапређење родне равноправности и у овој области.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Заступљеност жена у скупштинама је повећана, али не и на руководећим местима. У Републици Србији су почетком 2020. године усвојене измене Закона о избору народних посланика</w:t>
      </w:r>
      <w:r w:rsidRPr="00EF008E">
        <w:rPr>
          <w:rFonts w:ascii="Arial" w:hAnsi="Arial" w:cs="Arial"/>
          <w:color w:val="000000"/>
          <w:sz w:val="22"/>
          <w:szCs w:val="22"/>
          <w:vertAlign w:val="superscript"/>
          <w:lang w:val="sr-Cyrl-RS"/>
        </w:rPr>
        <w:t>653</w:t>
      </w:r>
      <w:r w:rsidRPr="00EF008E">
        <w:rPr>
          <w:rFonts w:ascii="Arial" w:hAnsi="Arial" w:cs="Arial"/>
          <w:color w:val="000000"/>
          <w:sz w:val="22"/>
          <w:szCs w:val="22"/>
          <w:lang w:val="sr-Cyrl-RS"/>
        </w:rPr>
        <w:t>, Закона о локалним изборима</w:t>
      </w:r>
      <w:r w:rsidRPr="00EF008E">
        <w:rPr>
          <w:rFonts w:ascii="Arial" w:hAnsi="Arial" w:cs="Arial"/>
          <w:color w:val="000000"/>
          <w:sz w:val="22"/>
          <w:szCs w:val="22"/>
          <w:vertAlign w:val="superscript"/>
          <w:lang w:val="sr-Cyrl-RS"/>
        </w:rPr>
        <w:t>654</w:t>
      </w:r>
      <w:r w:rsidRPr="00EF008E">
        <w:rPr>
          <w:rFonts w:ascii="Arial" w:hAnsi="Arial" w:cs="Arial"/>
          <w:color w:val="000000"/>
          <w:sz w:val="22"/>
          <w:szCs w:val="22"/>
          <w:lang w:val="sr-Cyrl-RS"/>
        </w:rPr>
        <w:t>, као и Покрајинска скупштинска одлука о избору посланика у Скупштину АПВ</w:t>
      </w:r>
      <w:r w:rsidRPr="00EF008E">
        <w:rPr>
          <w:rFonts w:ascii="Arial" w:hAnsi="Arial" w:cs="Arial"/>
          <w:color w:val="000000"/>
          <w:sz w:val="22"/>
          <w:szCs w:val="22"/>
          <w:vertAlign w:val="superscript"/>
          <w:lang w:val="sr-Cyrl-RS"/>
        </w:rPr>
        <w:t>655</w:t>
      </w:r>
      <w:r w:rsidRPr="00EF008E">
        <w:rPr>
          <w:rFonts w:ascii="Arial" w:hAnsi="Arial" w:cs="Arial"/>
          <w:color w:val="000000"/>
          <w:sz w:val="22"/>
          <w:szCs w:val="22"/>
          <w:lang w:val="sr-Cyrl-RS"/>
        </w:rPr>
        <w:t xml:space="preserve"> којима су регулисане квоте за мање заступљени пол од 40% и резервисана места на изборним листама.</w:t>
      </w:r>
      <w:r w:rsidRPr="00EF008E">
        <w:rPr>
          <w:rFonts w:ascii="Arial" w:hAnsi="Arial" w:cs="Arial"/>
          <w:color w:val="000000"/>
          <w:sz w:val="22"/>
          <w:szCs w:val="22"/>
          <w:vertAlign w:val="superscript"/>
          <w:lang w:val="sr-Cyrl-RS"/>
        </w:rPr>
        <w:t>656</w:t>
      </w:r>
      <w:r w:rsidRPr="00EF008E">
        <w:rPr>
          <w:rFonts w:ascii="Arial" w:hAnsi="Arial" w:cs="Arial"/>
          <w:color w:val="000000"/>
          <w:sz w:val="22"/>
          <w:szCs w:val="22"/>
          <w:lang w:val="sr-Cyrl-RS"/>
        </w:rPr>
        <w:t xml:space="preserve"> Парламентарни, локални и покрајински избори одржани су 21. јуна 2020. године. Актуелни сазив Народне скупштине</w:t>
      </w:r>
      <w:r w:rsidRPr="00EF008E">
        <w:rPr>
          <w:rFonts w:ascii="Arial" w:hAnsi="Arial" w:cs="Arial"/>
          <w:color w:val="000000"/>
          <w:sz w:val="22"/>
          <w:szCs w:val="22"/>
          <w:vertAlign w:val="superscript"/>
          <w:lang w:val="sr-Cyrl-RS"/>
        </w:rPr>
        <w:t>657</w:t>
      </w:r>
      <w:r w:rsidRPr="00EF008E">
        <w:rPr>
          <w:rFonts w:ascii="Arial" w:hAnsi="Arial" w:cs="Arial"/>
          <w:color w:val="000000"/>
          <w:sz w:val="22"/>
          <w:szCs w:val="22"/>
          <w:lang w:val="sr-Cyrl-RS"/>
        </w:rPr>
        <w:t xml:space="preserve"> чини 98 посланица (39,2%)</w:t>
      </w:r>
      <w:r w:rsidRPr="00EF008E">
        <w:rPr>
          <w:rFonts w:ascii="Arial" w:hAnsi="Arial" w:cs="Arial"/>
          <w:color w:val="000000"/>
          <w:sz w:val="22"/>
          <w:szCs w:val="22"/>
          <w:vertAlign w:val="superscript"/>
          <w:lang w:val="sr-Cyrl-RS"/>
        </w:rPr>
        <w:t>658</w:t>
      </w:r>
      <w:r w:rsidRPr="00EF008E">
        <w:rPr>
          <w:rFonts w:ascii="Arial" w:hAnsi="Arial" w:cs="Arial"/>
          <w:color w:val="000000"/>
          <w:sz w:val="22"/>
          <w:szCs w:val="22"/>
          <w:lang w:val="sr-Cyrl-RS"/>
        </w:rPr>
        <w:t xml:space="preserve"> и 152 посланика (60,2%). На челу Народне скупштине је председник. Народна скупштина има 20 одбора. Жене су на челу пет (25%)</w:t>
      </w:r>
      <w:r w:rsidRPr="00EF008E">
        <w:rPr>
          <w:rFonts w:ascii="Arial" w:hAnsi="Arial" w:cs="Arial"/>
          <w:color w:val="000000"/>
          <w:sz w:val="22"/>
          <w:szCs w:val="22"/>
          <w:vertAlign w:val="superscript"/>
          <w:lang w:val="sr-Cyrl-RS"/>
        </w:rPr>
        <w:t>659</w:t>
      </w:r>
      <w:r w:rsidRPr="00EF008E">
        <w:rPr>
          <w:rFonts w:ascii="Arial" w:hAnsi="Arial" w:cs="Arial"/>
          <w:color w:val="000000"/>
          <w:sz w:val="22"/>
          <w:szCs w:val="22"/>
          <w:lang w:val="sr-Cyrl-RS"/>
        </w:rPr>
        <w:t>, а мушкарци 15 (75%) одбора. Међу заменицима председника одбора је десет жена и девет мушкараца</w:t>
      </w:r>
      <w:r w:rsidRPr="00EF008E">
        <w:rPr>
          <w:rFonts w:ascii="Arial" w:hAnsi="Arial" w:cs="Arial"/>
          <w:color w:val="000000"/>
          <w:sz w:val="22"/>
          <w:szCs w:val="22"/>
          <w:vertAlign w:val="superscript"/>
          <w:lang w:val="sr-Cyrl-RS"/>
        </w:rPr>
        <w:t>660</w:t>
      </w:r>
      <w:r w:rsidRPr="00EF008E">
        <w:rPr>
          <w:rFonts w:ascii="Arial" w:hAnsi="Arial" w:cs="Arial"/>
          <w:color w:val="000000"/>
          <w:sz w:val="22"/>
          <w:szCs w:val="22"/>
          <w:lang w:val="sr-Cyrl-RS"/>
        </w:rPr>
        <w:t>, а међу секретарима одбора је чак 16 (80%) жена. У саставу одбора, жене чине већину у шест одбора</w:t>
      </w:r>
      <w:r w:rsidRPr="00EF008E">
        <w:rPr>
          <w:rFonts w:ascii="Arial" w:hAnsi="Arial" w:cs="Arial"/>
          <w:color w:val="000000"/>
          <w:sz w:val="22"/>
          <w:szCs w:val="22"/>
          <w:vertAlign w:val="superscript"/>
          <w:lang w:val="sr-Cyrl-RS"/>
        </w:rPr>
        <w:t>661</w:t>
      </w:r>
      <w:r w:rsidRPr="00EF008E">
        <w:rPr>
          <w:rFonts w:ascii="Arial" w:hAnsi="Arial" w:cs="Arial"/>
          <w:color w:val="000000"/>
          <w:sz w:val="22"/>
          <w:szCs w:val="22"/>
          <w:lang w:val="sr-Cyrl-RS"/>
        </w:rPr>
        <w:t>, од којих половина покрива области које се стереотипно повезују са женама, а мушкарци у одборима који покривају области које се стереотипно везују за мушкарце.</w:t>
      </w:r>
      <w:r w:rsidRPr="00EF008E">
        <w:rPr>
          <w:rFonts w:ascii="Arial" w:hAnsi="Arial" w:cs="Arial"/>
          <w:color w:val="000000"/>
          <w:sz w:val="22"/>
          <w:szCs w:val="22"/>
          <w:vertAlign w:val="superscript"/>
          <w:lang w:val="sr-Cyrl-RS"/>
        </w:rPr>
        <w:t>662</w:t>
      </w:r>
      <w:r w:rsidRPr="00EF008E">
        <w:rPr>
          <w:rFonts w:ascii="Arial" w:hAnsi="Arial" w:cs="Arial"/>
          <w:color w:val="000000"/>
          <w:sz w:val="22"/>
          <w:szCs w:val="22"/>
          <w:lang w:val="sr-Cyrl-RS"/>
        </w:rPr>
        <w:t xml:space="preserve"> У Народној скупштини постоје механизми РР. Заступљеност жена на местима председника одбора, састав радних тела и знатно већа заступљеност жена међу секретарима радних тела, показује да су и даље присутни родни стереотипи. Упркос повећању заступљености жена у скупштинама на свим нивоима, до које је дошло применом квоте од најмање 40% за мање заступљени пол, родни јаз је и даље присутан у политичком животу и институцијама јавне власти. Недавно усвојен ЗРР установљава квоту од 40% за мање заступљени пол</w:t>
      </w:r>
      <w:r w:rsidRPr="00EF008E">
        <w:rPr>
          <w:rFonts w:ascii="Arial" w:hAnsi="Arial" w:cs="Arial"/>
          <w:color w:val="000000"/>
          <w:sz w:val="22"/>
          <w:szCs w:val="22"/>
          <w:vertAlign w:val="superscript"/>
          <w:lang w:val="sr-Cyrl-RS"/>
        </w:rPr>
        <w:t>663</w:t>
      </w:r>
      <w:r w:rsidRPr="00EF008E">
        <w:rPr>
          <w:rFonts w:ascii="Arial" w:hAnsi="Arial" w:cs="Arial"/>
          <w:color w:val="000000"/>
          <w:sz w:val="22"/>
          <w:szCs w:val="22"/>
          <w:lang w:val="sr-Cyrl-RS"/>
        </w:rPr>
        <w:t xml:space="preserve"> и обавезује органе јавне власти да у органима управљања и надзора у којима није постигнута уравнотежена заступљеност полова примене квоту од најмање 40% за мање заступљени пол као посебну меру</w:t>
      </w:r>
      <w:r w:rsidRPr="00EF008E">
        <w:rPr>
          <w:rFonts w:ascii="Arial" w:hAnsi="Arial" w:cs="Arial"/>
          <w:color w:val="000000"/>
          <w:sz w:val="22"/>
          <w:szCs w:val="22"/>
          <w:vertAlign w:val="superscript"/>
          <w:lang w:val="sr-Cyrl-RS"/>
        </w:rPr>
        <w:t>664</w:t>
      </w:r>
      <w:r w:rsidRPr="00EF008E">
        <w:rPr>
          <w:rFonts w:ascii="Arial" w:hAnsi="Arial" w:cs="Arial"/>
          <w:color w:val="000000"/>
          <w:sz w:val="22"/>
          <w:szCs w:val="22"/>
          <w:lang w:val="sr-Cyrl-RS"/>
        </w:rPr>
        <w:t xml:space="preserve"> која треба да смањи родни јаз како би се достигла уравнотежена заступљеност полова и на руководећим положајима.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Заступљеност жена у органима извршне власти је повећана, али је родни јаз евидентан на руководећим позицијама, а родни стереотипи препознатљиви по родно неизбалансираном саставу ресора надлежних за области које се традиционално не сматрају женским пословима. На челу Владе је премијерка. Од пет потпредседника Владе две су жене (40%). Од укупно 23 ресора, 10 предводе министарке (43,4%)</w:t>
      </w:r>
      <w:r w:rsidRPr="00EF008E">
        <w:rPr>
          <w:rFonts w:ascii="Arial" w:hAnsi="Arial" w:cs="Arial"/>
          <w:color w:val="000000"/>
          <w:sz w:val="22"/>
          <w:szCs w:val="22"/>
          <w:vertAlign w:val="superscript"/>
          <w:lang w:val="sr-Cyrl-RS"/>
        </w:rPr>
        <w:t>665</w:t>
      </w:r>
      <w:r w:rsidRPr="00EF008E">
        <w:rPr>
          <w:rFonts w:ascii="Arial" w:hAnsi="Arial" w:cs="Arial"/>
          <w:color w:val="000000"/>
          <w:sz w:val="22"/>
          <w:szCs w:val="22"/>
          <w:lang w:val="sr-Cyrl-RS"/>
        </w:rPr>
        <w:t>, а међу државним секретарима, у 17 министарстава за које су подаци доступни, укупно је 60 жена, од којих су 18 (30%) на положају државне секретарке. Жене чине већину у Министарству грађевинарства, саобраћаја и инфраструктуре, а међу шест државних секретара, пет су жене (83,3%). У Министарству за људска и мањинска права и друштвени дијалог и Министарству државне управе и локалне самоуправе жене чине 1/3, а међу државним секретарима именована је и по једна жена. У шест министарстава за државне секретаре именовани су искључиво мушкарци.</w:t>
      </w:r>
      <w:r w:rsidRPr="00EF008E">
        <w:rPr>
          <w:rFonts w:ascii="Arial" w:hAnsi="Arial" w:cs="Arial"/>
          <w:color w:val="000000"/>
          <w:sz w:val="22"/>
          <w:szCs w:val="22"/>
          <w:vertAlign w:val="superscript"/>
          <w:lang w:val="sr-Cyrl-RS"/>
        </w:rPr>
        <w:t>666</w:t>
      </w:r>
      <w:r w:rsidRPr="00EF008E">
        <w:rPr>
          <w:rFonts w:ascii="Arial" w:hAnsi="Arial" w:cs="Arial"/>
          <w:color w:val="000000"/>
          <w:sz w:val="22"/>
          <w:szCs w:val="22"/>
          <w:lang w:val="sr-Cyrl-RS"/>
        </w:rPr>
        <w:t xml:space="preserve"> На местима секретара министарстава у 18 министарстава за које су подаци доступни, жене су заступљене са 83,3% (15 жена и 3 мушкарца).</w:t>
      </w:r>
      <w:r w:rsidRPr="00EF008E">
        <w:rPr>
          <w:rFonts w:ascii="Arial" w:hAnsi="Arial" w:cs="Arial"/>
          <w:color w:val="000000"/>
          <w:sz w:val="22"/>
          <w:szCs w:val="22"/>
          <w:vertAlign w:val="superscript"/>
          <w:lang w:val="sr-Cyrl-RS"/>
        </w:rPr>
        <w:t>667</w:t>
      </w:r>
      <w:r w:rsidRPr="00EF008E">
        <w:rPr>
          <w:rFonts w:ascii="Arial" w:hAnsi="Arial" w:cs="Arial"/>
          <w:color w:val="000000"/>
          <w:sz w:val="22"/>
          <w:szCs w:val="22"/>
          <w:lang w:val="sr-Cyrl-RS"/>
        </w:rPr>
        <w:t xml:space="preserve"> У државној администрацији на републичком нивоу запослено је 61% жена, администрацији АПВ 55,9% и у локалној администрацији 58% жена.</w:t>
      </w:r>
      <w:r w:rsidRPr="00EF008E">
        <w:rPr>
          <w:rFonts w:ascii="Arial" w:hAnsi="Arial" w:cs="Arial"/>
          <w:color w:val="000000"/>
          <w:sz w:val="22"/>
          <w:szCs w:val="22"/>
          <w:vertAlign w:val="superscript"/>
          <w:lang w:val="sr-Cyrl-RS"/>
        </w:rPr>
        <w:t>668</w:t>
      </w:r>
      <w:r w:rsidRPr="00EF008E">
        <w:rPr>
          <w:rFonts w:ascii="Arial" w:hAnsi="Arial" w:cs="Arial"/>
          <w:color w:val="000000"/>
          <w:sz w:val="22"/>
          <w:szCs w:val="22"/>
          <w:lang w:val="sr-Cyrl-RS"/>
        </w:rPr>
        <w:t xml:space="preserve"> Механизми за РР (савети, комисије) формирани су и у ЈЛС.</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Заступљеност жена у правосуђу. За разлику од законодавне и извршне власти у којима су жене још увек подзаступљене, међу судијама као и председницима судова преовлађују жене што је такође показатељ родног дисбаланса у овој области. У укупном броју судија 71,5% судија су жене.</w:t>
      </w:r>
      <w:r w:rsidRPr="00EF008E">
        <w:rPr>
          <w:rFonts w:ascii="Arial" w:hAnsi="Arial" w:cs="Arial"/>
          <w:color w:val="000000"/>
          <w:sz w:val="22"/>
          <w:szCs w:val="22"/>
          <w:vertAlign w:val="superscript"/>
          <w:lang w:val="sr-Cyrl-RS"/>
        </w:rPr>
        <w:t>669</w:t>
      </w:r>
      <w:r w:rsidRPr="00EF008E">
        <w:rPr>
          <w:rFonts w:ascii="Arial" w:hAnsi="Arial" w:cs="Arial"/>
          <w:color w:val="000000"/>
          <w:sz w:val="22"/>
          <w:szCs w:val="22"/>
          <w:lang w:val="sr-Cyrl-RS"/>
        </w:rPr>
        <w:t xml:space="preserve"> У Управном суду заступљеност жена је 85.7%, у апелационим судовима 77,4%, у прекршајним судовима 75,8%, у привредним судовима 75,2%, а у Врховном касационом суду 65,9%. Међу председницима судова опште и посебне надлежности је 58,2% жена, на челу Врховног касационог суда је жена, док су председници свих апелационих судова мушкарци.</w:t>
      </w:r>
      <w:r w:rsidRPr="00EF008E">
        <w:rPr>
          <w:rFonts w:ascii="Arial" w:hAnsi="Arial" w:cs="Arial"/>
          <w:color w:val="000000"/>
          <w:sz w:val="22"/>
          <w:szCs w:val="22"/>
          <w:vertAlign w:val="superscript"/>
          <w:lang w:val="sr-Cyrl-RS"/>
        </w:rPr>
        <w:t>670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Заступљеност жена у дипломатији. Од укупног броја запослених у Министарству спољних послова који имају дипломатска звања, жене су заступљене у сразмери од 56,53 %. Од укупно 71 шефа дипломатско-конзуларних представништава (амбасада, мисија при међународним организацијама и генералних конзулата), 22 су жене, што износи 30,98% (од укупно 50 амбасадора, 12 су жене; од укупно седам шефова мисија при међународним организацијама, четири су жене; од укупно 14 генералних конзула, шест су жене). Поред шефова ДКП који су именовани функционери, међу дипломатама који привремено руководе ДКП до именовања новог шефа ДКП, од укупно 19 отправника послова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пет су жене или 26,31%, док су, од укупно девет конзула жерана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седам су жене, односно 77,77%.</w:t>
      </w:r>
      <w:r w:rsidRPr="00EF008E">
        <w:rPr>
          <w:rFonts w:ascii="Arial" w:hAnsi="Arial" w:cs="Arial"/>
          <w:color w:val="000000"/>
          <w:sz w:val="22"/>
          <w:szCs w:val="22"/>
          <w:vertAlign w:val="superscript"/>
          <w:lang w:val="sr-Cyrl-RS"/>
        </w:rPr>
        <w:t>671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Заступљеност и учешће жена у политичким странкама. У политичким странкама као актерима политичког живота родни јаз опстаје, на унутрашњој демократизацији политичких странака мало се ради, а родна равноправност не сагледава се као чинилац унутрашње демократизације странке. Закон о политичким странкама</w:t>
      </w:r>
      <w:r w:rsidRPr="00EF008E">
        <w:rPr>
          <w:rFonts w:ascii="Arial" w:hAnsi="Arial" w:cs="Arial"/>
          <w:color w:val="000000"/>
          <w:sz w:val="22"/>
          <w:szCs w:val="22"/>
          <w:vertAlign w:val="superscript"/>
          <w:lang w:val="sr-Cyrl-RS"/>
        </w:rPr>
        <w:t>672</w:t>
      </w:r>
      <w:r w:rsidRPr="00EF008E">
        <w:rPr>
          <w:rFonts w:ascii="Arial" w:hAnsi="Arial" w:cs="Arial"/>
          <w:color w:val="000000"/>
          <w:sz w:val="22"/>
          <w:szCs w:val="22"/>
          <w:lang w:val="sr-Cyrl-RS"/>
        </w:rPr>
        <w:t>, Закон о финансирању политичких странака</w:t>
      </w:r>
      <w:r w:rsidRPr="00EF008E">
        <w:rPr>
          <w:rFonts w:ascii="Arial" w:hAnsi="Arial" w:cs="Arial"/>
          <w:color w:val="000000"/>
          <w:sz w:val="22"/>
          <w:szCs w:val="22"/>
          <w:vertAlign w:val="superscript"/>
          <w:lang w:val="sr-Cyrl-RS"/>
        </w:rPr>
        <w:t>673</w:t>
      </w:r>
      <w:r w:rsidRPr="00EF008E">
        <w:rPr>
          <w:rFonts w:ascii="Arial" w:hAnsi="Arial" w:cs="Arial"/>
          <w:color w:val="000000"/>
          <w:sz w:val="22"/>
          <w:szCs w:val="22"/>
          <w:lang w:val="sr-Cyrl-RS"/>
        </w:rPr>
        <w:t xml:space="preserve"> не садрже ни једну посебну меру која би допринела повећању заступљености жена у политичким странкама и њиховим органима. У организационој структури политичких странака углавном постоје облици деловања жена најчешће саветодавног карактера</w:t>
      </w:r>
      <w:r w:rsidRPr="00EF008E">
        <w:rPr>
          <w:rFonts w:ascii="Arial" w:hAnsi="Arial" w:cs="Arial"/>
          <w:color w:val="000000"/>
          <w:sz w:val="22"/>
          <w:szCs w:val="22"/>
          <w:vertAlign w:val="superscript"/>
          <w:lang w:val="sr-Cyrl-RS"/>
        </w:rPr>
        <w:t>674</w:t>
      </w:r>
      <w:r w:rsidRPr="00EF008E">
        <w:rPr>
          <w:rFonts w:ascii="Arial" w:hAnsi="Arial" w:cs="Arial"/>
          <w:color w:val="000000"/>
          <w:sz w:val="22"/>
          <w:szCs w:val="22"/>
          <w:lang w:val="sr-Cyrl-RS"/>
        </w:rPr>
        <w:t>, а председница или одређени број представница тела за родну равноправност у неким странкама је по положају чланица руководећих органа странке.</w:t>
      </w:r>
      <w:r w:rsidRPr="00EF008E">
        <w:rPr>
          <w:rFonts w:ascii="Arial" w:hAnsi="Arial" w:cs="Arial"/>
          <w:color w:val="000000"/>
          <w:sz w:val="22"/>
          <w:szCs w:val="22"/>
          <w:vertAlign w:val="superscript"/>
          <w:lang w:val="sr-Cyrl-RS"/>
        </w:rPr>
        <w:t>675</w:t>
      </w:r>
      <w:r w:rsidRPr="00EF008E">
        <w:rPr>
          <w:rFonts w:ascii="Arial" w:hAnsi="Arial" w:cs="Arial"/>
          <w:color w:val="000000"/>
          <w:sz w:val="22"/>
          <w:szCs w:val="22"/>
          <w:lang w:val="sr-Cyrl-RS"/>
        </w:rPr>
        <w:t xml:space="preserve"> Посебне мере за унапређење родне равноправности ретко су прописане статутом странке.</w:t>
      </w:r>
      <w:r w:rsidRPr="00EF008E">
        <w:rPr>
          <w:rFonts w:ascii="Arial" w:hAnsi="Arial" w:cs="Arial"/>
          <w:color w:val="000000"/>
          <w:sz w:val="22"/>
          <w:szCs w:val="22"/>
          <w:vertAlign w:val="superscript"/>
          <w:lang w:val="sr-Cyrl-RS"/>
        </w:rPr>
        <w:t>676</w:t>
      </w:r>
      <w:r w:rsidRPr="00EF008E">
        <w:rPr>
          <w:rFonts w:ascii="Arial" w:hAnsi="Arial" w:cs="Arial"/>
          <w:color w:val="000000"/>
          <w:sz w:val="22"/>
          <w:szCs w:val="22"/>
          <w:lang w:val="sr-Cyrl-RS"/>
        </w:rPr>
        <w:t xml:space="preserve"> Родна перспектива унутар политичких странака не прати се систематски</w:t>
      </w:r>
      <w:r w:rsidRPr="00EF008E">
        <w:rPr>
          <w:rFonts w:ascii="Arial" w:hAnsi="Arial" w:cs="Arial"/>
          <w:color w:val="000000"/>
          <w:sz w:val="22"/>
          <w:szCs w:val="22"/>
          <w:vertAlign w:val="superscript"/>
          <w:lang w:val="sr-Cyrl-RS"/>
        </w:rPr>
        <w:t>677</w:t>
      </w:r>
      <w:r w:rsidRPr="00EF008E">
        <w:rPr>
          <w:rFonts w:ascii="Arial" w:hAnsi="Arial" w:cs="Arial"/>
          <w:color w:val="000000"/>
          <w:sz w:val="22"/>
          <w:szCs w:val="22"/>
          <w:lang w:val="sr-Cyrl-RS"/>
        </w:rPr>
        <w:t>, подаци о чланству у политичким странкама и њиховим органима нису разврстани по полу, често су неажурни или недоступни на интернет страницама странака, недостају целовита истраживања родне перспективе у раду политичких странака.</w:t>
      </w:r>
      <w:r w:rsidRPr="00EF008E">
        <w:rPr>
          <w:rFonts w:ascii="Arial" w:hAnsi="Arial" w:cs="Arial"/>
          <w:color w:val="000000"/>
          <w:sz w:val="22"/>
          <w:szCs w:val="22"/>
          <w:vertAlign w:val="superscript"/>
          <w:lang w:val="sr-Cyrl-RS"/>
        </w:rPr>
        <w:t>678</w:t>
      </w:r>
      <w:r w:rsidRPr="00EF008E">
        <w:rPr>
          <w:rFonts w:ascii="Arial" w:hAnsi="Arial" w:cs="Arial"/>
          <w:color w:val="000000"/>
          <w:sz w:val="22"/>
          <w:szCs w:val="22"/>
          <w:lang w:val="sr-Cyrl-RS"/>
        </w:rPr>
        <w:t xml:space="preserve"> То говори у прилог потреби предузимања посебних мера у циљу отклањања родног јаза у чланству странке, унутар организационе структуре странке, и интегрисања родне перспективе у програме и конкретне активности странке. Предстоје активности на примени ЗРР, који обавезује политичке странке да предузимају посебне мере уколико у странци није обезбеђена уравнотежена заступљеност полова, што захтева и измене Закона о политичким странкама и Закона о финансирању политичких активности као и статута политичких странака и усвајање планова деловања који садрже посебне мере за унапређење родне равноправности и уравнотежене заступљености полова у органима странке и обезбеђивању активног учешћа мање заступљеног пола у раду тих органа.</w:t>
      </w:r>
      <w:r w:rsidRPr="00EF008E">
        <w:rPr>
          <w:rFonts w:ascii="Arial" w:hAnsi="Arial" w:cs="Arial"/>
          <w:color w:val="000000"/>
          <w:sz w:val="22"/>
          <w:szCs w:val="22"/>
          <w:vertAlign w:val="superscript"/>
          <w:lang w:val="sr-Cyrl-RS"/>
        </w:rPr>
        <w:t>679</w:t>
      </w:r>
      <w:r w:rsidRPr="00EF008E">
        <w:rPr>
          <w:rFonts w:ascii="Arial" w:hAnsi="Arial" w:cs="Arial"/>
          <w:color w:val="000000"/>
          <w:sz w:val="22"/>
          <w:szCs w:val="22"/>
          <w:lang w:val="sr-Cyrl-RS"/>
        </w:rPr>
        <w:t xml:space="preserve"> Поред тога, неопходна је континуирана активност политичких странака усмерена на превазилажење родних стереотипа, како кроз њихово свакодневно политичко деловање, тако и кроз укључивање тема везаних за родну равноправност у едукацију чланства.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Учешће жена из рањивих група у политичком и јавном животу. У целини посматрано, недовољна пажња је посвећена овом питању. На то упозорава и препорука CEDAW комитета која се односи на предузимање активности којима би се убрзало постизање једнаке заступљеност жена, посебно Ромкиња и особа са инвалидитетом у свим областима јавног и политичког живота.</w:t>
      </w:r>
      <w:r w:rsidRPr="00EF008E">
        <w:rPr>
          <w:rFonts w:ascii="Arial" w:hAnsi="Arial" w:cs="Arial"/>
          <w:color w:val="000000"/>
          <w:sz w:val="22"/>
          <w:szCs w:val="22"/>
          <w:vertAlign w:val="superscript"/>
          <w:lang w:val="sr-Cyrl-RS"/>
        </w:rPr>
        <w:t>680</w:t>
      </w:r>
      <w:r w:rsidRPr="00EF008E">
        <w:rPr>
          <w:rFonts w:ascii="Arial" w:hAnsi="Arial" w:cs="Arial"/>
          <w:color w:val="000000"/>
          <w:sz w:val="22"/>
          <w:szCs w:val="22"/>
          <w:lang w:val="sr-Cyrl-RS"/>
        </w:rPr>
        <w:t xml:space="preserve"> Известан помак бележи се у стварању услова за бољу приступачност остваривању изборних права особа са инвалидитетом. Измењена су Упутства за спровођење Закона о избору народних посланика и Закона о локалним изборима, Правила о раду бирачких одбора, Подсетник за обуку инструктора за чланове сталног састава бирачких одбора и припремљен Водич за комуникацију и пружање подршке бирачима који су особе са инвалидитетом како би се унапредило остваривање активног бирачког права особа са инвалидитетом.</w:t>
      </w:r>
      <w:r w:rsidRPr="00EF008E">
        <w:rPr>
          <w:rFonts w:ascii="Arial" w:hAnsi="Arial" w:cs="Arial"/>
          <w:color w:val="000000"/>
          <w:sz w:val="22"/>
          <w:szCs w:val="22"/>
          <w:vertAlign w:val="superscript"/>
          <w:lang w:val="sr-Cyrl-RS"/>
        </w:rPr>
        <w:t>681</w:t>
      </w:r>
      <w:r w:rsidRPr="00EF008E">
        <w:rPr>
          <w:rFonts w:ascii="Arial" w:hAnsi="Arial" w:cs="Arial"/>
          <w:color w:val="000000"/>
          <w:sz w:val="22"/>
          <w:szCs w:val="22"/>
          <w:lang w:val="sr-Cyrl-RS"/>
        </w:rPr>
        <w:t xml:space="preserve"> Усвојена је одлука о процени приступачности бирачких места за особе са инвалидитетом, сачињен упитник за процену приступачности и сагледана приступачност свих бирачких места</w:t>
      </w:r>
      <w:r w:rsidRPr="00EF008E">
        <w:rPr>
          <w:rFonts w:ascii="Arial" w:hAnsi="Arial" w:cs="Arial"/>
          <w:color w:val="000000"/>
          <w:sz w:val="22"/>
          <w:szCs w:val="22"/>
          <w:vertAlign w:val="superscript"/>
          <w:lang w:val="sr-Cyrl-RS"/>
        </w:rPr>
        <w:t>682</w:t>
      </w:r>
      <w:r w:rsidRPr="00EF008E">
        <w:rPr>
          <w:rFonts w:ascii="Arial" w:hAnsi="Arial" w:cs="Arial"/>
          <w:color w:val="000000"/>
          <w:sz w:val="22"/>
          <w:szCs w:val="22"/>
          <w:lang w:val="sr-Cyrl-RS"/>
        </w:rPr>
        <w:t>, технички је омогућен увид у бирачки списак слепим и слабовидим особама а, припремљени су и пратећи едукативни материјали за особе са инвалидитетом о могућностима остваривања бирачких права.</w:t>
      </w:r>
      <w:r w:rsidRPr="00EF008E">
        <w:rPr>
          <w:rFonts w:ascii="Arial" w:hAnsi="Arial" w:cs="Arial"/>
          <w:color w:val="000000"/>
          <w:sz w:val="22"/>
          <w:szCs w:val="22"/>
          <w:vertAlign w:val="superscript"/>
          <w:lang w:val="sr-Cyrl-RS"/>
        </w:rPr>
        <w:t>683</w:t>
      </w:r>
      <w:r w:rsidRPr="00EF008E">
        <w:rPr>
          <w:rFonts w:ascii="Arial" w:hAnsi="Arial" w:cs="Arial"/>
          <w:color w:val="000000"/>
          <w:sz w:val="22"/>
          <w:szCs w:val="22"/>
          <w:lang w:val="sr-Cyrl-RS"/>
        </w:rPr>
        <w:t xml:space="preserve"> Све ове мере усмерене су искључиво на остваривање активног бирачког права особа са инвалидитетом. Нису регулисана важна питања везана за остваривање пасивног бирачког права особа са инвалидитетом, укључујући и пословну способност која је услов за стицање бирачког права, што особама лишеним пословне споробности онемогућава коришћење бирачког права. На потребу да се то преиспита и омогући стицање бирачког права особама са психичким инвалидитетом указује и препорука CEDAW комитета.</w:t>
      </w:r>
      <w:r w:rsidRPr="00EF008E">
        <w:rPr>
          <w:rFonts w:ascii="Arial" w:hAnsi="Arial" w:cs="Arial"/>
          <w:color w:val="000000"/>
          <w:sz w:val="22"/>
          <w:szCs w:val="22"/>
          <w:vertAlign w:val="superscript"/>
          <w:lang w:val="sr-Cyrl-RS"/>
        </w:rPr>
        <w:t>684</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650</w:t>
      </w:r>
      <w:r w:rsidRPr="00EF008E">
        <w:rPr>
          <w:rFonts w:ascii="Arial" w:hAnsi="Arial" w:cs="Arial"/>
          <w:i/>
          <w:color w:val="000000"/>
          <w:sz w:val="22"/>
          <w:szCs w:val="22"/>
          <w:lang w:val="sr-Cyrl-RS"/>
        </w:rPr>
        <w:tab/>
        <w:t xml:space="preserve">Упоредити стање 2017. године са стањем 2021. Видети: истраживање Родна равноправност на позицијама одлучивања у јединицама локалне самоуправе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пресек стања у спровођењу препоруке мера јединицама локалне самоуправе за остваривање родне равноправности</w:t>
      </w:r>
      <w:r>
        <w:rPr>
          <w:rFonts w:ascii="Arial" w:hAnsi="Arial" w:cs="Arial"/>
          <w:i/>
          <w:color w:val="000000"/>
          <w:sz w:val="22"/>
          <w:szCs w:val="22"/>
          <w:lang w:val="sr-Cyrl-RS"/>
        </w:rPr>
        <w:t>"</w:t>
      </w:r>
      <w:r w:rsidRPr="00EF008E">
        <w:rPr>
          <w:rFonts w:ascii="Arial" w:hAnsi="Arial" w:cs="Arial"/>
          <w:i/>
          <w:color w:val="000000"/>
          <w:sz w:val="22"/>
          <w:szCs w:val="22"/>
          <w:lang w:val="sr-Cyrl-RS"/>
        </w:rPr>
        <w:t>, Повереник за заштиту равноправности, Београд 2017, доступно на: http://ravnopravnost.gov.rs/rs/rodna-ravnopravnost-u-jedinicama-lokalne-samouprave-presek-stanja-u-sprovodenju-preporuke-mera-jedinicama-lokalne-samouprave-za-ostvarivanje-rodne-ravnopravnosti/ приступ 5.6.2021. као и Посебан извештај Заштитника грађана Заступљеност жена на местима одлучивања и позиција и активности локалних механизама за родну равноправност у јединицама локалне самоуправе у Србији. Доступно на: https://www.ombudsman.rs/index.php/izvestaji/posebnii-izvestaji/5901-p-s-b-n-izv-sh-z-sh-i-ni-grd-n-z-s-uplj-n-s-z-n-n-s-i-dluciv-nj-i-p-zici-i-ivn-s-i-llnih-h-niz-z-r-dnu-r-vn-pr-vn-s-u-dinic-l-l-n-s-upr-vu-srbi-i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651 Повереница за равноправност упутила је посебне препоруке за унапређење родне равноправности у ЈЛС. Доступно на: http://ravnopravnost.gov.rs/rs/preporuka-mera-za-ostvarivanje-ravnopravnosti/ приступ 7.6.2021. Заштитник грађана је такође упутио препоруке за повећање заступљености жена на местима одлучивања у органима ЈЛС доступно на: https://www.ombudsman.rs/attachment/5901/Zastitnik%20gradjan_srpski.pdf. приступ 7.9.2021.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652 Србија и агенда 2020</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2030.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Мапирање националног стратешког оквира, страна 21. Доступно на: https://rsjp.gov.rs/wp-content/uploads/Agenda-UN-2030.pdf приступ 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653 Закон о избору народних посланика,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35/00, 57/03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УСРС, 72/03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75/03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др. закона, 18/04, 101/05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85/05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28/11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36/11, 104/09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12/20 и 68/20.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654 Закон о локалним изборима,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129/07, 34/10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54/11, 12/20, 16/20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аутентично тумачење и 68/20.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655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лист АП Војводине</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656 Међу сваких пет кандидата по редоследу на листи (првих пет места, других пет места и све до краја листе) мора бити најмање по два кандидата припадника оног пола који је мање заступљен на листи.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657 Доступно: http://www.parlament.gov.rs/1.html приступ 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658 У претходном сазиву Народне скупштине било је 93 (37,2%) народних посланица.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659 То су: Одбор за европске интеграције, Одбор за културу и информисање, Одбор за просторно планирање, саобраћај, инфраструктуру и телекомуникације, Одбор за уставна питања и законодавство и Одбор за финансије, републички буџет и контролу трошења јавних средстава. Приметно је да су жене на челу одбора који покривају области које се традиционално не сматрају </w:t>
      </w:r>
      <w:r>
        <w:rPr>
          <w:rFonts w:ascii="Arial" w:hAnsi="Arial" w:cs="Arial"/>
          <w:i/>
          <w:color w:val="000000"/>
          <w:sz w:val="22"/>
          <w:szCs w:val="22"/>
          <w:lang w:val="sr-Cyrl-RS"/>
        </w:rPr>
        <w:t>"</w:t>
      </w:r>
      <w:r w:rsidRPr="00EF008E">
        <w:rPr>
          <w:rFonts w:ascii="Arial" w:hAnsi="Arial" w:cs="Arial"/>
          <w:i/>
          <w:color w:val="000000"/>
          <w:sz w:val="22"/>
          <w:szCs w:val="22"/>
          <w:lang w:val="sr-Cyrl-RS"/>
        </w:rPr>
        <w:t>женским пословима</w:t>
      </w:r>
      <w:r>
        <w:rPr>
          <w:rFonts w:ascii="Arial" w:hAnsi="Arial" w:cs="Arial"/>
          <w:i/>
          <w:color w:val="000000"/>
          <w:sz w:val="22"/>
          <w:szCs w:val="22"/>
          <w:lang w:val="sr-Cyrl-RS"/>
        </w:rPr>
        <w:t>"</w:t>
      </w:r>
      <w:r w:rsidRPr="00EF008E">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660 У једном одбору не постоји заменик.</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661 Од шест одбора на чијем су челу жене половина покрива области које се стереотипно повезују са женама: права детета (14 жена, 9 мушкараца), здравље и породица (12 жена, 5 мушкараца), рад, социјална питања, друштвена укљученост и смањење сиромаштва (10 жена, 7 мушкараца), а половина области које се традиционално не повезују са женама: европске интеграције (10 жена, 7 мушкараца), привреда, регионални развој, туризам и енергетика (9 жена, 8 мушкараца), култура и информисање (9 жена, 8 мушкараца).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662 Одбор за контролу служби безбедности у коме нема ми једне жене, Одбор за одбрану и унутрашње послове (4 жене, 13 мушкараца), Одбор за правосуђе, државну управу и локалну самоуправу (4 жене, 13 мушкараца).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663 Члан 6. став 1. тачка 9.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664 Члан 26. став 2.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665</w:t>
      </w:r>
      <w:r w:rsidRPr="00EF008E">
        <w:rPr>
          <w:rFonts w:ascii="Arial" w:hAnsi="Arial" w:cs="Arial"/>
          <w:i/>
          <w:color w:val="000000"/>
          <w:sz w:val="22"/>
          <w:szCs w:val="22"/>
          <w:lang w:val="sr-Cyrl-RS"/>
        </w:rPr>
        <w:tab/>
        <w:t>Доступно на: https://www.srbija.gov.rs/sastav/177/sastav-vlade.php приступ 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666 Министарство привреде, Министарство трговине, туризма и телекомуникација, Министарство здравља, Министарство одбране, Министарство спољних послова и Министарство за бригу о селу. Доступно на званичним интернет страницама министарстава. Приступљено 9.3.2021.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667 Доступно на званичним интернет страницама министарстава. Приступ 9.3.2021.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668 Подаци Министарства државне управе и локалне самоуправе, допис број 021-01-00062/2021-02 од 25.1.2021. упућени Поверенику за заштиту равноправности. Приступ 9.3.2021.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669 Од укупно 2676 судија 1921 су жене. Доступно на: https://vss.sud.rs/sr-lat/spisak-sudija приступљено 27.1.2021.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670 Доступно на: https://vss.sud.rs/sr-lat/spisak-sudija приступ 27.1.2021.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671 Извор: сугестије Министарства спољних послова изнете у консултацијама.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672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36/09 и 61/15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одлука Уставног суда.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673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43/11, 123/14 и 88/19.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674 На пример: Унија жена СНП Члан 75 став 1 и члан 82 Статута СНС, доступно на: https://www.sns.org.rs/lat/o-nama/statut-sns; Форум жена СПС, члан 71 Статута СПС, доступно на: https://www.sps.org.rs/wp-content/uploads/2019/02/STATUT-SPS-2018.pdf, Форум жена ДС, члан 76. Статута ДС: доступно на: https://www.ds.org.rs/fajlovi/dokumenta/Statut-DS.pdf, Форум жена СДП, члан 63. Статута СДП: доступно на: https://sdp.co.rs/wp-content/uploads/2019/06/STATUT-SDP.pdf, Покрет жена социјалиста, члан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675 На пример, члан 71. став 3. Статута СПС. доступно на: https://www.sps.org.rs/wp-content/uploads/2019/02/STATUT-SPS-2018.pdf ; чл. 37. и 45. Статута ДС: доступно на: https://www.ds.org.rs/fajlovi/dokumenta/Statut-DS.pdf ; члан 39. став 2. тачка 8. Статута Покрета социјалиста: доступно на: https://pokretsocijalista.rs/page/osnivacki-program/statut.html, члан 27. став 1. тачка 8. Статута Санџачке демократске партије: доступно на: https://sdp.co.rs/wp-content/uploads/2019/06/STATUT-SDP.pdf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676 На пример, родно недискриминаторни језик у Статуту ДС, доступно на: https://www.ds.org.rs/fajlovi/dokumenta/Statut-DS.pdf, квоте за мање заступљени пол у органима странке (ДС, СПС, СДП, ПС), које не обезбеђују уравнотежену заступљеност полова у органима странке.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677 На пример, на званичним интернет презентацијама политичких странака не постоје, или су неажурни, подаци о броју чланова странке као и чланова органа странке разврстани по полу.</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678 На пример: Баћановић, В. и Пајванчић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Цизељ А. Капацитети политичких странака у Војводини за остваривање родне равноправности. Доступно на: https://genderhub.org.rs/kapaciteti-politickih-stranaka/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679 Члан 48. ст. 1. и 2.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680 CEDAW/C/SRB/CO/4 para. 27</w:t>
      </w:r>
      <w:r>
        <w:rPr>
          <w:rFonts w:ascii="Arial" w:hAnsi="Arial" w:cs="Arial"/>
          <w:i/>
          <w:color w:val="000000"/>
          <w:sz w:val="22"/>
          <w:szCs w:val="22"/>
          <w:lang w:val="sr-Cyrl-RS"/>
        </w:rPr>
        <w:t>-</w:t>
      </w:r>
      <w:r w:rsidRPr="00EF008E">
        <w:rPr>
          <w:rFonts w:ascii="Arial" w:hAnsi="Arial" w:cs="Arial"/>
          <w:i/>
          <w:color w:val="000000"/>
          <w:sz w:val="22"/>
          <w:szCs w:val="22"/>
          <w:lang w:val="sr-Cyrl-RS"/>
        </w:rPr>
        <w:t>28.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681 Доступно на: https://shorturl.at/afixG приступ 26.1.2021.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682 Доступно на: http://shorturl.at/goPWZ приступ 26.1.2021.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683 Водич за гласање особа са инвалидитетом, доступно на: https://rb.gy/uotkfe, Водич за гласање ван бирачког места, доступно на: https://rb.gy/wlzb69, Видео материјал Гласање ван бирачког места и уз помоћ помагача, доступно на: https://shorturl.at/yCMY0 приступ 26.1.2021.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684 CEDAW/C/SRB/CO/4 para. 44.</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5.2.5. Родни аспекти пандемије изазване вирусом COVID-19</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Околности изазване пандемијом болести COVID-19 које су у великој мери пореметиле свакодневни живот грађана и грађанки, посебно за време трајања ванредног стања, када су бројна права и слободе биле подвргнуте ограничењима како би се очувало основно људско право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право на живот, указала је на нужност успостављања равнотеже између заштите здравља становништва, поштовања људских права и минимизирања бројних и различитих последица изазваних овом кризом. Суочавање са свакодневним проблемима са којима су се сусретали грађани и грађанке био је подстицај за ангажман на сагледавању утицаја који је пандемија имала на родну равноправност у различитим областима друштвеног живота. У току трајања ванредног стања и примене мера за спречавање пандемије било је више иницијатива, активности и реаговања усмерених на сагледавање родних аспеката новонастале ситуације, посебно у односу на рањиве групе. Резултат тих активности биле су анализе и истраживања у Републици Србији</w:t>
      </w:r>
      <w:r w:rsidRPr="00EF008E">
        <w:rPr>
          <w:rFonts w:ascii="Arial" w:hAnsi="Arial" w:cs="Arial"/>
          <w:color w:val="000000"/>
          <w:sz w:val="22"/>
          <w:szCs w:val="22"/>
          <w:vertAlign w:val="superscript"/>
          <w:lang w:val="sr-Cyrl-RS"/>
        </w:rPr>
        <w:t>685</w:t>
      </w:r>
      <w:r w:rsidRPr="00EF008E">
        <w:rPr>
          <w:rFonts w:ascii="Arial" w:hAnsi="Arial" w:cs="Arial"/>
          <w:color w:val="000000"/>
          <w:sz w:val="22"/>
          <w:szCs w:val="22"/>
          <w:lang w:val="sr-Cyrl-RS"/>
        </w:rPr>
        <w:t>, као и у окриљу међународних организација које делују у области родне равноправности.</w:t>
      </w:r>
      <w:r w:rsidRPr="00EF008E">
        <w:rPr>
          <w:rFonts w:ascii="Arial" w:hAnsi="Arial" w:cs="Arial"/>
          <w:color w:val="000000"/>
          <w:sz w:val="22"/>
          <w:szCs w:val="22"/>
          <w:vertAlign w:val="superscript"/>
          <w:lang w:val="sr-Cyrl-RS"/>
        </w:rPr>
        <w:t>686</w:t>
      </w:r>
      <w:r w:rsidRPr="00EF008E">
        <w:rPr>
          <w:rFonts w:ascii="Arial" w:hAnsi="Arial" w:cs="Arial"/>
          <w:color w:val="000000"/>
          <w:sz w:val="22"/>
          <w:szCs w:val="22"/>
          <w:lang w:val="sr-Cyrl-RS"/>
        </w:rPr>
        <w:t xml:space="preserve"> На основу налаза из анализа и истраживања сачињене су препоруке за отклањање уочених проблема, посебно за рањиве групе.</w:t>
      </w:r>
      <w:r w:rsidRPr="00EF008E">
        <w:rPr>
          <w:rFonts w:ascii="Arial" w:hAnsi="Arial" w:cs="Arial"/>
          <w:color w:val="000000"/>
          <w:sz w:val="22"/>
          <w:szCs w:val="22"/>
          <w:vertAlign w:val="superscript"/>
          <w:lang w:val="sr-Cyrl-RS"/>
        </w:rPr>
        <w:t>687</w:t>
      </w:r>
      <w:r w:rsidRPr="00EF008E">
        <w:rPr>
          <w:rFonts w:ascii="Arial" w:hAnsi="Arial" w:cs="Arial"/>
          <w:color w:val="000000"/>
          <w:sz w:val="22"/>
          <w:szCs w:val="22"/>
          <w:lang w:val="sr-Cyrl-RS"/>
        </w:rPr>
        <w:t xml:space="preserve"> Налази из истраживања и анализа и препоруке које садрже, показали су да родна равноправност није интегрисана у прописе који регулишу ванредне ситуације и стратегије које дефинишу активности и мере које се у таквим ситуацијама предузимају. То је посебно видљиво када се ради о рањивим групама чије се потребе, често веома различите природе, нису имале у виду приликом креирања мера заштите од пандемије. Независне институције заштите људских права, Повереник за заштиту равноправности</w:t>
      </w:r>
      <w:r w:rsidRPr="00EF008E">
        <w:rPr>
          <w:rFonts w:ascii="Arial" w:hAnsi="Arial" w:cs="Arial"/>
          <w:color w:val="000000"/>
          <w:sz w:val="22"/>
          <w:szCs w:val="22"/>
          <w:vertAlign w:val="superscript"/>
          <w:lang w:val="sr-Cyrl-RS"/>
        </w:rPr>
        <w:t>688</w:t>
      </w:r>
      <w:r w:rsidRPr="00EF008E">
        <w:rPr>
          <w:rFonts w:ascii="Arial" w:hAnsi="Arial" w:cs="Arial"/>
          <w:color w:val="000000"/>
          <w:sz w:val="22"/>
          <w:szCs w:val="22"/>
          <w:lang w:val="sr-Cyrl-RS"/>
        </w:rPr>
        <w:t xml:space="preserve"> и Заштитник грађана</w:t>
      </w:r>
      <w:r w:rsidRPr="00EF008E">
        <w:rPr>
          <w:rFonts w:ascii="Arial" w:hAnsi="Arial" w:cs="Arial"/>
          <w:color w:val="000000"/>
          <w:sz w:val="22"/>
          <w:szCs w:val="22"/>
          <w:vertAlign w:val="superscript"/>
          <w:lang w:val="sr-Cyrl-RS"/>
        </w:rPr>
        <w:t>689</w:t>
      </w:r>
      <w:r w:rsidRPr="00EF008E">
        <w:rPr>
          <w:rFonts w:ascii="Arial" w:hAnsi="Arial" w:cs="Arial"/>
          <w:color w:val="000000"/>
          <w:sz w:val="22"/>
          <w:szCs w:val="22"/>
          <w:lang w:val="sr-Cyrl-RS"/>
        </w:rPr>
        <w:t xml:space="preserve"> реаговале су и у овим околностима инструментима које им стоје на располагању, прилагођавајући начин рада новонасталим приликама.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Ограничења људских права за време ванредног стања и ванредних прилика. Епидемија COVID-19 која је угрозила право на живот као основно људско право, била је повод за проглашење ванредног стања у Републици Србији и усвајање мера којима је ограничен низ основних људских права: слобода кретања, слобода окупљања, право на правично суђење и др.</w:t>
      </w:r>
      <w:r w:rsidRPr="00EF008E">
        <w:rPr>
          <w:rFonts w:ascii="Arial" w:hAnsi="Arial" w:cs="Arial"/>
          <w:color w:val="000000"/>
          <w:sz w:val="22"/>
          <w:szCs w:val="22"/>
          <w:vertAlign w:val="superscript"/>
          <w:lang w:val="sr-Cyrl-RS"/>
        </w:rPr>
        <w:t>690</w:t>
      </w:r>
      <w:r w:rsidRPr="00EF008E">
        <w:rPr>
          <w:rFonts w:ascii="Arial" w:hAnsi="Arial" w:cs="Arial"/>
          <w:color w:val="000000"/>
          <w:sz w:val="22"/>
          <w:szCs w:val="22"/>
          <w:lang w:val="sr-Cyrl-RS"/>
        </w:rPr>
        <w:t xml:space="preserve"> Неке од мера биле су дискриминаторне (мера ограничења слободе кретања особа старијих од 65 година). Повереник за заштиту равноправности наглашава да је </w:t>
      </w:r>
      <w:r>
        <w:rPr>
          <w:rFonts w:ascii="Arial" w:hAnsi="Arial" w:cs="Arial"/>
          <w:color w:val="000000"/>
          <w:sz w:val="22"/>
          <w:szCs w:val="22"/>
          <w:lang w:val="sr-Cyrl-RS"/>
        </w:rPr>
        <w:t>"</w:t>
      </w:r>
      <w:r w:rsidRPr="00EF008E">
        <w:rPr>
          <w:rFonts w:ascii="Arial" w:hAnsi="Arial" w:cs="Arial"/>
          <w:color w:val="000000"/>
          <w:sz w:val="22"/>
          <w:szCs w:val="22"/>
          <w:lang w:val="sr-Cyrl-RS"/>
        </w:rPr>
        <w:t>епидемија Ковид-19 несразмерно утицала на старије људе, на особе са инвалидитетом, на сиромашније слојеве друштва, становнике неформалних насеља, кориснике смештене у установама социјалне заштите, на особе са хроничним здравственим проблемима, на младе, запошљавање, школовање и сл., а мере забране кретања, ризик од заражавања, пребацивање све већег броја активности на онлајн сферу и сл. утицало је и на приступ појединим правима и остваривање права на услуге, судску заштиту и сл.</w:t>
      </w:r>
      <w:r>
        <w:rPr>
          <w:rFonts w:ascii="Arial" w:hAnsi="Arial" w:cs="Arial"/>
          <w:color w:val="000000"/>
          <w:sz w:val="22"/>
          <w:szCs w:val="22"/>
          <w:lang w:val="sr-Cyrl-RS"/>
        </w:rPr>
        <w:t>"</w:t>
      </w:r>
      <w:r w:rsidRPr="00EF008E">
        <w:rPr>
          <w:rFonts w:ascii="Arial" w:hAnsi="Arial" w:cs="Arial"/>
          <w:color w:val="000000"/>
          <w:sz w:val="22"/>
          <w:szCs w:val="22"/>
          <w:vertAlign w:val="superscript"/>
          <w:lang w:val="sr-Cyrl-RS"/>
        </w:rPr>
        <w:t>691</w:t>
      </w:r>
      <w:r w:rsidRPr="00EF008E">
        <w:rPr>
          <w:rFonts w:ascii="Arial" w:hAnsi="Arial" w:cs="Arial"/>
          <w:color w:val="000000"/>
          <w:sz w:val="22"/>
          <w:szCs w:val="22"/>
          <w:lang w:val="sr-Cyrl-RS"/>
        </w:rPr>
        <w:t>, а приликом прописивања мера нису се узимале у обзир потребе рањивих група.</w:t>
      </w:r>
      <w:r w:rsidRPr="00EF008E">
        <w:rPr>
          <w:rFonts w:ascii="Arial" w:hAnsi="Arial" w:cs="Arial"/>
          <w:color w:val="000000"/>
          <w:sz w:val="22"/>
          <w:szCs w:val="22"/>
          <w:vertAlign w:val="superscript"/>
          <w:lang w:val="sr-Cyrl-RS"/>
        </w:rPr>
        <w:t>692</w:t>
      </w:r>
      <w:r w:rsidRPr="00EF008E">
        <w:rPr>
          <w:rFonts w:ascii="Arial" w:hAnsi="Arial" w:cs="Arial"/>
          <w:color w:val="000000"/>
          <w:sz w:val="22"/>
          <w:szCs w:val="22"/>
          <w:lang w:val="sr-Cyrl-RS"/>
        </w:rPr>
        <w:t xml:space="preserve"> О томе говоре и иницијативе</w:t>
      </w:r>
      <w:r w:rsidRPr="00EF008E">
        <w:rPr>
          <w:rFonts w:ascii="Arial" w:hAnsi="Arial" w:cs="Arial"/>
          <w:color w:val="000000"/>
          <w:sz w:val="22"/>
          <w:szCs w:val="22"/>
          <w:vertAlign w:val="superscript"/>
          <w:lang w:val="sr-Cyrl-RS"/>
        </w:rPr>
        <w:t>693</w:t>
      </w:r>
      <w:r w:rsidRPr="00EF008E">
        <w:rPr>
          <w:rFonts w:ascii="Arial" w:hAnsi="Arial" w:cs="Arial"/>
          <w:color w:val="000000"/>
          <w:sz w:val="22"/>
          <w:szCs w:val="22"/>
          <w:lang w:val="sr-Cyrl-RS"/>
        </w:rPr>
        <w:t>, и Опште препоруке за кризне ситуације Повереника за заштиту равноправности.</w:t>
      </w:r>
      <w:r w:rsidRPr="00EF008E">
        <w:rPr>
          <w:rFonts w:ascii="Arial" w:hAnsi="Arial" w:cs="Arial"/>
          <w:color w:val="000000"/>
          <w:sz w:val="22"/>
          <w:szCs w:val="22"/>
          <w:vertAlign w:val="superscript"/>
          <w:lang w:val="sr-Cyrl-RS"/>
        </w:rPr>
        <w:t>694</w:t>
      </w:r>
      <w:r w:rsidRPr="00EF008E">
        <w:rPr>
          <w:rFonts w:ascii="Arial" w:hAnsi="Arial" w:cs="Arial"/>
          <w:color w:val="000000"/>
          <w:sz w:val="22"/>
          <w:szCs w:val="22"/>
          <w:lang w:val="sr-Cyrl-RS"/>
        </w:rPr>
        <w:t xml:space="preserve"> Заштитник грађана реаговао је у вези са заштитом права на правично суђење и права на суђење у разумном року. Контрола рада судова и јавних тужилаштава није у надлежности Заштитника грађана, али су и овај период обележиле притужбе упућене Заштитнику грађана на рад тих органа. Притужбе су се односиле на повреде права на правично суђење и права на суђење у разумном року, на која су утицале су мере уведене ради спречавања ширења епидемије болести COVID-19. Заштитник грађана је апеловао на надлежне органе да омогуће приступ алтернативним начинима комуникације, (апликација Skype), између окривљеног и браниоца у посебној просторији, без присуства трећег лица.</w:t>
      </w:r>
      <w:r w:rsidRPr="00EF008E">
        <w:rPr>
          <w:rFonts w:ascii="Arial" w:hAnsi="Arial" w:cs="Arial"/>
          <w:color w:val="000000"/>
          <w:sz w:val="22"/>
          <w:szCs w:val="22"/>
          <w:vertAlign w:val="superscript"/>
          <w:lang w:val="sr-Cyrl-RS"/>
        </w:rPr>
        <w:t>695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Родни аспект ванредних прилика и мера усвојених за спречавање ширења болести COVID-19 не препознаје се у довољној мери, као и безбедносни ризици за жене током ванредне ситуације. Жене чине већи део радне снаге у здравству, као и у другим тзв. контактним службама (трговина на велико и мало, набавне и доставне службе, угоститељство и туризам, култура и уметност). Већина примарних пружалаца неге болеснима су жене, што их чини изложеним вишеструким безбедносним ризицима током пандемије изазване вирусом COVID-19.</w:t>
      </w:r>
      <w:r w:rsidRPr="00EF008E">
        <w:rPr>
          <w:rFonts w:ascii="Arial" w:hAnsi="Arial" w:cs="Arial"/>
          <w:color w:val="000000"/>
          <w:sz w:val="22"/>
          <w:szCs w:val="22"/>
          <w:vertAlign w:val="superscript"/>
          <w:lang w:val="sr-Cyrl-RS"/>
        </w:rPr>
        <w:t>696</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Забележен је пораст родно заснованог насиља. Повећан је број пријава случајева насиља у породици</w:t>
      </w:r>
      <w:r w:rsidRPr="00EF008E">
        <w:rPr>
          <w:rFonts w:ascii="Arial" w:hAnsi="Arial" w:cs="Arial"/>
          <w:color w:val="000000"/>
          <w:sz w:val="22"/>
          <w:szCs w:val="22"/>
          <w:vertAlign w:val="superscript"/>
          <w:lang w:val="sr-Cyrl-RS"/>
        </w:rPr>
        <w:t>697</w:t>
      </w:r>
      <w:r w:rsidRPr="00EF008E">
        <w:rPr>
          <w:rFonts w:ascii="Arial" w:hAnsi="Arial" w:cs="Arial"/>
          <w:color w:val="000000"/>
          <w:sz w:val="22"/>
          <w:szCs w:val="22"/>
          <w:lang w:val="sr-Cyrl-RS"/>
        </w:rPr>
        <w:t xml:space="preserve"> које је прерасло из психичког у физичко и сексуално насиље.</w:t>
      </w:r>
      <w:r w:rsidRPr="00EF008E">
        <w:rPr>
          <w:rFonts w:ascii="Arial" w:hAnsi="Arial" w:cs="Arial"/>
          <w:color w:val="000000"/>
          <w:sz w:val="22"/>
          <w:szCs w:val="22"/>
          <w:vertAlign w:val="superscript"/>
          <w:lang w:val="sr-Cyrl-RS"/>
        </w:rPr>
        <w:t>698</w:t>
      </w:r>
      <w:r w:rsidRPr="00EF008E">
        <w:rPr>
          <w:rFonts w:ascii="Arial" w:hAnsi="Arial" w:cs="Arial"/>
          <w:color w:val="000000"/>
          <w:sz w:val="22"/>
          <w:szCs w:val="22"/>
          <w:lang w:val="sr-Cyrl-RS"/>
        </w:rPr>
        <w:t xml:space="preserve"> Ове прилике утицале су и на доступност пружања услуга у околностима у којима је промењен режим пружања услуга заштите и подршке женама са искуством насиља</w:t>
      </w:r>
      <w:r w:rsidRPr="00EF008E">
        <w:rPr>
          <w:rFonts w:ascii="Arial" w:hAnsi="Arial" w:cs="Arial"/>
          <w:color w:val="000000"/>
          <w:sz w:val="22"/>
          <w:szCs w:val="22"/>
          <w:vertAlign w:val="superscript"/>
          <w:lang w:val="sr-Cyrl-RS"/>
        </w:rPr>
        <w:t>699</w:t>
      </w:r>
      <w:r w:rsidRPr="00EF008E">
        <w:rPr>
          <w:rFonts w:ascii="Arial" w:hAnsi="Arial" w:cs="Arial"/>
          <w:color w:val="000000"/>
          <w:sz w:val="22"/>
          <w:szCs w:val="22"/>
          <w:lang w:val="sr-Cyrl-RS"/>
        </w:rPr>
        <w:t>, посебно женама из рањивих група (ромкиње, старије жене, жене са села, жене са инвалидитетом, избеглице, мигранткиње, ЛГБТИ и др.).</w:t>
      </w:r>
      <w:r w:rsidRPr="00EF008E">
        <w:rPr>
          <w:rFonts w:ascii="Arial" w:hAnsi="Arial" w:cs="Arial"/>
          <w:color w:val="000000"/>
          <w:sz w:val="22"/>
          <w:szCs w:val="22"/>
          <w:vertAlign w:val="superscript"/>
          <w:lang w:val="sr-Cyrl-RS"/>
        </w:rPr>
        <w:t>700</w:t>
      </w:r>
      <w:r w:rsidRPr="00EF008E">
        <w:rPr>
          <w:rFonts w:ascii="Arial" w:hAnsi="Arial" w:cs="Arial"/>
          <w:color w:val="000000"/>
          <w:sz w:val="22"/>
          <w:szCs w:val="22"/>
          <w:lang w:val="sr-Cyrl-RS"/>
        </w:rPr>
        <w:t xml:space="preserve"> Комитет страна уговорница Конвенције СE o спречавању и сузбијању насиља према женама и насиља у породици усвојио је декларацију</w:t>
      </w:r>
      <w:r w:rsidRPr="00EF008E">
        <w:rPr>
          <w:rFonts w:ascii="Arial" w:hAnsi="Arial" w:cs="Arial"/>
          <w:color w:val="000000"/>
          <w:sz w:val="22"/>
          <w:szCs w:val="22"/>
          <w:vertAlign w:val="superscript"/>
          <w:lang w:val="sr-Cyrl-RS"/>
        </w:rPr>
        <w:t>701</w:t>
      </w:r>
      <w:r w:rsidRPr="00EF008E">
        <w:rPr>
          <w:rFonts w:ascii="Arial" w:hAnsi="Arial" w:cs="Arial"/>
          <w:color w:val="000000"/>
          <w:sz w:val="22"/>
          <w:szCs w:val="22"/>
          <w:lang w:val="sr-Cyrl-RS"/>
        </w:rPr>
        <w:t xml:space="preserve"> којом су државе које су ратификовале Истанбулску конвенцију позване да користе стандарде и препоруке из конвенције као смернице за активности и мере које предузимају током пандемије корона болести. По глобалном увођењу мера рестрикције кретања, низ међународних организација издало је упозорења на пораст родно заснованог насиља, посебно у породичним условима.</w:t>
      </w:r>
      <w:r w:rsidRPr="00EF008E">
        <w:rPr>
          <w:rFonts w:ascii="Arial" w:hAnsi="Arial" w:cs="Arial"/>
          <w:color w:val="000000"/>
          <w:sz w:val="22"/>
          <w:szCs w:val="22"/>
          <w:vertAlign w:val="superscript"/>
          <w:lang w:val="sr-Cyrl-RS"/>
        </w:rPr>
        <w:t>702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Приступ здравственој заштити је отежан за све пацијенте, нарочито за труднице, оболеле од рака и припадникe ризичних група. Мањи приоритет се придаје рутинским процедурама, онима које нису хитне, услед настојања система да ограничи преношење болести између пацијената/киња на болничком лечењу. COVID-19 постао је и препрека за приступ превентивној заштити. Одлагање тих услуга довешће до огромног броја заосталих случајева у здравственом систему што ће отежати лечење и вероватно повећати стопе морбидитета и морталитета.</w:t>
      </w:r>
      <w:r w:rsidRPr="00EF008E">
        <w:rPr>
          <w:rFonts w:ascii="Arial" w:hAnsi="Arial" w:cs="Arial"/>
          <w:color w:val="000000"/>
          <w:sz w:val="22"/>
          <w:szCs w:val="22"/>
          <w:vertAlign w:val="superscript"/>
          <w:lang w:val="sr-Cyrl-RS"/>
        </w:rPr>
        <w:t>703</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Већина услуга социјалне заштите била је или обустављена или су услуге пружане уз ограничења и у измењеним условима. У току ванредног стања ЦСР су радили у отежаним условима, ограничења су се односила на непосредне контакте са корисницима/цама и обустављање теренских посета</w:t>
      </w:r>
      <w:r w:rsidRPr="00EF008E">
        <w:rPr>
          <w:rFonts w:ascii="Arial" w:hAnsi="Arial" w:cs="Arial"/>
          <w:color w:val="000000"/>
          <w:sz w:val="22"/>
          <w:szCs w:val="22"/>
          <w:vertAlign w:val="superscript"/>
          <w:lang w:val="sr-Cyrl-RS"/>
        </w:rPr>
        <w:t>704</w:t>
      </w:r>
      <w:r w:rsidRPr="00EF008E">
        <w:rPr>
          <w:rFonts w:ascii="Arial" w:hAnsi="Arial" w:cs="Arial"/>
          <w:color w:val="000000"/>
          <w:sz w:val="22"/>
          <w:szCs w:val="22"/>
          <w:lang w:val="sr-Cyrl-RS"/>
        </w:rPr>
        <w:t>, обустављање рада центара за дневни боравак деце са сметњама у развоју и ограничавање непосредног пружања других услуга корисницима/цама.</w:t>
      </w:r>
      <w:r w:rsidRPr="00EF008E">
        <w:rPr>
          <w:rFonts w:ascii="Arial" w:hAnsi="Arial" w:cs="Arial"/>
          <w:color w:val="000000"/>
          <w:sz w:val="22"/>
          <w:szCs w:val="22"/>
          <w:vertAlign w:val="superscript"/>
          <w:lang w:val="sr-Cyrl-RS"/>
        </w:rPr>
        <w:t>705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Епидемија болести COVID-19 затекла је неспремним многе системе, укључујући и образовање. Половином марта 2020. године, обустављена је настава у основним школама, а образовање на даљину обезбеђено је путем јавног медијског сервиса.</w:t>
      </w:r>
      <w:r w:rsidRPr="00EF008E">
        <w:rPr>
          <w:rFonts w:ascii="Arial" w:hAnsi="Arial" w:cs="Arial"/>
          <w:color w:val="000000"/>
          <w:sz w:val="22"/>
          <w:szCs w:val="22"/>
          <w:vertAlign w:val="superscript"/>
          <w:lang w:val="sr-Cyrl-RS"/>
        </w:rPr>
        <w:t>706</w:t>
      </w:r>
      <w:r w:rsidRPr="00EF008E">
        <w:rPr>
          <w:rFonts w:ascii="Arial" w:hAnsi="Arial" w:cs="Arial"/>
          <w:color w:val="000000"/>
          <w:sz w:val="22"/>
          <w:szCs w:val="22"/>
          <w:lang w:val="sr-Cyrl-RS"/>
        </w:rPr>
        <w:t xml:space="preserve"> Овај вид наставе организован је и у средњим школама, а високошколске институције су самостално организовале наставу на даљину. У ситуацији када настава уживо није била могућа, алтернативни облици наставе били су неопходни. Њихово остваривање, у датим околностима, било је праћено бројним изазовима, са којима су се сусрели ученици/це, њихови родитељи, као и наставници/це. Ресурси система образовања били су усмерени организацију и обезбеђивање доступности ТВ часова и учења на даљину. За ученике/це који нису имали приступ интернету или су имали лошу конекцију, школе су обезбедиле штампане задатке за припрему завршног испита. Набављена је већа количина ИКТ опреме и спроведене су одговарајуће обуке за наставнике.</w:t>
      </w:r>
      <w:r w:rsidRPr="00EF008E">
        <w:rPr>
          <w:rFonts w:ascii="Arial" w:hAnsi="Arial" w:cs="Arial"/>
          <w:color w:val="000000"/>
          <w:sz w:val="22"/>
          <w:szCs w:val="22"/>
          <w:vertAlign w:val="superscript"/>
          <w:lang w:val="sr-Cyrl-RS"/>
        </w:rPr>
        <w:t>707</w:t>
      </w:r>
      <w:r w:rsidRPr="00EF008E">
        <w:rPr>
          <w:rFonts w:ascii="Arial" w:hAnsi="Arial" w:cs="Arial"/>
          <w:color w:val="000000"/>
          <w:sz w:val="22"/>
          <w:szCs w:val="22"/>
          <w:lang w:val="sr-Cyrl-RS"/>
        </w:rPr>
        <w:t xml:space="preserve"> Током ванредног стања, као и у школској 2020/21. години, рад педагошких асистената (ПA) који пружају подршку ученицима ромске националности</w:t>
      </w:r>
      <w:r w:rsidRPr="00EF008E">
        <w:rPr>
          <w:rFonts w:ascii="Arial" w:hAnsi="Arial" w:cs="Arial"/>
          <w:color w:val="000000"/>
          <w:sz w:val="22"/>
          <w:szCs w:val="22"/>
          <w:vertAlign w:val="superscript"/>
          <w:lang w:val="sr-Cyrl-RS"/>
        </w:rPr>
        <w:t>708</w:t>
      </w:r>
      <w:r w:rsidRPr="00EF008E">
        <w:rPr>
          <w:rFonts w:ascii="Arial" w:hAnsi="Arial" w:cs="Arial"/>
          <w:color w:val="000000"/>
          <w:sz w:val="22"/>
          <w:szCs w:val="22"/>
          <w:lang w:val="sr-Cyrl-RS"/>
        </w:rPr>
        <w:t>, настављен је и прилагођен условима ванредног стања. Бројне тешкоће и изазови прате и образовање ученика/ца са сметњама у развоју и инвалидитетом, ради чијег је превазилажења ресорно министарство израдило посебан оперативни план за додатну подршку у образовању ученика из осетљивих друштвених у ситуацији учења на даљину, како током ванредног стања (2020), тако и за школску 2020/21. годину.</w:t>
      </w:r>
      <w:r w:rsidRPr="00EF008E">
        <w:rPr>
          <w:rFonts w:ascii="Arial" w:hAnsi="Arial" w:cs="Arial"/>
          <w:color w:val="000000"/>
          <w:sz w:val="22"/>
          <w:szCs w:val="22"/>
          <w:vertAlign w:val="superscript"/>
          <w:lang w:val="sr-Cyrl-RS"/>
        </w:rPr>
        <w:t>709</w:t>
      </w:r>
      <w:r w:rsidRPr="00EF008E">
        <w:rPr>
          <w:rFonts w:ascii="Arial" w:hAnsi="Arial" w:cs="Arial"/>
          <w:color w:val="000000"/>
          <w:sz w:val="22"/>
          <w:szCs w:val="22"/>
          <w:lang w:val="sr-Cyrl-RS"/>
        </w:rPr>
        <w:t xml:space="preserve"> Нема, збирних података о томе како се у пракси спроводила настава по индивидуалним образовним плановима, али су многе школе успевале да превазиђу тешкоће.</w:t>
      </w:r>
      <w:r w:rsidRPr="00EF008E">
        <w:rPr>
          <w:rFonts w:ascii="Arial" w:hAnsi="Arial" w:cs="Arial"/>
          <w:color w:val="000000"/>
          <w:sz w:val="22"/>
          <w:szCs w:val="22"/>
          <w:vertAlign w:val="superscript"/>
          <w:lang w:val="sr-Cyrl-RS"/>
        </w:rPr>
        <w:t>710</w:t>
      </w:r>
      <w:r w:rsidRPr="00EF008E">
        <w:rPr>
          <w:rFonts w:ascii="Arial" w:hAnsi="Arial" w:cs="Arial"/>
          <w:color w:val="000000"/>
          <w:sz w:val="22"/>
          <w:szCs w:val="22"/>
          <w:lang w:val="sr-Cyrl-RS"/>
        </w:rPr>
        <w:t xml:space="preserve"> Током ванредног стања образовање младих такође је било праћено изазовима, као што су, на пример, контрадикторне информације о онлајн полагању мале и велике матуре, неукључивање младих у процес избора платформи за онлајн учење и др.</w:t>
      </w:r>
      <w:r w:rsidRPr="00EF008E">
        <w:rPr>
          <w:rFonts w:ascii="Arial" w:hAnsi="Arial" w:cs="Arial"/>
          <w:color w:val="000000"/>
          <w:sz w:val="22"/>
          <w:szCs w:val="22"/>
          <w:vertAlign w:val="superscript"/>
          <w:lang w:val="sr-Cyrl-RS"/>
        </w:rPr>
        <w:t>711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Све ово указује на потребу креирања свеобухватног алтернативног модела функционисања система образовања који би се примењивао у кризним ситуацијама, а који би омогућио једнаку доступност квалитетног образовања за сву децу.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Мере усвојене у циљу спречавања ширења епидемије нису имале у виду рањиве групе и њихове потребе. Са посебним тешкоћама у току ванредног стања и епидемије суочили су се: жене, самохрани родитељи, Роми и Ромкиње, особе са инвалидитетом, деца, старији од 65 година, мигранти, азиланти, бескућници, ЛГБТИ.</w:t>
      </w:r>
      <w:r w:rsidRPr="00EF008E">
        <w:rPr>
          <w:rFonts w:ascii="Arial" w:hAnsi="Arial" w:cs="Arial"/>
          <w:color w:val="000000"/>
          <w:sz w:val="22"/>
          <w:szCs w:val="22"/>
          <w:vertAlign w:val="superscript"/>
          <w:lang w:val="sr-Cyrl-RS"/>
        </w:rPr>
        <w:t>712</w:t>
      </w:r>
      <w:r w:rsidRPr="00EF008E">
        <w:rPr>
          <w:rFonts w:ascii="Arial" w:hAnsi="Arial" w:cs="Arial"/>
          <w:color w:val="000000"/>
          <w:sz w:val="22"/>
          <w:szCs w:val="22"/>
          <w:lang w:val="sr-Cyrl-RS"/>
        </w:rPr>
        <w:t xml:space="preserve"> Посебне мере за ове рањиве групе нису донете, а многе од постојећих услуга су престале да функционишу.</w:t>
      </w:r>
      <w:r w:rsidRPr="00EF008E">
        <w:rPr>
          <w:rFonts w:ascii="Arial" w:hAnsi="Arial" w:cs="Arial"/>
          <w:color w:val="000000"/>
          <w:sz w:val="22"/>
          <w:szCs w:val="22"/>
          <w:vertAlign w:val="superscript"/>
          <w:lang w:val="sr-Cyrl-RS"/>
        </w:rPr>
        <w:t>713</w:t>
      </w:r>
      <w:r w:rsidRPr="00EF008E">
        <w:rPr>
          <w:rFonts w:ascii="Arial" w:hAnsi="Arial" w:cs="Arial"/>
          <w:color w:val="000000"/>
          <w:sz w:val="22"/>
          <w:szCs w:val="22"/>
          <w:lang w:val="sr-Cyrl-RS"/>
        </w:rPr>
        <w:t xml:space="preserve"> Епидемија болести COVID-19 је још једном потврдила неопходност хитне деинституционализације јер није могуће организовати адекватну заштиту корисника/ца и запослених у установама за смештај особа са инвалидитетом.</w:t>
      </w:r>
      <w:r w:rsidRPr="00EF008E">
        <w:rPr>
          <w:rFonts w:ascii="Arial" w:hAnsi="Arial" w:cs="Arial"/>
          <w:color w:val="000000"/>
          <w:sz w:val="22"/>
          <w:szCs w:val="22"/>
          <w:vertAlign w:val="superscript"/>
          <w:lang w:val="sr-Cyrl-RS"/>
        </w:rPr>
        <w:t>714</w:t>
      </w:r>
      <w:r w:rsidRPr="00EF008E">
        <w:rPr>
          <w:rFonts w:ascii="Arial" w:hAnsi="Arial" w:cs="Arial"/>
          <w:color w:val="000000"/>
          <w:sz w:val="22"/>
          <w:szCs w:val="22"/>
          <w:lang w:val="sr-Cyrl-RS"/>
        </w:rPr>
        <w:t xml:space="preserve"> Током ванредног стања, повећан је ризик од породичног и партнерског насиља за жене са инвалидитетом, а оне су се суочавале са неприступачним облицима информисања, обустављањем или смањењем обима и начина пружања услуга.</w:t>
      </w:r>
      <w:r w:rsidRPr="00EF008E">
        <w:rPr>
          <w:rFonts w:ascii="Arial" w:hAnsi="Arial" w:cs="Arial"/>
          <w:color w:val="000000"/>
          <w:sz w:val="22"/>
          <w:szCs w:val="22"/>
          <w:vertAlign w:val="superscript"/>
          <w:lang w:val="sr-Cyrl-RS"/>
        </w:rPr>
        <w:t>715</w:t>
      </w:r>
      <w:r w:rsidRPr="00EF008E">
        <w:rPr>
          <w:rFonts w:ascii="Arial" w:hAnsi="Arial" w:cs="Arial"/>
          <w:color w:val="000000"/>
          <w:sz w:val="22"/>
          <w:szCs w:val="22"/>
          <w:lang w:val="sr-Cyrl-RS"/>
        </w:rPr>
        <w:t xml:space="preserve"> Рестриктивне мере уведене током епидемије појачале су ризик од сиромаштва Рома и Ромкиња које држава није препознала као посебно угрожену групу становништва, те су изостале посебно усмерене мере подршке.</w:t>
      </w:r>
      <w:r w:rsidRPr="00EF008E">
        <w:rPr>
          <w:rFonts w:ascii="Arial" w:hAnsi="Arial" w:cs="Arial"/>
          <w:color w:val="000000"/>
          <w:sz w:val="22"/>
          <w:szCs w:val="22"/>
          <w:vertAlign w:val="superscript"/>
          <w:lang w:val="sr-Cyrl-RS"/>
        </w:rPr>
        <w:t>716</w:t>
      </w:r>
      <w:r w:rsidRPr="00EF008E">
        <w:rPr>
          <w:rFonts w:ascii="Arial" w:hAnsi="Arial" w:cs="Arial"/>
          <w:color w:val="000000"/>
          <w:sz w:val="22"/>
          <w:szCs w:val="22"/>
          <w:lang w:val="sr-Cyrl-RS"/>
        </w:rPr>
        <w:t xml:space="preserve"> Особе са инвалидитетом су у већем ризику од заражавања и озбиљнијим симптомима болести COVID-19 због општег здравственог стања, препрека у приступу здравственим услугама, тешкоћа у придржавању мера физичког дистанцирања, потребе за подршком других особа, додиривања објеката ради информисања, начина живота у групним облицима становања, баријера у приступу информацијама о здрављу и мерама. Особе са инвалидитетом, посебно жене, биле су изложене већем ризику од нарушавања здравственог стања због отказивања или одлагања редовних терапија, немогућности набавке потребних лекова, дуготрајне изолације која нарушава опште физичко стање. Заштита репродуктивног здравља и приступ гинеколошким прегледима су били у другом плану, с обзиром да је за коришћење ове и других услуга здравствене заштите, женама са инвалидитетом је често потребан адекватан превоз и асистенција, а када то обезбеде, долазе до неприступачних амбуланти које често немају хидрауличне гинеколошке столице.</w:t>
      </w:r>
      <w:r w:rsidRPr="00EF008E">
        <w:rPr>
          <w:rFonts w:ascii="Arial" w:hAnsi="Arial" w:cs="Arial"/>
          <w:color w:val="000000"/>
          <w:sz w:val="22"/>
          <w:szCs w:val="22"/>
          <w:vertAlign w:val="superscript"/>
          <w:lang w:val="sr-Cyrl-RS"/>
        </w:rPr>
        <w:t>717</w:t>
      </w:r>
      <w:r w:rsidRPr="00EF008E">
        <w:rPr>
          <w:rFonts w:ascii="Arial" w:hAnsi="Arial" w:cs="Arial"/>
          <w:color w:val="000000"/>
          <w:sz w:val="22"/>
          <w:szCs w:val="22"/>
          <w:lang w:val="sr-Cyrl-RS"/>
        </w:rPr>
        <w:t xml:space="preserve"> Проблем здравствене заштите ромске популације је престанак рада здравствених медијаторки током ванредног стања. То се негативно одразило на труднице, породиље, децу, особе са инвалидитетом, старија лица и лица која пате од хроничних болести. Цена заштитне опреме онемогућила је адекватну заштиту и приступ здравственим услугама делу најсиромашнијих Рома и Ромкиња. Проблем је било и заказивање прегледа онлајн или телефоном.</w:t>
      </w:r>
      <w:r w:rsidRPr="00EF008E">
        <w:rPr>
          <w:rFonts w:ascii="Arial" w:hAnsi="Arial" w:cs="Arial"/>
          <w:color w:val="000000"/>
          <w:sz w:val="22"/>
          <w:szCs w:val="22"/>
          <w:vertAlign w:val="superscript"/>
          <w:lang w:val="sr-Cyrl-RS"/>
        </w:rPr>
        <w:t>718</w:t>
      </w:r>
      <w:r w:rsidRPr="00EF008E">
        <w:rPr>
          <w:rFonts w:ascii="Arial" w:hAnsi="Arial" w:cs="Arial"/>
          <w:color w:val="000000"/>
          <w:sz w:val="22"/>
          <w:szCs w:val="22"/>
          <w:lang w:val="sr-Cyrl-RS"/>
        </w:rPr>
        <w:t xml:space="preserve"> Ромкиње које имају здравствену књижицу нису ишле код лекара, заказани термини су отказивани. Највише су била погођена деца са сметњама у развоју и инвалидитетом и деца из ромске популације. За децу са сметњама у развоју нису донете мере које би обезбедиле да под једнаким условима остварују право на образовање, док је за децу из ромске популације проблем представљало то што нису имала техничку опрему за праћење наставе на даљину, а положај им је додатно отежан престанком рада педагошких асистената.</w:t>
      </w:r>
      <w:r w:rsidRPr="00EF008E">
        <w:rPr>
          <w:rFonts w:ascii="Arial" w:hAnsi="Arial" w:cs="Arial"/>
          <w:color w:val="000000"/>
          <w:sz w:val="22"/>
          <w:szCs w:val="22"/>
          <w:vertAlign w:val="superscript"/>
          <w:lang w:val="sr-Cyrl-RS"/>
        </w:rPr>
        <w:t>719</w:t>
      </w:r>
      <w:r w:rsidRPr="00EF008E">
        <w:rPr>
          <w:rFonts w:ascii="Arial" w:hAnsi="Arial" w:cs="Arial"/>
          <w:color w:val="000000"/>
          <w:sz w:val="22"/>
          <w:szCs w:val="22"/>
          <w:lang w:val="sr-Cyrl-RS"/>
        </w:rPr>
        <w:t xml:space="preserve"> Резултати истраживања показали су да скоро 70% ОЦД сматра да је током трајања епидемије болести COVID-19 дошло до повећања ризика у области инклузивног образовања за децу са инвалидитетом и за децу из ромске популације.</w:t>
      </w:r>
      <w:r w:rsidRPr="00EF008E">
        <w:rPr>
          <w:rFonts w:ascii="Arial" w:hAnsi="Arial" w:cs="Arial"/>
          <w:color w:val="000000"/>
          <w:sz w:val="22"/>
          <w:szCs w:val="22"/>
          <w:vertAlign w:val="superscript"/>
          <w:lang w:val="sr-Cyrl-RS"/>
        </w:rPr>
        <w:t>720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Налази у истраживањима, реаговањима независних институција заштите људских права за време ванредног стања и у току ванредне ситуација, као и активности у вези са родним аспектима пандемије изазване епидемијом болести COVID-19, показују да је неопходно укључити родне аспекте мера које се предузимају у ванредним ситуацијама изазваним не само пандемијом, већ и бројним другим узроцима (елементарне непогоде, поплаве, земљотреси, климатске промене, аеро загађења, хаварије већих размера и др.). Потребан је интерсекторски приступ родним аспектима ванредних ситуација изазваних различитим узроцима, јер су оне посебан безбедносни ризик за женска људска права. Стога је неопходно сачинити свеобухватну анализу родних аспеката и последица мера које се у таквим околностима предузимају, као и мера усмерених на отклањање последица изазваних ванредним околностима и сачинити препоруке о интегрисању родне перспективе у прописе и планске документе који се односе на ванредне ситуације.</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685 На пример: Пајванчић, М. и др, Родна анализа одговора на COVID-19 у Републици Србији, Мисија ОЕБС-а у Србији и ЖПРС 2020, доступно на: https://www.osce.org/files/f/documents/3/9/459391.pdf, приступљено 3.6.2021. Економија бриге за време пандемије КОВИД-19 и мера за њено спровођење, SeConS, UN Women, 2020; Утицај КОВИД-19 пандемије и мера за њено спречавање на предузетнице у Србији, SeConS, UN Women, 2020; Утицај КОВИД-19 пандемије и мера за њено спречавање на запосленост и услове рада жена и мушкараца у Србији, SeConS, Европска комисија, UN Women, 2020; Consequences of COVID-19 on womens and mens economic empowerment, SeConS, UN Women, UNFPA, 2020. Декларација женских организација цивилног друштва и експерткиња за родну равноправност након националних консултација за борбу против епидемије КОВИД-19 у РС, ЖПРС; КОВИД-19 заједничка регионална изјава ОЦД; доступно на: https://drive.google.com/drive/folders/16Bg45r57ZTFuXwayRds62Qf5xifHht0u?usp=sharing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686 COVID-19 and Ending Violence Against Women and Girls, UN Women; Violence Against Women and Girls Data Collection during COVID-19, UN Women; ODIHR &amp; UN Women launch surveys on COVID-19 and Human Trafficking in 25 languages; Making Indigenous Women and Girls Visible in the Implementation of the UN Framework for the Immediate Socio-Economic Response to COVID-19 Accessing Funds Through the Multi-Partner Trust Fund, UN Women, 2020; Impact of the COVID-19 pandemic on specialist services for victims and survivors of violence in Serbia, a proposal for addressing needs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Country report Serbia, UN Women, 2020; UN Women series: Women at the forefront of COVID-19 response in Europe and Central Asia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Voices of gender equality mechanism on COVID-19, UN Women, 2020. Women’s Political Participation: Guidance on COVID-19 Policy and Programme Responses, UN Women, 2020; Доступно на: https://drive.google.com/drive/folders/16Bg45r57ZTFuXwayRds62Qf5xifHht0u?usp=sharing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687</w:t>
      </w:r>
      <w:r w:rsidRPr="00EF008E">
        <w:rPr>
          <w:rFonts w:ascii="Arial" w:hAnsi="Arial" w:cs="Arial"/>
          <w:i/>
          <w:color w:val="000000"/>
          <w:sz w:val="22"/>
          <w:szCs w:val="22"/>
          <w:lang w:val="sr-Cyrl-RS"/>
        </w:rPr>
        <w:tab/>
        <w:t xml:space="preserve">Више: Николин, С., Рајков, Г. Политичко учешће жена са инвалидитетом током пандемије КОВИД-19, ЦСЖ, 2020, доступно на: http://cilsrbija.org/ebib/202010201257060.Politicko_ucesce_osi_u_Srbiji_tokom_pandemije_KOVID19.pdf приступ 15.6.2021; Утицај КОВИД-19 пандемије и мера за њено спречавање на социо-економски положај жена које живе на селу са фокусом на пољопривреду, SeConS, UN Women, 2020; КОВИД-19 Како укључити маргинализоване и рањиве групе у комуникацију о ризику и ангажовање заједнице, UN Women; Бркић, С. и др. Шта особе које живе са ХИВ-ом треба да знају о оболењу изазваном новим вирусом корона под називом КОВИД-19?, USOP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Унија PLWHA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организација у Србији, 2020; Стефановић, С. и др. Бити дете за време пандемије КОВИД-19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анализа истраживања утицаја мера ванредног стања на децу током пандемије КОВИД-19 у Србији, МОДС, 2020. Доступно на: https://drive.google.com/drive/folders/16Bg45r57ZTFuXwayRds62Qf5xifHht0u?usp=sharing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688 Највећи број притужби 121 притужби односио се на здравствено стање, 115 старосно доба, 114 национална припадност од тога 94 притужбе или 82% су притужбе ромске мањине, 105 пол, 89 инвалидитет (стр. 18). Повереник је упутио 312 препорука мера и 12 иницијатива органима јавне власти, у циљу деловања на унапређењу положаја појединих група становништва које су у условима пандемије нарочито рањиве које су се односиле на давање информација и обавештења у приступачним форматима, редовно пружање услуге помоћ у кући свим корисницима и обезбеђивање потребних дозвола за кретање лица која пружају ову помоћ, потребу да се услугама социјалне заштите и програмима помоћи обухвате сва лица која се налазе у стању потребе, шири обухват економским мерама помоћи и др. (стр. 13), Годишњи извештај Повереника за заштиту равноправности, 2020. Доступно на: http://ravnopravnost.gov.rs/wp-content/uploads/2021/04/Poverenik-za-zastitu-ravnopravnosti-Godisnji-izvestaj-za-2020 приступ 10.6.2021.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689 Заштитник грађана је реаговао на почетку епидемиолошке кризе кад су били прекинути сви видови међународног саобраћаја како би, захваљујући билатералним контактима са омбудсманима других држава, дао допринос повратку наших грађана из иностранства у РС. Покренуте су иницијативе које су омогућиле неометано кретање деци и родитељима деце са аутизмом у време забране кретања, одржавање личних односа између детета и родитеља са којим дете не живи, кретање лицима која се брину о старијима, непокретнима и особама са инвалидитетом током забране кретања, кретање жртвама насиља у време забране кретања ради заштите од насиља, као и измене процедура обавештавања породице о здравственом стању пацијената оболелих од COVID-19 смештених у Клиничком центру Ниш. Појачан је надзор на терену, провера услова у којима се налазе грађани, а посебно осетљиве групе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деца, особе са инвалидитетом, Роми, мигранти као и лица лишена слободе. Продужено радно време на седам дана у недељи, уведено више телефонских линија које су радиле од 8</w:t>
      </w:r>
      <w:r>
        <w:rPr>
          <w:rFonts w:ascii="Arial" w:hAnsi="Arial" w:cs="Arial"/>
          <w:i/>
          <w:color w:val="000000"/>
          <w:sz w:val="22"/>
          <w:szCs w:val="22"/>
          <w:lang w:val="sr-Cyrl-RS"/>
        </w:rPr>
        <w:t>-</w:t>
      </w:r>
      <w:r w:rsidRPr="00EF008E">
        <w:rPr>
          <w:rFonts w:ascii="Arial" w:hAnsi="Arial" w:cs="Arial"/>
          <w:i/>
          <w:color w:val="000000"/>
          <w:sz w:val="22"/>
          <w:szCs w:val="22"/>
          <w:lang w:val="sr-Cyrl-RS"/>
        </w:rPr>
        <w:t>22 сата. Видети: Посебан извештај Заштитника грађана за време ванредног стања, доступно на: https://ombudsman.rs/attachment/article/6643/poseban%20izveštaj20zg_vanredno%stanje.docx приступ 11.9.2021, Тематски извештај НПМ о примени принципа ЦПТ о поступању према лицима лишеним слободе за време пандемије корона болести, 2020, доступно на: https://ombudsman.rs/artisle6630/izveštaj.pdf приступ 11.9.2021, Посебан извештај Заштитника грађана Услови у ромским насељима и примена мера заштите услед епидемије корона болести (COVID-19), 2020. Доступно на: https://zaštitnik.rs/index.php/izveštaji/posebni-izveštaj/6608-10 приступ: 11.9.2021., Годишњи извештај Заштитника грађана за 2020., страна 5. Доступно на: https://www.ombudsman.rs/index.php/izvestaji/godisnji-izvestaji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690 Више: Људска права и КОВИД-19,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анализа правног оквира током епидемије, утицај на остваривање људских права, YUCOM, 2020, доступно на: https://en.yucom.org.rs/analysis-of-the-changes-in-legal-framework-during-the-covid-19-epidemic-and-impact-on-enjoying-human-rights-in-the-republic-of-serbia/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Анализа мера одступања од људских и мањинских права током ванредног стања у РС изазваног епидемијом заразне болести КОВИД-19 у Србији, А11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Иницијатива за социјална и економска права, 2020, доступно на: https://www.a11initiative.org/wp-content/uploads/2020/03/Analiza-mera-odstupanja-derogacija-od-ljudskih-i-manjinskih-prava-tokom-vanrednog-stanja-u-Republici-Srbiji-izazvanog-epidemijom-zarazne-bolesti-COVID-19-1.pdf Мисија ОЕБС припремила је посебне алате за државе чланице везане за Поштовање демократије, владавине права и људских права у контексту здравствене кризе изазване КОВИД-19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Алати за државе чланице, ОЕБС, 2020. доступно на: www.osce.org.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691 Редовни годишњи извештај Повереника за заштиту равноправности, страна 37.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692 У извештају се наводи да се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Током кризе у великој мери могла се сагледати потреба унапређивања приступа адекватним и правовременим информацијама у вези са кризним догађајем и начинима за његово превазилажење, али и други проблеми, попут: сагледавања специфичности различитих друштвених група које су током криза у повећаном ризику, давања правовременог одговора на њихове потребе; неопходности претходног поседовања што прецизнијих сегрегисаних података о становништву како се не би догодило да неке група грађана буду изостављене из појединих мера; нужности успостављања сарадње и укључивања што већег броја представника рањивих група у креирање одговарајућих одговора на кризне ситуације; снажне потребе за подстицањем волонтеризма и друштвене одговорности; развоја и прецизирања могућности за континуирано коришћење права на здравствену али и социјалну заштиту, у условима кризних ситуација; потребе за прецизирањем одредаба одређених прописа (попут прописа о раду од куће, безбедности и здравља на раду у кризним ситуацијама и сл.) и наглашава да је </w:t>
      </w:r>
      <w:r>
        <w:rPr>
          <w:rFonts w:ascii="Arial" w:hAnsi="Arial" w:cs="Arial"/>
          <w:i/>
          <w:color w:val="000000"/>
          <w:sz w:val="22"/>
          <w:szCs w:val="22"/>
          <w:lang w:val="sr-Cyrl-RS"/>
        </w:rPr>
        <w:t>"</w:t>
      </w:r>
      <w:r w:rsidRPr="00EF008E">
        <w:rPr>
          <w:rFonts w:ascii="Arial" w:hAnsi="Arial" w:cs="Arial"/>
          <w:i/>
          <w:color w:val="000000"/>
          <w:sz w:val="22"/>
          <w:szCs w:val="22"/>
          <w:lang w:val="sr-Cyrl-RS"/>
        </w:rPr>
        <w:t>пракса показала и да је потребно укључивати представнике организација које се баве заштитом права одређених друштвених група као и институције за заштиту људских права, попут Повереника, у креирање мера превенције и заштите становништва, као и да је било и неопходно остављати довољно времена за припрему и информисање становништва за увођење мера, а у циљу постизања бољих и ефикаснијих резултата</w:t>
      </w:r>
      <w:r>
        <w:rPr>
          <w:rFonts w:ascii="Arial" w:hAnsi="Arial" w:cs="Arial"/>
          <w:i/>
          <w:color w:val="000000"/>
          <w:sz w:val="22"/>
          <w:szCs w:val="22"/>
          <w:lang w:val="sr-Cyrl-RS"/>
        </w:rPr>
        <w:t>"</w:t>
      </w:r>
      <w:r w:rsidRPr="00EF008E">
        <w:rPr>
          <w:rFonts w:ascii="Arial" w:hAnsi="Arial" w:cs="Arial"/>
          <w:i/>
          <w:color w:val="000000"/>
          <w:sz w:val="22"/>
          <w:szCs w:val="22"/>
          <w:lang w:val="sr-Cyrl-RS"/>
        </w:rPr>
        <w:t>, страна 15.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693 Исто, страна 45.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694 Исто, стр. 26</w:t>
      </w:r>
      <w:r>
        <w:rPr>
          <w:rFonts w:ascii="Arial" w:hAnsi="Arial" w:cs="Arial"/>
          <w:i/>
          <w:color w:val="000000"/>
          <w:sz w:val="22"/>
          <w:szCs w:val="22"/>
          <w:lang w:val="sr-Cyrl-RS"/>
        </w:rPr>
        <w:t>-</w:t>
      </w:r>
      <w:r w:rsidRPr="00EF008E">
        <w:rPr>
          <w:rFonts w:ascii="Arial" w:hAnsi="Arial" w:cs="Arial"/>
          <w:i/>
          <w:color w:val="000000"/>
          <w:sz w:val="22"/>
          <w:szCs w:val="22"/>
          <w:lang w:val="sr-Cyrl-RS"/>
        </w:rPr>
        <w:t>27.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695 Видети: Годишњи извештај Заштитника грађана, стр. 7</w:t>
      </w:r>
      <w:r>
        <w:rPr>
          <w:rFonts w:ascii="Arial" w:hAnsi="Arial" w:cs="Arial"/>
          <w:i/>
          <w:color w:val="000000"/>
          <w:sz w:val="22"/>
          <w:szCs w:val="22"/>
          <w:lang w:val="sr-Cyrl-RS"/>
        </w:rPr>
        <w:t>-</w:t>
      </w:r>
      <w:r w:rsidRPr="00EF008E">
        <w:rPr>
          <w:rFonts w:ascii="Arial" w:hAnsi="Arial" w:cs="Arial"/>
          <w:i/>
          <w:color w:val="000000"/>
          <w:sz w:val="22"/>
          <w:szCs w:val="22"/>
          <w:lang w:val="sr-Cyrl-RS"/>
        </w:rPr>
        <w:t>8 Доступно на: https://www.ombudsman.rs/index.php/izvestaji/godisnji-izvestaji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696 Доступно на: COVID-19: Како укључити маргинализоване и рањиве особе у комуникацију о ризику и у ангажовање заједнице, UN Women Srbija,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697</w:t>
      </w:r>
      <w:r w:rsidRPr="00EF008E">
        <w:rPr>
          <w:rFonts w:ascii="Arial" w:hAnsi="Arial" w:cs="Arial"/>
          <w:i/>
          <w:color w:val="000000"/>
          <w:sz w:val="22"/>
          <w:szCs w:val="22"/>
          <w:lang w:val="sr-Cyrl-RS"/>
        </w:rPr>
        <w:tab/>
        <w:t>Доступно на: https://www.womenngo.org.rs/vesti/1576-saopstenje-za-javnost-zastita-i-podrska-zenama-zrtvama-nasilja-tokom-prvih-mesec-dana-vanrednog-stanja, приступ 30.5.2021.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698</w:t>
      </w:r>
      <w:r w:rsidRPr="00EF008E">
        <w:rPr>
          <w:rFonts w:ascii="Arial" w:hAnsi="Arial" w:cs="Arial"/>
          <w:i/>
          <w:color w:val="000000"/>
          <w:sz w:val="22"/>
          <w:szCs w:val="22"/>
          <w:lang w:val="sr-Cyrl-RS"/>
        </w:rPr>
        <w:tab/>
        <w:t>Доступно на: https://www.femplatz.org/library/newsletters/Bilten_4_SR.pdf,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699 Impact of the COVID-19 pandemic on specialist services for victims and survivors of violence in the Western Balkans and Turkey, UNW 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700 Родна анализа одговора на КОВИД-19 у РС, ОСЦЕ 2020. Доступно на: https://www.osce.org/files/f/documents/3/9/459391.pdf; приступ 15.6.2021. Одбор за људска права Врање и Удружење Ромкиња ОСВИТ из Ниша, поднеле два предлога: за допуну уредбе о забрани кретања и Предлог допуне уредбе о организовању рада установа социјалне заштите, организације социјалне заштите за пружање услуга домског смештаја у период ванредног стања, којим би се омогућио пријем жена са искуством насиља у Сигурне куће током пандемије КОВИД-19. Ни један од предлога није усвојен.</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701</w:t>
      </w:r>
      <w:r w:rsidRPr="00EF008E">
        <w:rPr>
          <w:rFonts w:ascii="Arial" w:hAnsi="Arial" w:cs="Arial"/>
          <w:i/>
          <w:color w:val="000000"/>
          <w:sz w:val="22"/>
          <w:szCs w:val="22"/>
          <w:lang w:val="sr-Cyrl-RS"/>
        </w:rPr>
        <w:tab/>
        <w:t>Доступно на: https://rm.coe.int/declaration-committee-of-the-parties-to-ic-covid-/16809e33c6n-cases-of-violence-against-women, приступ 13.6.2021.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702</w:t>
      </w:r>
      <w:r w:rsidRPr="00EF008E">
        <w:rPr>
          <w:rFonts w:ascii="Arial" w:hAnsi="Arial" w:cs="Arial"/>
          <w:i/>
          <w:color w:val="000000"/>
          <w:sz w:val="22"/>
          <w:szCs w:val="22"/>
          <w:lang w:val="sr-Cyrl-RS"/>
        </w:rPr>
        <w:tab/>
        <w:t>Доступно на: https://www.osce.org/secretariat/449797.; https://eige.europa.eu/news/covid-19-and-gender-based-violence-has-pandemic-taught-us-anything;https://victimsupport.eu/covid-19information /?fbclid=IwAR3KYSC14Elm055wqRVwrMKIbd-1Bao3mJ2n_-kOD5K7g32-Upcpvp7hFY;https://www.euro.who.int/en/health-topics/disease-prevention/violence-and-injuries/areas-of-work/violence/violence-against-women; https://www.rosalux.de/en/news/id/42140/feminism-now. приступ 17.6.2021.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703</w:t>
      </w:r>
      <w:r w:rsidRPr="00EF008E">
        <w:rPr>
          <w:rFonts w:ascii="Arial" w:hAnsi="Arial" w:cs="Arial"/>
          <w:i/>
          <w:color w:val="000000"/>
          <w:sz w:val="22"/>
          <w:szCs w:val="22"/>
          <w:lang w:val="sr-Cyrl-RS"/>
        </w:rPr>
        <w:tab/>
        <w:t>Rupasinge, N. и др. Утицај ковид-19 на здравствене системе на Западном Балкану Доступно на: https://pubdocs.worldbank.org/en/726641590707354436/RER17-Health-note-SRB.pdf,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704 Супервизија Републичког завода за социјалну заштиту о начину функционисања ЦСР током пандемије показала је да су центри функционисали отежано и прилагођавали организацију радног процеса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рад у сменама, дежурства, рад у циклусима када део запослених ради од куће, а део у просторијама центара. Иако није постојала стриктна инструкција о приоритетизацији случајева, по аутоматизму су прво решавани хитни смештаји и случајеви насиља. Рестрикције у директним контактима прављене су обуставом теренских посета корисницима и приликом пријема захтева за материјална давања. Највеће тешкоће и пуно непознаница ЦСР су имали у ситуацијама виђања детета са родитељем са којим дете не живи, по судским одлукама, због ограничења кретања грађана/ки и самих стручњака центара за социјални рад. Извор: Коментар Републичког завода за социјалну заштиту током консултација о Полазним основама Стратегије за родну равноправност за период 2021</w:t>
      </w:r>
      <w:r>
        <w:rPr>
          <w:rFonts w:ascii="Arial" w:hAnsi="Arial" w:cs="Arial"/>
          <w:i/>
          <w:color w:val="000000"/>
          <w:sz w:val="22"/>
          <w:szCs w:val="22"/>
          <w:lang w:val="sr-Cyrl-RS"/>
        </w:rPr>
        <w:t>-</w:t>
      </w:r>
      <w:r w:rsidRPr="00EF008E">
        <w:rPr>
          <w:rFonts w:ascii="Arial" w:hAnsi="Arial" w:cs="Arial"/>
          <w:i/>
          <w:color w:val="000000"/>
          <w:sz w:val="22"/>
          <w:szCs w:val="22"/>
          <w:lang w:val="sr-Cyrl-RS"/>
        </w:rPr>
        <w:t>2030, август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705 Пајванчић, М. и др. Rodna analiza odgovora na COVID-19 u Republici Srbiji, 2020, страна 47, доступно на: https://www.osce.org/files/f/documents/3/9/459391.pdf,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706 Увођењем ванредног стања образовни програми су реализовани на даљину путем телевизијског канала РТС 3, платформе РТС Планета и интернет платформи за учење. Одлука о обустави извођења наставе у високошколским установама, средњим и основним школама и редовног рада установа предшколског васпитања и образовања,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брoj 30/2020.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707 Према подацима ресорног министарства, министарство је набавило и дистрибуирало 2450 ИТ уређаја и 2400 интернет картица, а уз подршку Ромског образовног фонда и Фондације отворено друштво још 550 ИТ уређаја који су додељени школама у којима се образују ученици/це ромске националности који нису имали потребну ИТ опрему за праћење наставе на даљину. Током школске 2020/21. године, кроз партнерство са УНИЦЕФ-ом набављено је преко 2.000 уређаја за 30 најугроженијих школа у којима се образују ромски ученици, обука за 900 наставника, као и неповратна средства за школе (5.000 евра) за формирање Клуба за учење у којима се обезбеђују услови за онлајн учење за ученике који немају те услове кући.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708 Према налазима истраживања које је ресорно министарство спровело у сарадњи са УНИЦЕФ-ом и Институтом за психологију, већина ПА је, користећи савремену комуникациону технологију, била са ученицима у контакту најмање три пута недељно, најмање два пута недељно са родитељима, а свакодневно са наставницима/цама, са којима су размењивали образовни материјал и белешке о активности појединих ученика, прикупљали задатке од ученика и достављали их предметним наставницима, ако то ученици нису урадили директно; За ученике/це који наставу прате смо преко ТВ, ПА су остварили појачану комуникацију са ученицима/цама, бележили рад и образовна постигнућа ученика/ца, што је коришћено у процесу оцењивања, у складу са допунама Правилника о оцењивању ученика у основном образовању и васпитању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број 34 од 17. маја 2019, 59 од 22. априла 2020) Видети: </w:t>
      </w:r>
      <w:r>
        <w:rPr>
          <w:rFonts w:ascii="Arial" w:hAnsi="Arial" w:cs="Arial"/>
          <w:i/>
          <w:color w:val="000000"/>
          <w:sz w:val="22"/>
          <w:szCs w:val="22"/>
          <w:lang w:val="sr-Cyrl-RS"/>
        </w:rPr>
        <w:t>"</w:t>
      </w:r>
      <w:r w:rsidRPr="00EF008E">
        <w:rPr>
          <w:rFonts w:ascii="Arial" w:hAnsi="Arial" w:cs="Arial"/>
          <w:i/>
          <w:color w:val="000000"/>
          <w:sz w:val="22"/>
          <w:szCs w:val="22"/>
          <w:lang w:val="sr-Cyrl-RS"/>
        </w:rPr>
        <w:t>Праћење начина учешћа и процеса учења ученика из осетљивих група током остваривања образовно-васпитног рада учењем на даљину</w:t>
      </w:r>
      <w:r>
        <w:rPr>
          <w:rFonts w:ascii="Arial" w:hAnsi="Arial" w:cs="Arial"/>
          <w:i/>
          <w:color w:val="000000"/>
          <w:sz w:val="22"/>
          <w:szCs w:val="22"/>
          <w:lang w:val="sr-Cyrl-RS"/>
        </w:rPr>
        <w:t>"</w:t>
      </w:r>
      <w:r w:rsidRPr="00EF008E">
        <w:rPr>
          <w:rFonts w:ascii="Arial" w:hAnsi="Arial" w:cs="Arial"/>
          <w:i/>
          <w:color w:val="000000"/>
          <w:sz w:val="22"/>
          <w:szCs w:val="22"/>
          <w:lang w:val="sr-Cyrl-RS"/>
        </w:rPr>
        <w:t>. доступно на: http://www.mpn.gov.rs/wp-content/uploads/2020/06/4.b-Prvi-izve%C5%A1taj-osetljive-grupe-u%C4%8Denje-na-daljinu.pdf приступ 28.8.2021.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709 Школе су биле у обавези да у оперативним плановима рада предвиде и учење на даљину са ученицима који раде по индивидуалном образовном плану, а наставници да израде посебне прилагођене материјале за ђаке којима је потребан структуиран индивидуализован приступ у раду и да их учине доступним ученицима, као и да као и да припреме садржај, упутство за учење и начин добијања повратне информације, како би се пратило напредовање ученика и обезбедила додатна подршка. Ресорно министарство је упутило и допис свим општинама са препоруком за организовање рада интерресорне комисије са циљем да се у условима ванредног стања обезбеди додатна подршка деци и ученицима. Такође, током припрема пробног завршног испита у онлајн окружењу, школе су добиле посебне инструкције о модалитетима прилагођавања овог испита ученицима који се образују по индивидуалном образовном плану. Подаци о предузетим мерама доступни су на сајту ресорног министарства. http://www.mpn.gov.rs/.</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710 Родна анализа одговора на КОВИД-19 у РС, оп. цит. страна 51UNW 2020.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711 Исто, страна 25.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712</w:t>
      </w:r>
      <w:r w:rsidRPr="00EF008E">
        <w:rPr>
          <w:rFonts w:ascii="Arial" w:hAnsi="Arial" w:cs="Arial"/>
          <w:i/>
          <w:color w:val="000000"/>
          <w:sz w:val="22"/>
          <w:szCs w:val="22"/>
          <w:lang w:val="sr-Cyrl-RS"/>
        </w:rPr>
        <w:tab/>
        <w:t>Мршевић, З. 2020. Положај лезбејки и транс жена у време пандемије корона болести. A11 иницијатива. Доступно на: https://www.a11initiative.org/zorica-mrsevic-polozaj-lezbejki-i-trans-zena-u-vreme-pandemije-korona-virusa/, приступ 30.5.2021.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713</w:t>
      </w:r>
      <w:r w:rsidRPr="00EF008E">
        <w:rPr>
          <w:rFonts w:ascii="Arial" w:hAnsi="Arial" w:cs="Arial"/>
          <w:i/>
          <w:color w:val="000000"/>
          <w:sz w:val="22"/>
          <w:szCs w:val="22"/>
          <w:lang w:val="sr-Cyrl-RS"/>
        </w:rPr>
        <w:tab/>
        <w:t>Пајванчић, М. и др. Родна анализа одговора на КОВИД-19 у Републици Србији, 2020, страна 47, доступно на: https://www.osce.org/files/f/documents/3/9/459391.pdf,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714</w:t>
      </w:r>
      <w:r w:rsidRPr="00EF008E">
        <w:rPr>
          <w:rFonts w:ascii="Arial" w:hAnsi="Arial" w:cs="Arial"/>
          <w:i/>
          <w:color w:val="000000"/>
          <w:sz w:val="22"/>
          <w:szCs w:val="22"/>
          <w:lang w:val="sr-Cyrl-RS"/>
        </w:rPr>
        <w:tab/>
        <w:t>Бекер, К. и др. КОВИД -19 мере и социјална и економска права жена са инвалидитетом у Србији, Udruženje građanki, FemPlatz, Iz kruga Beograd, 2021. страна 11 доступно на: https://www.femplatz.org/library/reports/2021-02-16_Kovid-19_i_zene_sa_invaliditetom.pdf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715 Ибид.</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716</w:t>
      </w:r>
      <w:r w:rsidRPr="00EF008E">
        <w:rPr>
          <w:rFonts w:ascii="Arial" w:hAnsi="Arial" w:cs="Arial"/>
          <w:i/>
          <w:color w:val="000000"/>
          <w:sz w:val="22"/>
          <w:szCs w:val="22"/>
          <w:lang w:val="sr-Cyrl-RS"/>
        </w:rPr>
        <w:tab/>
        <w:t>Последице КОВИД-19 на положај осетљивих група и група у ризику, Тим за социјално укључивање и смањење сиромаштва, Београд, 2020, страна 11, доступно на: http://socijalnoukljucivanje.gov.rs/wp-content/uploads/2020/12/Posledice_Kovid-19_na_polozaj_osetljivih_grupa_i_grupa_u_riziku.pdf приступ 11.5.2021.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717</w:t>
      </w:r>
      <w:r w:rsidRPr="00EF008E">
        <w:rPr>
          <w:rFonts w:ascii="Arial" w:hAnsi="Arial" w:cs="Arial"/>
          <w:i/>
          <w:color w:val="000000"/>
          <w:sz w:val="22"/>
          <w:szCs w:val="22"/>
          <w:lang w:val="sr-Cyrl-RS"/>
        </w:rPr>
        <w:tab/>
        <w:t>Бекер, К. и др. Б. Ковид-19 мере и социјална и економска права жена са инвалидитетом у Србији, FemPlatz, Iz krugа, 2021. Доступно на: https://www.femplatz.org/library/reports/2021-02-16_Kovid-19_i_zene_sa_invaliditetom.pdf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718</w:t>
      </w:r>
      <w:r w:rsidRPr="00EF008E">
        <w:rPr>
          <w:rFonts w:ascii="Arial" w:hAnsi="Arial" w:cs="Arial"/>
          <w:i/>
          <w:color w:val="000000"/>
          <w:sz w:val="22"/>
          <w:szCs w:val="22"/>
          <w:lang w:val="sr-Cyrl-RS"/>
        </w:rPr>
        <w:tab/>
        <w:t>Последице ковид-19 на положај осетљивих група и група у ризику, Тим за социјално укључивање и смањење сиромаштва, 2020, доступно на: http://socijalnoukljucivanje.gov.rs/wp-content/uploads/2020/12/Posledice_Kovid-19_na_polozaj_osetljivih_grupa_i_grupa_u_riziku.pdf приступ. 11.5.2021.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719 Више: Пајванчић, М. и др., 2020, оп. цит. стр. 51. и 53.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720 Последице КОВИДа-19 на положај осетљивих група и група у ризику узроци, исходи и препоруке, Високи комесаријат УН за људска права (OHCHR), Тим за социјално укључивање и смањење сиромаштва Владе РС, Београд, 2020, стр. 7. и 12.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5.3. Родни аспекти здравствене заштите и социјалне сигурности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Родни аспекти здравствене заштите и социјалне сигурности представљени су у овом одељку у контексту принципа социјалне правде као једног од темељних принципа на којима почива Устав.</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5.3.1. Здравствена заштита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Светска здравствена организација дефинише здравље као </w:t>
      </w:r>
      <w:r>
        <w:rPr>
          <w:rFonts w:ascii="Arial" w:hAnsi="Arial" w:cs="Arial"/>
          <w:color w:val="000000"/>
          <w:sz w:val="22"/>
          <w:szCs w:val="22"/>
          <w:lang w:val="sr-Cyrl-RS"/>
        </w:rPr>
        <w:t>"</w:t>
      </w:r>
      <w:r w:rsidRPr="00EF008E">
        <w:rPr>
          <w:rFonts w:ascii="Arial" w:hAnsi="Arial" w:cs="Arial"/>
          <w:color w:val="000000"/>
          <w:sz w:val="22"/>
          <w:szCs w:val="22"/>
          <w:lang w:val="sr-Cyrl-RS"/>
        </w:rPr>
        <w:t>Стање потпуног физичког, менталног и друштвеног благостања, а не само одсуство болести или немоћи</w:t>
      </w:r>
      <w:r>
        <w:rPr>
          <w:rFonts w:ascii="Arial" w:hAnsi="Arial" w:cs="Arial"/>
          <w:color w:val="000000"/>
          <w:sz w:val="22"/>
          <w:szCs w:val="22"/>
          <w:lang w:val="sr-Cyrl-RS"/>
        </w:rPr>
        <w:t>"</w:t>
      </w:r>
      <w:r w:rsidRPr="00EF008E">
        <w:rPr>
          <w:rFonts w:ascii="Arial" w:hAnsi="Arial" w:cs="Arial"/>
          <w:color w:val="000000"/>
          <w:sz w:val="22"/>
          <w:szCs w:val="22"/>
          <w:lang w:val="sr-Cyrl-RS"/>
        </w:rPr>
        <w:t>.</w:t>
      </w:r>
      <w:r w:rsidRPr="00EF008E">
        <w:rPr>
          <w:rFonts w:ascii="Arial" w:hAnsi="Arial" w:cs="Arial"/>
          <w:color w:val="000000"/>
          <w:sz w:val="22"/>
          <w:szCs w:val="22"/>
          <w:vertAlign w:val="superscript"/>
          <w:lang w:val="sr-Cyrl-RS"/>
        </w:rPr>
        <w:t>721</w:t>
      </w:r>
      <w:r w:rsidRPr="00EF008E">
        <w:rPr>
          <w:rFonts w:ascii="Arial" w:hAnsi="Arial" w:cs="Arial"/>
          <w:color w:val="000000"/>
          <w:sz w:val="22"/>
          <w:szCs w:val="22"/>
          <w:lang w:val="sr-Cyrl-RS"/>
        </w:rPr>
        <w:t xml:space="preserve"> Здрав живот и промовисање благостања за људе свих генерација је трећи циљ Агенде 2030 УН, а један од потциљева (3.7) односи се на обезбеђење универзалног приступа услугама које се односе на репродуктивну здравствену заштиту, између осталог, и услугама за планирање породице, информисање, образовање и интегрисање питања репродуктивног здравља у националне стратегије и програме.</w:t>
      </w:r>
      <w:r w:rsidRPr="00EF008E">
        <w:rPr>
          <w:rFonts w:ascii="Arial" w:hAnsi="Arial" w:cs="Arial"/>
          <w:color w:val="000000"/>
          <w:sz w:val="22"/>
          <w:szCs w:val="22"/>
          <w:vertAlign w:val="superscript"/>
          <w:lang w:val="sr-Cyrl-RS"/>
        </w:rPr>
        <w:t>722</w:t>
      </w:r>
      <w:r w:rsidRPr="00EF008E">
        <w:rPr>
          <w:rFonts w:ascii="Arial" w:hAnsi="Arial" w:cs="Arial"/>
          <w:color w:val="000000"/>
          <w:sz w:val="22"/>
          <w:szCs w:val="22"/>
          <w:lang w:val="sr-Cyrl-RS"/>
        </w:rPr>
        <w:t xml:space="preserve"> Ратификацијом CEDAW конвенције</w:t>
      </w:r>
      <w:r w:rsidRPr="00EF008E">
        <w:rPr>
          <w:rFonts w:ascii="Arial" w:hAnsi="Arial" w:cs="Arial"/>
          <w:color w:val="000000"/>
          <w:sz w:val="22"/>
          <w:szCs w:val="22"/>
          <w:vertAlign w:val="superscript"/>
          <w:lang w:val="sr-Cyrl-RS"/>
        </w:rPr>
        <w:t>723</w:t>
      </w:r>
      <w:r w:rsidRPr="00EF008E">
        <w:rPr>
          <w:rFonts w:ascii="Arial" w:hAnsi="Arial" w:cs="Arial"/>
          <w:color w:val="000000"/>
          <w:sz w:val="22"/>
          <w:szCs w:val="22"/>
          <w:lang w:val="sr-Cyrl-RS"/>
        </w:rPr>
        <w:t>, Република Србија се обавезала да обезбеди доступност здравствене заштите женама током целог живота, без дискриминације, што укључује планирање породице, порођај, заштиту након порођаја и касније, што се односи и на жене из посебно осетљивих група.</w:t>
      </w:r>
      <w:r w:rsidRPr="00EF008E">
        <w:rPr>
          <w:rFonts w:ascii="Arial" w:hAnsi="Arial" w:cs="Arial"/>
          <w:color w:val="000000"/>
          <w:sz w:val="22"/>
          <w:szCs w:val="22"/>
          <w:vertAlign w:val="superscript"/>
          <w:lang w:val="sr-Cyrl-RS"/>
        </w:rPr>
        <w:t>724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Родни аспекти заштите здравља. Када је у питању заштита здравља жена и остваривање родне равноправности, Закон о равноправности полова</w:t>
      </w:r>
      <w:r w:rsidRPr="00EF008E">
        <w:rPr>
          <w:rFonts w:ascii="Arial" w:hAnsi="Arial" w:cs="Arial"/>
          <w:color w:val="000000"/>
          <w:sz w:val="22"/>
          <w:szCs w:val="22"/>
          <w:vertAlign w:val="superscript"/>
          <w:lang w:val="sr-Cyrl-RS"/>
        </w:rPr>
        <w:t>725</w:t>
      </w:r>
      <w:r w:rsidRPr="00EF008E">
        <w:rPr>
          <w:rFonts w:ascii="Arial" w:hAnsi="Arial" w:cs="Arial"/>
          <w:color w:val="000000"/>
          <w:sz w:val="22"/>
          <w:szCs w:val="22"/>
          <w:lang w:val="sr-Cyrl-RS"/>
        </w:rPr>
        <w:t xml:space="preserve"> (важио до краја маја 2021. године) прописивао је забрану дискриминације по основу пола приликом остваривања права на здравствену заштиту</w:t>
      </w:r>
      <w:r w:rsidRPr="00EF008E">
        <w:rPr>
          <w:rFonts w:ascii="Arial" w:hAnsi="Arial" w:cs="Arial"/>
          <w:color w:val="000000"/>
          <w:sz w:val="22"/>
          <w:szCs w:val="22"/>
          <w:vertAlign w:val="superscript"/>
          <w:lang w:val="sr-Cyrl-RS"/>
        </w:rPr>
        <w:t>726</w:t>
      </w:r>
      <w:r w:rsidRPr="00EF008E">
        <w:rPr>
          <w:rFonts w:ascii="Arial" w:hAnsi="Arial" w:cs="Arial"/>
          <w:color w:val="000000"/>
          <w:sz w:val="22"/>
          <w:szCs w:val="22"/>
          <w:lang w:val="sr-Cyrl-RS"/>
        </w:rPr>
        <w:t xml:space="preserve"> док Закон о родној равноправности</w:t>
      </w:r>
      <w:r w:rsidRPr="00EF008E">
        <w:rPr>
          <w:rFonts w:ascii="Arial" w:hAnsi="Arial" w:cs="Arial"/>
          <w:color w:val="000000"/>
          <w:sz w:val="22"/>
          <w:szCs w:val="22"/>
          <w:vertAlign w:val="superscript"/>
          <w:lang w:val="sr-Cyrl-RS"/>
        </w:rPr>
        <w:t>727</w:t>
      </w:r>
      <w:r w:rsidRPr="00EF008E">
        <w:rPr>
          <w:rFonts w:ascii="Arial" w:hAnsi="Arial" w:cs="Arial"/>
          <w:color w:val="000000"/>
          <w:sz w:val="22"/>
          <w:szCs w:val="22"/>
          <w:lang w:val="sr-Cyrl-RS"/>
        </w:rPr>
        <w:t xml:space="preserve"> знатно детаљније регулише обавезе у области социјалне и здравствене заштите.</w:t>
      </w:r>
      <w:r w:rsidRPr="00EF008E">
        <w:rPr>
          <w:rFonts w:ascii="Arial" w:hAnsi="Arial" w:cs="Arial"/>
          <w:color w:val="000000"/>
          <w:sz w:val="22"/>
          <w:szCs w:val="22"/>
          <w:vertAlign w:val="superscript"/>
          <w:lang w:val="sr-Cyrl-RS"/>
        </w:rPr>
        <w:t>728</w:t>
      </w:r>
      <w:r w:rsidRPr="00EF008E">
        <w:rPr>
          <w:rFonts w:ascii="Arial" w:hAnsi="Arial" w:cs="Arial"/>
          <w:color w:val="000000"/>
          <w:sz w:val="22"/>
          <w:szCs w:val="22"/>
          <w:lang w:val="sr-Cyrl-RS"/>
        </w:rPr>
        <w:t xml:space="preserve"> На здравље жена утичу не само њихове биолошке особине, него и услови живота, сиромаштво, запосленост, породичне обавезе и статус у приватној сфери живота. На здравље жена утиче и родно засновано насиље које проузрокује хроничне последице које могу бити фаталне по живот. Неједнакост моћи значи да жене имају мањи приступ и контролу над ресурсима за заштиту свог здравља, као и мање могућности да буду укључене у одлучивање. Важна здравствена питања за жене укључују: кардиоваскуларне болести, депресију, деменцију, остеопорозу и анемију.</w:t>
      </w:r>
      <w:r w:rsidRPr="00EF008E">
        <w:rPr>
          <w:rFonts w:ascii="Arial" w:hAnsi="Arial" w:cs="Arial"/>
          <w:color w:val="000000"/>
          <w:sz w:val="22"/>
          <w:szCs w:val="22"/>
          <w:vertAlign w:val="superscript"/>
          <w:lang w:val="sr-Cyrl-RS"/>
        </w:rPr>
        <w:t>729</w:t>
      </w:r>
      <w:r w:rsidRPr="00EF008E">
        <w:rPr>
          <w:rFonts w:ascii="Arial" w:hAnsi="Arial" w:cs="Arial"/>
          <w:color w:val="000000"/>
          <w:sz w:val="22"/>
          <w:szCs w:val="22"/>
          <w:lang w:val="sr-Cyrl-RS"/>
        </w:rPr>
        <w:t xml:space="preserve"> Обољења и стања повезана са трудноћом и порођајем су међу водећим узроцима оболевања жена у репродуктивном периоду, а међу показатељима здравственог стања je очекивано трајање живота на рођењу, које континуирано расте, и у 2019. години за мушкарце је износило 73 године, а 78 година за жене.</w:t>
      </w:r>
      <w:r w:rsidRPr="00EF008E">
        <w:rPr>
          <w:rFonts w:ascii="Arial" w:hAnsi="Arial" w:cs="Arial"/>
          <w:color w:val="000000"/>
          <w:sz w:val="22"/>
          <w:szCs w:val="22"/>
          <w:vertAlign w:val="superscript"/>
          <w:lang w:val="sr-Cyrl-RS"/>
        </w:rPr>
        <w:t>730</w:t>
      </w:r>
      <w:r w:rsidRPr="00EF008E">
        <w:rPr>
          <w:rFonts w:ascii="Arial" w:hAnsi="Arial" w:cs="Arial"/>
          <w:color w:val="000000"/>
          <w:sz w:val="22"/>
          <w:szCs w:val="22"/>
          <w:lang w:val="sr-Cyrl-RS"/>
        </w:rPr>
        <w:t xml:space="preserve"> Последица дужег живота жена је већа вероватноћа да ће живети у лошијем здравственом стању о којем се оне изјашњавају неповољније од мушкараца.</w:t>
      </w:r>
      <w:r w:rsidRPr="00EF008E">
        <w:rPr>
          <w:rFonts w:ascii="Arial" w:hAnsi="Arial" w:cs="Arial"/>
          <w:color w:val="000000"/>
          <w:sz w:val="22"/>
          <w:szCs w:val="22"/>
          <w:vertAlign w:val="superscript"/>
          <w:lang w:val="sr-Cyrl-RS"/>
        </w:rPr>
        <w:t>731</w:t>
      </w:r>
      <w:r w:rsidRPr="00EF008E">
        <w:rPr>
          <w:rFonts w:ascii="Arial" w:hAnsi="Arial" w:cs="Arial"/>
          <w:color w:val="000000"/>
          <w:sz w:val="22"/>
          <w:szCs w:val="22"/>
          <w:lang w:val="sr-Cyrl-RS"/>
        </w:rPr>
        <w:t xml:space="preserve"> У последњих годину дана 10,2% жена и мушкараца није посетило лекара а 11,1% жена и 12,6% мушкараца није посетило стоматолога, иако су имали здравствених проблема. Главни разлози неодласка код лекара су: финансијска немогућност (28% жена и 23,7% мушкараца), очекивање да ће се здравствено стање стабилизовати (20,9% жена и 23,3% мушкараца) и недостатак времена због посла, бриге о деци или другима (14,8% жена и 17,7% мушкараца).</w:t>
      </w:r>
      <w:r w:rsidRPr="00EF008E">
        <w:rPr>
          <w:rFonts w:ascii="Arial" w:hAnsi="Arial" w:cs="Arial"/>
          <w:color w:val="000000"/>
          <w:sz w:val="22"/>
          <w:szCs w:val="22"/>
          <w:vertAlign w:val="superscript"/>
          <w:lang w:val="sr-Cyrl-RS"/>
        </w:rPr>
        <w:t>732</w:t>
      </w:r>
      <w:r w:rsidRPr="00EF008E">
        <w:rPr>
          <w:rFonts w:ascii="Arial" w:hAnsi="Arial" w:cs="Arial"/>
          <w:color w:val="000000"/>
          <w:sz w:val="22"/>
          <w:szCs w:val="22"/>
          <w:lang w:val="sr-Cyrl-RS"/>
        </w:rPr>
        <w:t xml:space="preserve"> Због ограничених могућности мобилности, жене чешће од мушкараца одустају од коришћења здравствених услуга.</w:t>
      </w:r>
      <w:r w:rsidRPr="00EF008E">
        <w:rPr>
          <w:rFonts w:ascii="Arial" w:hAnsi="Arial" w:cs="Arial"/>
          <w:color w:val="000000"/>
          <w:sz w:val="22"/>
          <w:szCs w:val="22"/>
          <w:vertAlign w:val="superscript"/>
          <w:lang w:val="sr-Cyrl-RS"/>
        </w:rPr>
        <w:t>733</w:t>
      </w:r>
      <w:r w:rsidRPr="00EF008E">
        <w:rPr>
          <w:rFonts w:ascii="Arial" w:hAnsi="Arial" w:cs="Arial"/>
          <w:color w:val="000000"/>
          <w:sz w:val="22"/>
          <w:szCs w:val="22"/>
          <w:lang w:val="sr-Cyrl-RS"/>
        </w:rPr>
        <w:t xml:space="preserve"> Мушкарци чешће него жене оцењују своје здравље као добро/веома добро. Mентално благостање је у константном паду. Република Србија има и највећи ризик од депресије у односу на остале земље кандидате за чланство и у односу на просек земаља ЕУ</w:t>
      </w:r>
      <w:r w:rsidRPr="00EF008E">
        <w:rPr>
          <w:rFonts w:ascii="Arial" w:hAnsi="Arial" w:cs="Arial"/>
          <w:color w:val="000000"/>
          <w:sz w:val="22"/>
          <w:szCs w:val="22"/>
          <w:vertAlign w:val="superscript"/>
          <w:lang w:val="sr-Cyrl-RS"/>
        </w:rPr>
        <w:t>734</w:t>
      </w:r>
      <w:r w:rsidRPr="00EF008E">
        <w:rPr>
          <w:rFonts w:ascii="Arial" w:hAnsi="Arial" w:cs="Arial"/>
          <w:color w:val="000000"/>
          <w:sz w:val="22"/>
          <w:szCs w:val="22"/>
          <w:lang w:val="sr-Cyrl-RS"/>
        </w:rPr>
        <w:t xml:space="preserve"> (39% мушкарца и 46% жена)</w:t>
      </w:r>
      <w:r w:rsidRPr="00EF008E">
        <w:rPr>
          <w:rFonts w:ascii="Arial" w:hAnsi="Arial" w:cs="Arial"/>
          <w:color w:val="000000"/>
          <w:sz w:val="22"/>
          <w:szCs w:val="22"/>
          <w:vertAlign w:val="superscript"/>
          <w:lang w:val="sr-Cyrl-RS"/>
        </w:rPr>
        <w:t>735</w:t>
      </w:r>
      <w:r w:rsidRPr="00EF008E">
        <w:rPr>
          <w:rFonts w:ascii="Arial" w:hAnsi="Arial" w:cs="Arial"/>
          <w:color w:val="000000"/>
          <w:sz w:val="22"/>
          <w:szCs w:val="22"/>
          <w:lang w:val="sr-Cyrl-RS"/>
        </w:rPr>
        <w:t>, a забрињава и то што се мали проценат станoвништва бави спортом и рекреативним активностима (19%).</w:t>
      </w:r>
      <w:r w:rsidRPr="00EF008E">
        <w:rPr>
          <w:rFonts w:ascii="Arial" w:hAnsi="Arial" w:cs="Arial"/>
          <w:color w:val="000000"/>
          <w:sz w:val="22"/>
          <w:szCs w:val="22"/>
          <w:vertAlign w:val="superscript"/>
          <w:lang w:val="sr-Cyrl-RS"/>
        </w:rPr>
        <w:t>736</w:t>
      </w:r>
      <w:r w:rsidRPr="00EF008E">
        <w:rPr>
          <w:rFonts w:ascii="Arial" w:hAnsi="Arial" w:cs="Arial"/>
          <w:color w:val="000000"/>
          <w:sz w:val="22"/>
          <w:szCs w:val="22"/>
          <w:lang w:val="sr-Cyrl-RS"/>
        </w:rPr>
        <w:t xml:space="preserve"> Индекс родне равноправности за домен здравља</w:t>
      </w:r>
      <w:r w:rsidRPr="00EF008E">
        <w:rPr>
          <w:rFonts w:ascii="Arial" w:hAnsi="Arial" w:cs="Arial"/>
          <w:color w:val="000000"/>
          <w:sz w:val="22"/>
          <w:szCs w:val="22"/>
          <w:vertAlign w:val="superscript"/>
          <w:lang w:val="sr-Cyrl-RS"/>
        </w:rPr>
        <w:t>737</w:t>
      </w:r>
      <w:r w:rsidRPr="00EF008E">
        <w:rPr>
          <w:rFonts w:ascii="Arial" w:hAnsi="Arial" w:cs="Arial"/>
          <w:color w:val="000000"/>
          <w:sz w:val="22"/>
          <w:szCs w:val="22"/>
          <w:lang w:val="sr-Cyrl-RS"/>
        </w:rPr>
        <w:t xml:space="preserve"> показује незнатно побољшање здравља жена за 0,6 поена (повећање вредности са 83,4 у 2014. на 84,0 у 2016. години) и забележио је највећи пораст у односу на друге домене.</w:t>
      </w:r>
      <w:r w:rsidRPr="00EF008E">
        <w:rPr>
          <w:rFonts w:ascii="Arial" w:hAnsi="Arial" w:cs="Arial"/>
          <w:color w:val="000000"/>
          <w:sz w:val="22"/>
          <w:szCs w:val="22"/>
          <w:vertAlign w:val="superscript"/>
          <w:lang w:val="sr-Cyrl-RS"/>
        </w:rPr>
        <w:t>738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Заштита сексуалног и репродуктивног здравља. Питања везана за заштиту сексуалног и репродуктивног здравља разматрана су у многим законским и стратешким документима. Законом о здравственој заштити и Законом о здравственом осигурању прописана је бесплатна здравствена заштита свим осигураним лицима, као и свим девојчицама, трудницама и породиљама, без обзира на статус осигурања.</w:t>
      </w:r>
      <w:r w:rsidRPr="00EF008E">
        <w:rPr>
          <w:rFonts w:ascii="Arial" w:hAnsi="Arial" w:cs="Arial"/>
          <w:color w:val="000000"/>
          <w:sz w:val="22"/>
          <w:szCs w:val="22"/>
          <w:vertAlign w:val="superscript"/>
          <w:lang w:val="sr-Cyrl-RS"/>
        </w:rPr>
        <w:t>739</w:t>
      </w:r>
      <w:r w:rsidRPr="00EF008E">
        <w:rPr>
          <w:rFonts w:ascii="Arial" w:hAnsi="Arial" w:cs="Arial"/>
          <w:color w:val="000000"/>
          <w:sz w:val="22"/>
          <w:szCs w:val="22"/>
          <w:lang w:val="sr-Cyrl-RS"/>
        </w:rPr>
        <w:t xml:space="preserve"> Закон о здравственој заштити</w:t>
      </w:r>
      <w:r w:rsidRPr="00EF008E">
        <w:rPr>
          <w:rFonts w:ascii="Arial" w:hAnsi="Arial" w:cs="Arial"/>
          <w:color w:val="000000"/>
          <w:sz w:val="22"/>
          <w:szCs w:val="22"/>
          <w:vertAlign w:val="superscript"/>
          <w:lang w:val="sr-Cyrl-RS"/>
        </w:rPr>
        <w:t>740</w:t>
      </w:r>
      <w:r w:rsidRPr="00EF008E">
        <w:rPr>
          <w:rFonts w:ascii="Arial" w:hAnsi="Arial" w:cs="Arial"/>
          <w:color w:val="000000"/>
          <w:sz w:val="22"/>
          <w:szCs w:val="22"/>
          <w:lang w:val="sr-Cyrl-RS"/>
        </w:rPr>
        <w:t xml:space="preserve"> предвиђа, под једнаким условима, обезбеђивање здравствене заштите групацијама становништва које су изложене повећаном ризику од оболевања, спречавање, сузбијање, рано откривање и лечење болести и стања од већег јавно здравственог значаја, као и социјално угроженог становништва. Обухваћено је 19 група, између осталих: лица у вези са планирањем породице и у току трудноће, порођаја и материнства до 12 месеци након порођаја; жртве насиља у породици; жртве трговине људима; лица којима се обезбеђују циљани превентивни прегледи (скрининг), према одговарајућим националним програмима. Закон о здравственом осигурању</w:t>
      </w:r>
      <w:r w:rsidRPr="00EF008E">
        <w:rPr>
          <w:rFonts w:ascii="Arial" w:hAnsi="Arial" w:cs="Arial"/>
          <w:color w:val="000000"/>
          <w:sz w:val="22"/>
          <w:szCs w:val="22"/>
          <w:vertAlign w:val="superscript"/>
          <w:lang w:val="sr-Cyrl-RS"/>
        </w:rPr>
        <w:t>741</w:t>
      </w:r>
      <w:r w:rsidRPr="00EF008E">
        <w:rPr>
          <w:rFonts w:ascii="Arial" w:hAnsi="Arial" w:cs="Arial"/>
          <w:color w:val="000000"/>
          <w:sz w:val="22"/>
          <w:szCs w:val="22"/>
          <w:lang w:val="sr-Cyrl-RS"/>
        </w:rPr>
        <w:t xml:space="preserve"> наводи 28 група осигураника, а право на здравствену заштиту обухвата, између осталих, мере превенције и раног откривања болести, прегледе у вези са планирањем породице, у току трудноће, порођаја и до 12 месеци након порођаја.</w:t>
      </w:r>
      <w:r w:rsidRPr="00EF008E">
        <w:rPr>
          <w:rFonts w:ascii="Arial" w:hAnsi="Arial" w:cs="Arial"/>
          <w:color w:val="000000"/>
          <w:sz w:val="22"/>
          <w:szCs w:val="22"/>
          <w:vertAlign w:val="superscript"/>
          <w:lang w:val="sr-Cyrl-RS"/>
        </w:rPr>
        <w:t>742</w:t>
      </w:r>
      <w:r w:rsidRPr="00EF008E">
        <w:rPr>
          <w:rFonts w:ascii="Arial" w:hAnsi="Arial" w:cs="Arial"/>
          <w:color w:val="000000"/>
          <w:sz w:val="22"/>
          <w:szCs w:val="22"/>
          <w:lang w:val="sr-Cyrl-RS"/>
        </w:rPr>
        <w:t xml:space="preserve"> Закон о биомедицински потпомогнутој оплодњи</w:t>
      </w:r>
      <w:r w:rsidRPr="00EF008E">
        <w:rPr>
          <w:rFonts w:ascii="Arial" w:hAnsi="Arial" w:cs="Arial"/>
          <w:color w:val="000000"/>
          <w:sz w:val="22"/>
          <w:szCs w:val="22"/>
          <w:vertAlign w:val="superscript"/>
          <w:lang w:val="sr-Cyrl-RS"/>
        </w:rPr>
        <w:t>743</w:t>
      </w:r>
      <w:r w:rsidRPr="00EF008E">
        <w:rPr>
          <w:rFonts w:ascii="Arial" w:hAnsi="Arial" w:cs="Arial"/>
          <w:color w:val="000000"/>
          <w:sz w:val="22"/>
          <w:szCs w:val="22"/>
          <w:lang w:val="sr-Cyrl-RS"/>
        </w:rPr>
        <w:t xml:space="preserve">, осим начела медицинске оправданости, предвиђа и начело равноправности које се остварује обезбеђивањем једнаких могућности за жену и за мушкарца у примени поступака БМПО. Ово право имају супружници, односно ванбрачни партнери којима је потребна помоћ у лечењу неплодности, под истим условима и жена или мушкарац који су употребу својих репродуктивних ћелија одложили због постојања могућности смањења или губитка репродуктивне функције, а воде заједнички живот, као и пунолетна и пословно способна жена која живи сама, али </w:t>
      </w:r>
      <w:r>
        <w:rPr>
          <w:rFonts w:ascii="Arial" w:hAnsi="Arial" w:cs="Arial"/>
          <w:color w:val="000000"/>
          <w:sz w:val="22"/>
          <w:szCs w:val="22"/>
          <w:lang w:val="sr-Cyrl-RS"/>
        </w:rPr>
        <w:t>"</w:t>
      </w:r>
      <w:r w:rsidRPr="00EF008E">
        <w:rPr>
          <w:rFonts w:ascii="Arial" w:hAnsi="Arial" w:cs="Arial"/>
          <w:color w:val="000000"/>
          <w:sz w:val="22"/>
          <w:szCs w:val="22"/>
          <w:lang w:val="sr-Cyrl-RS"/>
        </w:rPr>
        <w:t>изузетно</w:t>
      </w:r>
      <w:r>
        <w:rPr>
          <w:rFonts w:ascii="Arial" w:hAnsi="Arial" w:cs="Arial"/>
          <w:color w:val="000000"/>
          <w:sz w:val="22"/>
          <w:szCs w:val="22"/>
          <w:lang w:val="sr-Cyrl-RS"/>
        </w:rPr>
        <w:t>"</w:t>
      </w:r>
      <w:r w:rsidRPr="00EF008E">
        <w:rPr>
          <w:rFonts w:ascii="Arial" w:hAnsi="Arial" w:cs="Arial"/>
          <w:color w:val="000000"/>
          <w:sz w:val="22"/>
          <w:szCs w:val="22"/>
          <w:vertAlign w:val="superscript"/>
          <w:lang w:val="sr-Cyrl-RS"/>
        </w:rPr>
        <w:t>744</w:t>
      </w:r>
      <w:r w:rsidRPr="00EF008E">
        <w:rPr>
          <w:rFonts w:ascii="Arial" w:hAnsi="Arial" w:cs="Arial"/>
          <w:color w:val="000000"/>
          <w:sz w:val="22"/>
          <w:szCs w:val="22"/>
          <w:lang w:val="sr-Cyrl-RS"/>
        </w:rPr>
        <w:t>. Издавање дозволе за обављање поступка БМПО у надлежности је Управе за биомедицину, за разлику од ранијег закона када је за то био надлежан министар.</w:t>
      </w:r>
      <w:r w:rsidRPr="00EF008E">
        <w:rPr>
          <w:rFonts w:ascii="Arial" w:hAnsi="Arial" w:cs="Arial"/>
          <w:color w:val="000000"/>
          <w:sz w:val="22"/>
          <w:szCs w:val="22"/>
          <w:vertAlign w:val="superscript"/>
          <w:lang w:val="sr-Cyrl-RS"/>
        </w:rPr>
        <w:t>745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Смањивање родних неједнакости у заштити здравља. Један од циљева Стратегије јавног здравља у Републици Србији 2018</w:t>
      </w:r>
      <w:r>
        <w:rPr>
          <w:rFonts w:ascii="Arial" w:hAnsi="Arial" w:cs="Arial"/>
          <w:color w:val="000000"/>
          <w:sz w:val="22"/>
          <w:szCs w:val="22"/>
          <w:lang w:val="sr-Cyrl-RS"/>
        </w:rPr>
        <w:t>-</w:t>
      </w:r>
      <w:r w:rsidRPr="00EF008E">
        <w:rPr>
          <w:rFonts w:ascii="Arial" w:hAnsi="Arial" w:cs="Arial"/>
          <w:color w:val="000000"/>
          <w:sz w:val="22"/>
          <w:szCs w:val="22"/>
          <w:lang w:val="sr-Cyrl-RS"/>
        </w:rPr>
        <w:t>2026. године</w:t>
      </w:r>
      <w:r w:rsidRPr="00EF008E">
        <w:rPr>
          <w:rFonts w:ascii="Arial" w:hAnsi="Arial" w:cs="Arial"/>
          <w:color w:val="000000"/>
          <w:sz w:val="22"/>
          <w:szCs w:val="22"/>
          <w:vertAlign w:val="superscript"/>
          <w:lang w:val="sr-Cyrl-RS"/>
        </w:rPr>
        <w:t>746</w:t>
      </w:r>
      <w:r w:rsidRPr="00EF008E">
        <w:rPr>
          <w:rFonts w:ascii="Arial" w:hAnsi="Arial" w:cs="Arial"/>
          <w:color w:val="000000"/>
          <w:sz w:val="22"/>
          <w:szCs w:val="22"/>
          <w:lang w:val="sr-Cyrl-RS"/>
        </w:rPr>
        <w:t xml:space="preserve"> је унапређење здравља и смањивање неједнакости у здрављу који подразумева примену и праћење Националног програма очувања и унапређења сексуалног и репродуктивног здравља становништва.</w:t>
      </w:r>
      <w:r w:rsidRPr="00EF008E">
        <w:rPr>
          <w:rFonts w:ascii="Arial" w:hAnsi="Arial" w:cs="Arial"/>
          <w:color w:val="000000"/>
          <w:sz w:val="22"/>
          <w:szCs w:val="22"/>
          <w:vertAlign w:val="superscript"/>
          <w:lang w:val="sr-Cyrl-RS"/>
        </w:rPr>
        <w:t>747</w:t>
      </w:r>
      <w:r w:rsidRPr="00EF008E">
        <w:rPr>
          <w:rFonts w:ascii="Arial" w:hAnsi="Arial" w:cs="Arial"/>
          <w:color w:val="000000"/>
          <w:sz w:val="22"/>
          <w:szCs w:val="22"/>
          <w:lang w:val="sr-Cyrl-RS"/>
        </w:rPr>
        <w:t xml:space="preserve"> Општи циљ програма је очување и унапређење сексуалног и репродуктивног здравља становника Републике Србије уз поштовање права на доношење информисаних одлука које се односе на сексуалност и репродукцију независно од личних карактеристика појединаца. И друга стратешка документа садрже одредбе о заштити сексуалног и репродуктивног здравља</w:t>
      </w:r>
      <w:r w:rsidRPr="00EF008E">
        <w:rPr>
          <w:rFonts w:ascii="Arial" w:hAnsi="Arial" w:cs="Arial"/>
          <w:color w:val="000000"/>
          <w:sz w:val="22"/>
          <w:szCs w:val="22"/>
          <w:vertAlign w:val="superscript"/>
          <w:lang w:val="sr-Cyrl-RS"/>
        </w:rPr>
        <w:t>748</w:t>
      </w:r>
      <w:r w:rsidRPr="00EF008E">
        <w:rPr>
          <w:rFonts w:ascii="Arial" w:hAnsi="Arial" w:cs="Arial"/>
          <w:color w:val="000000"/>
          <w:sz w:val="22"/>
          <w:szCs w:val="22"/>
          <w:lang w:val="sr-Cyrl-RS"/>
        </w:rPr>
        <w:t>, а Национална стратегија за родну равноправности за период од 2016. до 2020. године</w:t>
      </w:r>
      <w:r w:rsidRPr="00EF008E">
        <w:rPr>
          <w:rFonts w:ascii="Arial" w:hAnsi="Arial" w:cs="Arial"/>
          <w:color w:val="000000"/>
          <w:sz w:val="22"/>
          <w:szCs w:val="22"/>
          <w:vertAlign w:val="superscript"/>
          <w:lang w:val="sr-Cyrl-RS"/>
        </w:rPr>
        <w:t>749</w:t>
      </w:r>
      <w:r w:rsidRPr="00EF008E">
        <w:rPr>
          <w:rFonts w:ascii="Arial" w:hAnsi="Arial" w:cs="Arial"/>
          <w:color w:val="000000"/>
          <w:sz w:val="22"/>
          <w:szCs w:val="22"/>
          <w:lang w:val="sr-Cyrl-RS"/>
        </w:rPr>
        <w:t>, као један од циљева издваја побољшано здравље жена и равноправан приступ здравственим услугама. Према налазима евалуације АП и Националне стратегије за родну равноправност</w:t>
      </w:r>
      <w:r w:rsidRPr="00EF008E">
        <w:rPr>
          <w:rFonts w:ascii="Arial" w:hAnsi="Arial" w:cs="Arial"/>
          <w:color w:val="000000"/>
          <w:sz w:val="22"/>
          <w:szCs w:val="22"/>
          <w:vertAlign w:val="superscript"/>
          <w:lang w:val="sr-Cyrl-RS"/>
        </w:rPr>
        <w:t>750</w:t>
      </w:r>
      <w:r w:rsidRPr="00EF008E">
        <w:rPr>
          <w:rFonts w:ascii="Arial" w:hAnsi="Arial" w:cs="Arial"/>
          <w:color w:val="000000"/>
          <w:sz w:val="22"/>
          <w:szCs w:val="22"/>
          <w:lang w:val="sr-Cyrl-RS"/>
        </w:rPr>
        <w:t>, очекивани резултати у овој области нису постигнути. Комитет УН за елиминацију дискриминације жена упутио је Републици Србији низ препорука</w:t>
      </w:r>
      <w:r w:rsidRPr="00EF008E">
        <w:rPr>
          <w:rFonts w:ascii="Arial" w:hAnsi="Arial" w:cs="Arial"/>
          <w:color w:val="000000"/>
          <w:sz w:val="22"/>
          <w:szCs w:val="22"/>
          <w:vertAlign w:val="superscript"/>
          <w:lang w:val="sr-Cyrl-RS"/>
        </w:rPr>
        <w:t>751</w:t>
      </w:r>
      <w:r w:rsidRPr="00EF008E">
        <w:rPr>
          <w:rFonts w:ascii="Arial" w:hAnsi="Arial" w:cs="Arial"/>
          <w:color w:val="000000"/>
          <w:sz w:val="22"/>
          <w:szCs w:val="22"/>
          <w:lang w:val="sr-Cyrl-RS"/>
        </w:rPr>
        <w:t xml:space="preserve"> ради обезбеђења равноправног приступа здравственим услугама и побољшања здравља жена, посебно имајући у виду потребе и положај припадница рањивих група.</w:t>
      </w:r>
      <w:r w:rsidRPr="00EF008E">
        <w:rPr>
          <w:rFonts w:ascii="Arial" w:hAnsi="Arial" w:cs="Arial"/>
          <w:color w:val="000000"/>
          <w:sz w:val="22"/>
          <w:szCs w:val="22"/>
          <w:vertAlign w:val="superscript"/>
          <w:lang w:val="sr-Cyrl-RS"/>
        </w:rPr>
        <w:t>752</w:t>
      </w:r>
      <w:r w:rsidRPr="00EF008E">
        <w:rPr>
          <w:rFonts w:ascii="Arial" w:hAnsi="Arial" w:cs="Arial"/>
          <w:color w:val="000000"/>
          <w:sz w:val="22"/>
          <w:szCs w:val="22"/>
          <w:lang w:val="sr-Cyrl-RS"/>
        </w:rPr>
        <w:t xml:space="preserve"> Превентивним гинеколошким прегледима у 2019. години било је обухваћено око 9% жена старијих од 15 година које имају право на преглед једанпут годишње.</w:t>
      </w:r>
      <w:r w:rsidRPr="00EF008E">
        <w:rPr>
          <w:rFonts w:ascii="Arial" w:hAnsi="Arial" w:cs="Arial"/>
          <w:color w:val="000000"/>
          <w:sz w:val="22"/>
          <w:szCs w:val="22"/>
          <w:vertAlign w:val="superscript"/>
          <w:lang w:val="sr-Cyrl-RS"/>
        </w:rPr>
        <w:t>753</w:t>
      </w:r>
      <w:r w:rsidRPr="00EF008E">
        <w:rPr>
          <w:rFonts w:ascii="Arial" w:hAnsi="Arial" w:cs="Arial"/>
          <w:color w:val="000000"/>
          <w:sz w:val="22"/>
          <w:szCs w:val="22"/>
          <w:lang w:val="sr-Cyrl-RS"/>
        </w:rPr>
        <w:t xml:space="preserve"> Према доступним подацима, рак дојке је најчешћи злоћудни тумор код жена у Србији од којег сваке године оболи 4.600, а умре 1.600 жена.</w:t>
      </w:r>
      <w:r w:rsidRPr="00EF008E">
        <w:rPr>
          <w:rFonts w:ascii="Arial" w:hAnsi="Arial" w:cs="Arial"/>
          <w:color w:val="000000"/>
          <w:sz w:val="22"/>
          <w:szCs w:val="22"/>
          <w:vertAlign w:val="superscript"/>
          <w:lang w:val="sr-Cyrl-RS"/>
        </w:rPr>
        <w:t>754</w:t>
      </w:r>
      <w:r w:rsidRPr="00EF008E">
        <w:rPr>
          <w:rFonts w:ascii="Arial" w:hAnsi="Arial" w:cs="Arial"/>
          <w:color w:val="000000"/>
          <w:sz w:val="22"/>
          <w:szCs w:val="22"/>
          <w:lang w:val="sr-Cyrl-RS"/>
        </w:rPr>
        <w:t xml:space="preserve"> Раним откривањем рака дојке кроз скрининг дијагностику (мамографију)</w:t>
      </w:r>
      <w:r w:rsidRPr="00EF008E">
        <w:rPr>
          <w:rFonts w:ascii="Arial" w:hAnsi="Arial" w:cs="Arial"/>
          <w:color w:val="000000"/>
          <w:sz w:val="22"/>
          <w:szCs w:val="22"/>
          <w:vertAlign w:val="superscript"/>
          <w:lang w:val="sr-Cyrl-RS"/>
        </w:rPr>
        <w:t>755</w:t>
      </w:r>
      <w:r w:rsidRPr="00EF008E">
        <w:rPr>
          <w:rFonts w:ascii="Arial" w:hAnsi="Arial" w:cs="Arial"/>
          <w:color w:val="000000"/>
          <w:sz w:val="22"/>
          <w:szCs w:val="22"/>
          <w:lang w:val="sr-Cyrl-RS"/>
        </w:rPr>
        <w:t xml:space="preserve"> обухваћено је око 2,7% жена старости 50</w:t>
      </w:r>
      <w:r>
        <w:rPr>
          <w:rFonts w:ascii="Arial" w:hAnsi="Arial" w:cs="Arial"/>
          <w:color w:val="000000"/>
          <w:sz w:val="22"/>
          <w:szCs w:val="22"/>
          <w:lang w:val="sr-Cyrl-RS"/>
        </w:rPr>
        <w:t>-</w:t>
      </w:r>
      <w:r w:rsidRPr="00EF008E">
        <w:rPr>
          <w:rFonts w:ascii="Arial" w:hAnsi="Arial" w:cs="Arial"/>
          <w:color w:val="000000"/>
          <w:sz w:val="22"/>
          <w:szCs w:val="22"/>
          <w:lang w:val="sr-Cyrl-RS"/>
        </w:rPr>
        <w:t>69 година.</w:t>
      </w:r>
      <w:r w:rsidRPr="00EF008E">
        <w:rPr>
          <w:rFonts w:ascii="Arial" w:hAnsi="Arial" w:cs="Arial"/>
          <w:color w:val="000000"/>
          <w:sz w:val="22"/>
          <w:szCs w:val="22"/>
          <w:vertAlign w:val="superscript"/>
          <w:lang w:val="sr-Cyrl-RS"/>
        </w:rPr>
        <w:t>756</w:t>
      </w:r>
      <w:r w:rsidRPr="00EF008E">
        <w:rPr>
          <w:rFonts w:ascii="Arial" w:hAnsi="Arial" w:cs="Arial"/>
          <w:color w:val="000000"/>
          <w:sz w:val="22"/>
          <w:szCs w:val="22"/>
          <w:lang w:val="sr-Cyrl-RS"/>
        </w:rPr>
        <w:t xml:space="preserve"> Доступни су подаци о одзиву жена по окрузима, али нема података о одзиву жена из руралних и градских подручја. У оквиру раног откривања рака грлића материце</w:t>
      </w:r>
      <w:r w:rsidRPr="00EF008E">
        <w:rPr>
          <w:rFonts w:ascii="Arial" w:hAnsi="Arial" w:cs="Arial"/>
          <w:color w:val="000000"/>
          <w:sz w:val="22"/>
          <w:szCs w:val="22"/>
          <w:vertAlign w:val="superscript"/>
          <w:lang w:val="sr-Cyrl-RS"/>
        </w:rPr>
        <w:t>757</w:t>
      </w:r>
      <w:r w:rsidRPr="00EF008E">
        <w:rPr>
          <w:rFonts w:ascii="Arial" w:hAnsi="Arial" w:cs="Arial"/>
          <w:color w:val="000000"/>
          <w:sz w:val="22"/>
          <w:szCs w:val="22"/>
          <w:lang w:val="sr-Cyrl-RS"/>
        </w:rPr>
        <w:t xml:space="preserve"> кроз скрининг дијагностику обухваћено је око 9% жена старости од 25 до 64 година.</w:t>
      </w:r>
      <w:r w:rsidRPr="00EF008E">
        <w:rPr>
          <w:rFonts w:ascii="Arial" w:hAnsi="Arial" w:cs="Arial"/>
          <w:color w:val="000000"/>
          <w:sz w:val="22"/>
          <w:szCs w:val="22"/>
          <w:vertAlign w:val="superscript"/>
          <w:lang w:val="sr-Cyrl-RS"/>
        </w:rPr>
        <w:t>758</w:t>
      </w:r>
      <w:r w:rsidRPr="00EF008E">
        <w:rPr>
          <w:rFonts w:ascii="Arial" w:hAnsi="Arial" w:cs="Arial"/>
          <w:color w:val="000000"/>
          <w:sz w:val="22"/>
          <w:szCs w:val="22"/>
          <w:lang w:val="sr-Cyrl-RS"/>
        </w:rPr>
        <w:t xml:space="preserve"> Програм раног откривања рака грлића материце, спроведен је у два циклуса између 2013. и 2018. године у 17 домова здравља</w:t>
      </w:r>
      <w:r w:rsidRPr="00EF008E">
        <w:rPr>
          <w:rFonts w:ascii="Arial" w:hAnsi="Arial" w:cs="Arial"/>
          <w:color w:val="000000"/>
          <w:sz w:val="22"/>
          <w:szCs w:val="22"/>
          <w:vertAlign w:val="superscript"/>
          <w:lang w:val="sr-Cyrl-RS"/>
        </w:rPr>
        <w:t>759</w:t>
      </w:r>
      <w:r w:rsidRPr="00EF008E">
        <w:rPr>
          <w:rFonts w:ascii="Arial" w:hAnsi="Arial" w:cs="Arial"/>
          <w:color w:val="000000"/>
          <w:sz w:val="22"/>
          <w:szCs w:val="22"/>
          <w:lang w:val="sr-Cyrl-RS"/>
        </w:rPr>
        <w:t xml:space="preserve"> а просечан одзив жена је око 60% позваних.</w:t>
      </w:r>
      <w:r w:rsidRPr="00EF008E">
        <w:rPr>
          <w:rFonts w:ascii="Arial" w:hAnsi="Arial" w:cs="Arial"/>
          <w:color w:val="000000"/>
          <w:sz w:val="22"/>
          <w:szCs w:val="22"/>
          <w:vertAlign w:val="superscript"/>
          <w:lang w:val="sr-Cyrl-RS"/>
        </w:rPr>
        <w:t>760</w:t>
      </w:r>
      <w:r w:rsidRPr="00EF008E">
        <w:rPr>
          <w:rFonts w:ascii="Arial" w:hAnsi="Arial" w:cs="Arial"/>
          <w:color w:val="000000"/>
          <w:sz w:val="22"/>
          <w:szCs w:val="22"/>
          <w:lang w:val="sr-Cyrl-RS"/>
        </w:rPr>
        <w:t xml:space="preserve"> Упркос томе, Србија је на четвртом месту у Европи по броју жена оболелих од карцинома грлића материце, док је ризик од умирања двоструко већи него у већини европских држава.</w:t>
      </w:r>
      <w:r w:rsidRPr="00EF008E">
        <w:rPr>
          <w:rFonts w:ascii="Arial" w:hAnsi="Arial" w:cs="Arial"/>
          <w:color w:val="000000"/>
          <w:sz w:val="22"/>
          <w:szCs w:val="22"/>
          <w:vertAlign w:val="superscript"/>
          <w:lang w:val="sr-Cyrl-RS"/>
        </w:rPr>
        <w:t>761</w:t>
      </w:r>
      <w:r w:rsidRPr="00EF008E">
        <w:rPr>
          <w:rFonts w:ascii="Arial" w:hAnsi="Arial" w:cs="Arial"/>
          <w:color w:val="000000"/>
          <w:sz w:val="22"/>
          <w:szCs w:val="22"/>
          <w:lang w:val="sr-Cyrl-RS"/>
        </w:rPr>
        <w:t xml:space="preserve"> Жене старије од 65 година искључене су из превентивних испитивања, што женске организације сматрају видом дискриминације</w:t>
      </w:r>
      <w:r w:rsidRPr="00EF008E">
        <w:rPr>
          <w:rFonts w:ascii="Arial" w:hAnsi="Arial" w:cs="Arial"/>
          <w:color w:val="000000"/>
          <w:sz w:val="22"/>
          <w:szCs w:val="22"/>
          <w:vertAlign w:val="superscript"/>
          <w:lang w:val="sr-Cyrl-RS"/>
        </w:rPr>
        <w:t>762</w:t>
      </w:r>
      <w:r w:rsidRPr="00EF008E">
        <w:rPr>
          <w:rFonts w:ascii="Arial" w:hAnsi="Arial" w:cs="Arial"/>
          <w:color w:val="000000"/>
          <w:sz w:val="22"/>
          <w:szCs w:val="22"/>
          <w:lang w:val="sr-Cyrl-RS"/>
        </w:rPr>
        <w:t>, без обзира на то што се национални програми раног откривања рака дојке и рака грлића материце ослањају на препоруке медицинске струке.</w:t>
      </w:r>
      <w:r w:rsidRPr="00EF008E">
        <w:rPr>
          <w:rFonts w:ascii="Arial" w:hAnsi="Arial" w:cs="Arial"/>
          <w:color w:val="000000"/>
          <w:sz w:val="22"/>
          <w:szCs w:val="22"/>
          <w:vertAlign w:val="superscript"/>
          <w:lang w:val="sr-Cyrl-RS"/>
        </w:rPr>
        <w:t>763</w:t>
      </w:r>
      <w:r w:rsidRPr="00EF008E">
        <w:rPr>
          <w:rFonts w:ascii="Arial" w:hAnsi="Arial" w:cs="Arial"/>
          <w:color w:val="000000"/>
          <w:sz w:val="22"/>
          <w:szCs w:val="22"/>
          <w:lang w:val="sr-Cyrl-RS"/>
        </w:rPr>
        <w:t xml:space="preserve"> Због малог обухвата и одзива на превентивне скрининге потребне су чешће и снажније јавноздравствене кампање институција уз веће учешће и подршку ОЦД и медија у ширењу свести о важности превентивних прегледа за два најчешћа малигна тумора код жена, као и ХПВ вакцина која се у Србији само препоручује, али није на списку вакцина које се финансирају из обавезног здравственог осигурања.</w:t>
      </w:r>
      <w:r w:rsidRPr="00EF008E">
        <w:rPr>
          <w:rFonts w:ascii="Arial" w:hAnsi="Arial" w:cs="Arial"/>
          <w:color w:val="000000"/>
          <w:sz w:val="22"/>
          <w:szCs w:val="22"/>
          <w:vertAlign w:val="superscript"/>
          <w:lang w:val="sr-Cyrl-RS"/>
        </w:rPr>
        <w:t>764</w:t>
      </w:r>
      <w:r w:rsidRPr="00EF008E">
        <w:rPr>
          <w:rFonts w:ascii="Arial" w:hAnsi="Arial" w:cs="Arial"/>
          <w:color w:val="000000"/>
          <w:sz w:val="22"/>
          <w:szCs w:val="22"/>
          <w:lang w:val="sr-Cyrl-RS"/>
        </w:rPr>
        <w:t xml:space="preserve"> У Републици Србији се не спроводи скрининг рака простате, као ни PSA превентивни прегледи</w:t>
      </w:r>
      <w:r w:rsidRPr="00EF008E">
        <w:rPr>
          <w:rFonts w:ascii="Arial" w:hAnsi="Arial" w:cs="Arial"/>
          <w:color w:val="000000"/>
          <w:sz w:val="22"/>
          <w:szCs w:val="22"/>
          <w:vertAlign w:val="superscript"/>
          <w:lang w:val="sr-Cyrl-RS"/>
        </w:rPr>
        <w:t>765</w:t>
      </w:r>
      <w:r w:rsidRPr="00EF008E">
        <w:rPr>
          <w:rFonts w:ascii="Arial" w:hAnsi="Arial" w:cs="Arial"/>
          <w:color w:val="000000"/>
          <w:sz w:val="22"/>
          <w:szCs w:val="22"/>
          <w:lang w:val="sr-Cyrl-RS"/>
        </w:rPr>
        <w:t>, иако је то једна од малигних болести, након рака плућа и дебелог црева, од које мушкарци највише оболевају и умиру.</w:t>
      </w:r>
      <w:r w:rsidRPr="00EF008E">
        <w:rPr>
          <w:rFonts w:ascii="Arial" w:hAnsi="Arial" w:cs="Arial"/>
          <w:color w:val="000000"/>
          <w:sz w:val="22"/>
          <w:szCs w:val="22"/>
          <w:vertAlign w:val="superscript"/>
          <w:lang w:val="sr-Cyrl-RS"/>
        </w:rPr>
        <w:t>766</w:t>
      </w:r>
      <w:r w:rsidRPr="00EF008E">
        <w:rPr>
          <w:rFonts w:ascii="Arial" w:hAnsi="Arial" w:cs="Arial"/>
          <w:color w:val="000000"/>
          <w:sz w:val="22"/>
          <w:szCs w:val="22"/>
          <w:lang w:val="sr-Cyrl-RS"/>
        </w:rPr>
        <w:t xml:space="preserve"> Не постоји ни посебан програм заштите репродуктивног здравља мушкараца</w:t>
      </w:r>
      <w:r w:rsidRPr="00EF008E">
        <w:rPr>
          <w:rFonts w:ascii="Arial" w:hAnsi="Arial" w:cs="Arial"/>
          <w:color w:val="000000"/>
          <w:sz w:val="22"/>
          <w:szCs w:val="22"/>
          <w:vertAlign w:val="superscript"/>
          <w:lang w:val="sr-Cyrl-RS"/>
        </w:rPr>
        <w:t>767</w:t>
      </w:r>
      <w:r w:rsidRPr="00EF008E">
        <w:rPr>
          <w:rFonts w:ascii="Arial" w:hAnsi="Arial" w:cs="Arial"/>
          <w:color w:val="000000"/>
          <w:sz w:val="22"/>
          <w:szCs w:val="22"/>
          <w:lang w:val="sr-Cyrl-RS"/>
        </w:rPr>
        <w:t xml:space="preserve"> а поједини видови заштите спроводе се у оквиру постојеће организације здравствене заштите, као што су планирање породице, саветовалишта и лечење стерилитета. Превенцијом и лечењем болести репродуктивних органа мушкараца баве се специјалистичке службе на секундарном и терцијарном нивоу.</w:t>
      </w:r>
      <w:r w:rsidRPr="00EF008E">
        <w:rPr>
          <w:rFonts w:ascii="Arial" w:hAnsi="Arial" w:cs="Arial"/>
          <w:color w:val="000000"/>
          <w:sz w:val="22"/>
          <w:szCs w:val="22"/>
          <w:vertAlign w:val="superscript"/>
          <w:lang w:val="sr-Cyrl-RS"/>
        </w:rPr>
        <w:t>768</w:t>
      </w:r>
      <w:r w:rsidRPr="00EF008E">
        <w:rPr>
          <w:rFonts w:ascii="Arial" w:hAnsi="Arial" w:cs="Arial"/>
          <w:color w:val="000000"/>
          <w:sz w:val="22"/>
          <w:szCs w:val="22"/>
          <w:lang w:val="sr-Cyrl-RS"/>
        </w:rPr>
        <w:t xml:space="preserve"> То отежава превентивно деловање и требало би да буде део примарне здравствене заштите.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Приступ висококвалитетним, приступачним услугама заштите и унапређења сексуалног и репродуктивног здравља и информацијама везаним за здравље су од суштинског значаја за остваривање права жена и мушкараца, а адекватна контрацепција омогућава заштиту од штетних здравствених и социоекономских последица које носе ненамерне трудноће, односно њихово прекидње и полно преносиве болести. Упркос штетних последица намерних прекида трудноће по здравље жена, њихово право да слободно одлучују о рађању не сме бити нарушено. Услуге заштите сексуалног и репродуктивног здравља, према оцени женских организација, нису довољно доступне</w:t>
      </w:r>
      <w:r w:rsidRPr="00EF008E">
        <w:rPr>
          <w:rFonts w:ascii="Arial" w:hAnsi="Arial" w:cs="Arial"/>
          <w:color w:val="000000"/>
          <w:sz w:val="22"/>
          <w:szCs w:val="22"/>
          <w:vertAlign w:val="superscript"/>
          <w:lang w:val="sr-Cyrl-RS"/>
        </w:rPr>
        <w:t>769</w:t>
      </w:r>
      <w:r w:rsidRPr="00EF008E">
        <w:rPr>
          <w:rFonts w:ascii="Arial" w:hAnsi="Arial" w:cs="Arial"/>
          <w:color w:val="000000"/>
          <w:sz w:val="22"/>
          <w:szCs w:val="22"/>
          <w:lang w:val="sr-Cyrl-RS"/>
        </w:rPr>
        <w:t xml:space="preserve"> а сви показатељи стања и права жена у Републици Србији су неповољни.</w:t>
      </w:r>
      <w:r w:rsidRPr="00EF008E">
        <w:rPr>
          <w:rFonts w:ascii="Arial" w:hAnsi="Arial" w:cs="Arial"/>
          <w:color w:val="000000"/>
          <w:sz w:val="22"/>
          <w:szCs w:val="22"/>
          <w:vertAlign w:val="superscript"/>
          <w:lang w:val="sr-Cyrl-RS"/>
        </w:rPr>
        <w:t>770</w:t>
      </w:r>
      <w:r w:rsidRPr="00EF008E">
        <w:rPr>
          <w:rFonts w:ascii="Arial" w:hAnsi="Arial" w:cs="Arial"/>
          <w:color w:val="000000"/>
          <w:sz w:val="22"/>
          <w:szCs w:val="22"/>
          <w:lang w:val="sr-Cyrl-RS"/>
        </w:rPr>
        <w:t xml:space="preserve"> Истраживање вишеструких показатеља (MICS 6/2019)</w:t>
      </w:r>
      <w:r w:rsidRPr="00EF008E">
        <w:rPr>
          <w:rFonts w:ascii="Arial" w:hAnsi="Arial" w:cs="Arial"/>
          <w:color w:val="000000"/>
          <w:sz w:val="22"/>
          <w:szCs w:val="22"/>
          <w:vertAlign w:val="superscript"/>
          <w:lang w:val="sr-Cyrl-RS"/>
        </w:rPr>
        <w:t>771</w:t>
      </w:r>
      <w:r w:rsidRPr="00EF008E">
        <w:rPr>
          <w:rFonts w:ascii="Arial" w:hAnsi="Arial" w:cs="Arial"/>
          <w:color w:val="000000"/>
          <w:sz w:val="22"/>
          <w:szCs w:val="22"/>
          <w:lang w:val="sr-Cyrl-RS"/>
        </w:rPr>
        <w:t xml:space="preserve"> говори да се ситуација у домену сексуалног и репродуктивног здравља није знатно променила у односу на 2014. годину. Исто истраживање показало је да више од петине жена (22%) које су удате или живе у ванбрачној заједници није никада користило ниједан метод контрацепције, а као главни разлог су наводиле то што су желеле да затрудне (71%).</w:t>
      </w:r>
      <w:r w:rsidRPr="00EF008E">
        <w:rPr>
          <w:rFonts w:ascii="Arial" w:hAnsi="Arial" w:cs="Arial"/>
          <w:color w:val="000000"/>
          <w:sz w:val="22"/>
          <w:szCs w:val="22"/>
          <w:vertAlign w:val="superscript"/>
          <w:lang w:val="sr-Cyrl-RS"/>
        </w:rPr>
        <w:t>772</w:t>
      </w:r>
      <w:r w:rsidRPr="00EF008E">
        <w:rPr>
          <w:rFonts w:ascii="Arial" w:hAnsi="Arial" w:cs="Arial"/>
          <w:color w:val="000000"/>
          <w:sz w:val="22"/>
          <w:szCs w:val="22"/>
          <w:lang w:val="sr-Cyrl-RS"/>
        </w:rPr>
        <w:t xml:space="preserve"> У 2019. години било је пријављено 13.901 прекида трудноће. Најзаступљенији су медицински индуковани прекиди трудноће којих је било 9.843 (70,8%). Од свих жена које су имале медицински, односно легално индукован прекид трудноће, највише је оних у доби 25</w:t>
      </w:r>
      <w:r>
        <w:rPr>
          <w:rFonts w:ascii="Arial" w:hAnsi="Arial" w:cs="Arial"/>
          <w:color w:val="000000"/>
          <w:sz w:val="22"/>
          <w:szCs w:val="22"/>
          <w:lang w:val="sr-Cyrl-RS"/>
        </w:rPr>
        <w:t>-</w:t>
      </w:r>
      <w:r w:rsidRPr="00EF008E">
        <w:rPr>
          <w:rFonts w:ascii="Arial" w:hAnsi="Arial" w:cs="Arial"/>
          <w:color w:val="000000"/>
          <w:sz w:val="22"/>
          <w:szCs w:val="22"/>
          <w:lang w:val="sr-Cyrl-RS"/>
        </w:rPr>
        <w:t>34 године (45,1%), а жене млађе од 20 година чине 3,6% укупног броја легално индукованих прекида трудноће.</w:t>
      </w:r>
      <w:r w:rsidRPr="00EF008E">
        <w:rPr>
          <w:rFonts w:ascii="Arial" w:hAnsi="Arial" w:cs="Arial"/>
          <w:color w:val="000000"/>
          <w:sz w:val="22"/>
          <w:szCs w:val="22"/>
          <w:vertAlign w:val="superscript"/>
          <w:lang w:val="sr-Cyrl-RS"/>
        </w:rPr>
        <w:t>773</w:t>
      </w:r>
      <w:r w:rsidRPr="00EF008E">
        <w:rPr>
          <w:rFonts w:ascii="Arial" w:hAnsi="Arial" w:cs="Arial"/>
          <w:color w:val="000000"/>
          <w:sz w:val="22"/>
          <w:szCs w:val="22"/>
          <w:lang w:val="sr-Cyrl-RS"/>
        </w:rPr>
        <w:t xml:space="preserve"> Искуство абортуса је распрострањеније код жена са основним образовањем (28%) и жена из најсиромашнијих домаћинстава (15%).</w:t>
      </w:r>
      <w:r w:rsidRPr="00EF008E">
        <w:rPr>
          <w:rFonts w:ascii="Arial" w:hAnsi="Arial" w:cs="Arial"/>
          <w:color w:val="000000"/>
          <w:sz w:val="22"/>
          <w:szCs w:val="22"/>
          <w:vertAlign w:val="superscript"/>
          <w:lang w:val="sr-Cyrl-RS"/>
        </w:rPr>
        <w:t>774</w:t>
      </w:r>
      <w:r w:rsidRPr="00EF008E">
        <w:rPr>
          <w:rFonts w:ascii="Arial" w:hAnsi="Arial" w:cs="Arial"/>
          <w:color w:val="000000"/>
          <w:sz w:val="22"/>
          <w:szCs w:val="22"/>
          <w:lang w:val="sr-Cyrl-RS"/>
        </w:rPr>
        <w:t xml:space="preserve"> Стопа адолесцентских трудноћа у Србији износи 19,3 (на 1000 трудноћа), што ове девојчице доводи у посебан ризик од напуштања школовања које за собом повлачи друге последице, између осталог, сиромаштво и насиље.</w:t>
      </w:r>
      <w:r w:rsidRPr="00EF008E">
        <w:rPr>
          <w:rFonts w:ascii="Arial" w:hAnsi="Arial" w:cs="Arial"/>
          <w:color w:val="000000"/>
          <w:sz w:val="22"/>
          <w:szCs w:val="22"/>
          <w:vertAlign w:val="superscript"/>
          <w:lang w:val="sr-Cyrl-RS"/>
        </w:rPr>
        <w:t>775</w:t>
      </w:r>
      <w:r w:rsidRPr="00EF008E">
        <w:rPr>
          <w:rFonts w:ascii="Arial" w:hAnsi="Arial" w:cs="Arial"/>
          <w:color w:val="000000"/>
          <w:sz w:val="22"/>
          <w:szCs w:val="22"/>
          <w:lang w:val="sr-Cyrl-RS"/>
        </w:rPr>
        <w:t xml:space="preserve"> Истовремено, стопа рађања адолесценткиња у ромским насељима износи 163 на хиљаду жена старости 15</w:t>
      </w:r>
      <w:r>
        <w:rPr>
          <w:rFonts w:ascii="Arial" w:hAnsi="Arial" w:cs="Arial"/>
          <w:color w:val="000000"/>
          <w:sz w:val="22"/>
          <w:szCs w:val="22"/>
          <w:lang w:val="sr-Cyrl-RS"/>
        </w:rPr>
        <w:t>-</w:t>
      </w:r>
      <w:r w:rsidRPr="00EF008E">
        <w:rPr>
          <w:rFonts w:ascii="Arial" w:hAnsi="Arial" w:cs="Arial"/>
          <w:color w:val="000000"/>
          <w:sz w:val="22"/>
          <w:szCs w:val="22"/>
          <w:lang w:val="sr-Cyrl-RS"/>
        </w:rPr>
        <w:t>19 година.</w:t>
      </w:r>
      <w:r w:rsidRPr="00EF008E">
        <w:rPr>
          <w:rFonts w:ascii="Arial" w:hAnsi="Arial" w:cs="Arial"/>
          <w:color w:val="000000"/>
          <w:sz w:val="22"/>
          <w:szCs w:val="22"/>
          <w:vertAlign w:val="superscript"/>
          <w:lang w:val="sr-Cyrl-RS"/>
        </w:rPr>
        <w:t>776</w:t>
      </w:r>
      <w:r w:rsidRPr="00EF008E">
        <w:rPr>
          <w:rFonts w:ascii="Arial" w:hAnsi="Arial" w:cs="Arial"/>
          <w:color w:val="000000"/>
          <w:sz w:val="22"/>
          <w:szCs w:val="22"/>
          <w:lang w:val="sr-Cyrl-RS"/>
        </w:rPr>
        <w:t xml:space="preserve"> Забрињава однос свих институција а посебно здравствених установа према малолетничким трудноћама, односно девојчицама које затрудне пре навршене 14 године.</w:t>
      </w:r>
      <w:r w:rsidRPr="00EF008E">
        <w:rPr>
          <w:rFonts w:ascii="Arial" w:hAnsi="Arial" w:cs="Arial"/>
          <w:color w:val="000000"/>
          <w:sz w:val="22"/>
          <w:szCs w:val="22"/>
          <w:vertAlign w:val="superscript"/>
          <w:lang w:val="sr-Cyrl-RS"/>
        </w:rPr>
        <w:t>777</w:t>
      </w:r>
      <w:r w:rsidRPr="00EF008E">
        <w:rPr>
          <w:rFonts w:ascii="Arial" w:hAnsi="Arial" w:cs="Arial"/>
          <w:color w:val="000000"/>
          <w:sz w:val="22"/>
          <w:szCs w:val="22"/>
          <w:lang w:val="sr-Cyrl-RS"/>
        </w:rPr>
        <w:t xml:space="preserve"> Здравствени радници у значајном броју овакве ситуације образлажу обичајима и традицијом, првенствено заступљеним у ромским породицама и не пријављују случајеве полицији.</w:t>
      </w:r>
      <w:r w:rsidRPr="00EF008E">
        <w:rPr>
          <w:rFonts w:ascii="Arial" w:hAnsi="Arial" w:cs="Arial"/>
          <w:color w:val="000000"/>
          <w:sz w:val="22"/>
          <w:szCs w:val="22"/>
          <w:vertAlign w:val="superscript"/>
          <w:lang w:val="sr-Cyrl-RS"/>
        </w:rPr>
        <w:t>778</w:t>
      </w:r>
      <w:r w:rsidRPr="00EF008E">
        <w:rPr>
          <w:rFonts w:ascii="Arial" w:hAnsi="Arial" w:cs="Arial"/>
          <w:color w:val="000000"/>
          <w:sz w:val="22"/>
          <w:szCs w:val="22"/>
          <w:lang w:val="sr-Cyrl-RS"/>
        </w:rPr>
        <w:t xml:space="preserve"> У Националном програму очувања сексуалног и репродуктивног здравља грађана Републике Србије</w:t>
      </w:r>
      <w:r w:rsidRPr="00EF008E">
        <w:rPr>
          <w:rFonts w:ascii="Arial" w:hAnsi="Arial" w:cs="Arial"/>
          <w:color w:val="000000"/>
          <w:sz w:val="22"/>
          <w:szCs w:val="22"/>
          <w:vertAlign w:val="superscript"/>
          <w:lang w:val="sr-Cyrl-RS"/>
        </w:rPr>
        <w:t>779</w:t>
      </w:r>
      <w:r w:rsidRPr="00EF008E">
        <w:rPr>
          <w:rFonts w:ascii="Arial" w:hAnsi="Arial" w:cs="Arial"/>
          <w:color w:val="000000"/>
          <w:sz w:val="22"/>
          <w:szCs w:val="22"/>
          <w:lang w:val="sr-Cyrl-RS"/>
        </w:rPr>
        <w:t xml:space="preserve"> истакнути су проблеми, попут доминантно конзервативне контроле рађања, ризичног сексуалног понашања младих, као и незадовољавајућег обима ангажовања у очувању сексуалног и репродуктивног здравља целокупне популације, посебно депривираних и маргинализованих група. У анализи примене овог програма је истакнуто да: контрацептивна средства нису лако доступна; прекид трудноће из немедицинских разлога не спада у здравствену услугу која је покривена обавезним здравственим осигурањем, недостају системска решења у едукацији и информисању младих; није предвиђен посебан основ осигурања за жртве силовања осим општих правила осигурања</w:t>
      </w:r>
      <w:r w:rsidRPr="00EF008E">
        <w:rPr>
          <w:rFonts w:ascii="Arial" w:hAnsi="Arial" w:cs="Arial"/>
          <w:color w:val="000000"/>
          <w:sz w:val="22"/>
          <w:szCs w:val="22"/>
          <w:vertAlign w:val="superscript"/>
          <w:lang w:val="sr-Cyrl-RS"/>
        </w:rPr>
        <w:t>780</w:t>
      </w:r>
      <w:r w:rsidRPr="00EF008E">
        <w:rPr>
          <w:rFonts w:ascii="Arial" w:hAnsi="Arial" w:cs="Arial"/>
          <w:color w:val="000000"/>
          <w:sz w:val="22"/>
          <w:szCs w:val="22"/>
          <w:lang w:val="sr-Cyrl-RS"/>
        </w:rPr>
        <w:t>, подаци о саветодавним активностима, питањима слободног и информисаног одлучивања и избора жена не постоје.</w:t>
      </w:r>
      <w:r w:rsidRPr="00EF008E">
        <w:rPr>
          <w:rFonts w:ascii="Arial" w:hAnsi="Arial" w:cs="Arial"/>
          <w:color w:val="000000"/>
          <w:sz w:val="22"/>
          <w:szCs w:val="22"/>
          <w:vertAlign w:val="superscript"/>
          <w:lang w:val="sr-Cyrl-RS"/>
        </w:rPr>
        <w:t>781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Заштита здравља рањивих група. Ромкиње су група жена изложена вишеструкој дискриминацији, а њихова здравствена ситуација је лошија у поређењу са неромском популацијом. Оне живе у неадекватним животним условима, у сиромаштву, жртве су раних бракова, раних порођаја и вишеструких трудноћа са малим временским размаком. Суочавају се са препрекама у приступу здравственој заштити и здравственим услугама, укључујући и предрасуде здравствених радника. Дискриминација је нарочито видљива у пружању здравствене заштите током и након порођаја.</w:t>
      </w:r>
      <w:r w:rsidRPr="00EF008E">
        <w:rPr>
          <w:rFonts w:ascii="Arial" w:hAnsi="Arial" w:cs="Arial"/>
          <w:color w:val="000000"/>
          <w:sz w:val="22"/>
          <w:szCs w:val="22"/>
          <w:vertAlign w:val="superscript"/>
          <w:lang w:val="sr-Cyrl-RS"/>
        </w:rPr>
        <w:t>782</w:t>
      </w:r>
      <w:r w:rsidRPr="00EF008E">
        <w:rPr>
          <w:rFonts w:ascii="Arial" w:hAnsi="Arial" w:cs="Arial"/>
          <w:color w:val="000000"/>
          <w:sz w:val="22"/>
          <w:szCs w:val="22"/>
          <w:lang w:val="sr-Cyrl-RS"/>
        </w:rPr>
        <w:t xml:space="preserve"> Дечији бракови имају веома штетне последице на девојчице ромске националности, укључујући погоршавање здравственог стања и репродуктивног здравља, проузрокују ризична понашања, као што су малолетничке трудноће које угрожавају здравље детета и мајке. Међу женама које су малолетне родиле прво дете њих 14,3% није пратило трудноћу код гинеколога.</w:t>
      </w:r>
      <w:r w:rsidRPr="00EF008E">
        <w:rPr>
          <w:rFonts w:ascii="Arial" w:hAnsi="Arial" w:cs="Arial"/>
          <w:color w:val="000000"/>
          <w:sz w:val="22"/>
          <w:szCs w:val="22"/>
          <w:vertAlign w:val="superscript"/>
          <w:lang w:val="sr-Cyrl-RS"/>
        </w:rPr>
        <w:t>783</w:t>
      </w:r>
      <w:r w:rsidRPr="00EF008E">
        <w:rPr>
          <w:rFonts w:ascii="Arial" w:hAnsi="Arial" w:cs="Arial"/>
          <w:color w:val="000000"/>
          <w:sz w:val="22"/>
          <w:szCs w:val="22"/>
          <w:lang w:val="sr-Cyrl-RS"/>
        </w:rPr>
        <w:t xml:space="preserve"> Рад здравствених медијаторки значајно је допринео укључивању Ромкиња и деце ромске националности у систем здравственог осигурања, али им информације о репродуктивном здрављу нису још увек довољно доступне. Активности у вези са превенцијом репродуктивног здравља и образовања ромских жена не спроводе се систематски. Углавном их спроводе ОЦД, а положај здравствених медијаторки није регулисан на одржив и трајан начин, због чега је Заштитник грађана препоручио Министарству здравља да надомести недостајући број и трајно радно ангажује здравствене медијаторке у здравственом систему.</w:t>
      </w:r>
      <w:r w:rsidRPr="00EF008E">
        <w:rPr>
          <w:rFonts w:ascii="Arial" w:hAnsi="Arial" w:cs="Arial"/>
          <w:color w:val="000000"/>
          <w:sz w:val="22"/>
          <w:szCs w:val="22"/>
          <w:vertAlign w:val="superscript"/>
          <w:lang w:val="sr-Cyrl-RS"/>
        </w:rPr>
        <w:t>784</w:t>
      </w:r>
      <w:r w:rsidRPr="00EF008E">
        <w:rPr>
          <w:rFonts w:ascii="Arial" w:hAnsi="Arial" w:cs="Arial"/>
          <w:color w:val="000000"/>
          <w:sz w:val="22"/>
          <w:szCs w:val="22"/>
          <w:lang w:val="sr-Cyrl-RS"/>
        </w:rPr>
        <w:t xml:space="preserve"> Особе старије од 65 година су групација становништва изложена посебном ризику од оболевања, а старије жене имају слабије здравље у поређењу са старијим мушкарцима и већина оцењује да здравствени статус омета њихове свакодневне активности, те да им је потребна помоћ. Најчешће се ослањају на подршку породице, комшинице, пријатељице и рођаке. Немају све старије жене исте могућности и једнак приступ здравственим установама, најчешће због удаљености од здравствених центара, сиромаштва, недоступности и неприступачности јавног превоза, здравствених установа и услуга.</w:t>
      </w:r>
      <w:r w:rsidRPr="00EF008E">
        <w:rPr>
          <w:rFonts w:ascii="Arial" w:hAnsi="Arial" w:cs="Arial"/>
          <w:color w:val="000000"/>
          <w:sz w:val="22"/>
          <w:szCs w:val="22"/>
          <w:vertAlign w:val="superscript"/>
          <w:lang w:val="sr-Cyrl-RS"/>
        </w:rPr>
        <w:t>785</w:t>
      </w:r>
      <w:r w:rsidRPr="00EF008E">
        <w:rPr>
          <w:rFonts w:ascii="Arial" w:hAnsi="Arial" w:cs="Arial"/>
          <w:color w:val="000000"/>
          <w:sz w:val="22"/>
          <w:szCs w:val="22"/>
          <w:lang w:val="sr-Cyrl-RS"/>
        </w:rPr>
        <w:t xml:space="preserve"> Такође, постоји пракса упућивања у приватне здравствене ординације на специјалистичке прегледе због дугачких листа чекања, чиме им се практично ускраћују специјалистичке здравствене услуге због недостатка финансијских средстава.</w:t>
      </w:r>
      <w:r w:rsidRPr="00EF008E">
        <w:rPr>
          <w:rFonts w:ascii="Arial" w:hAnsi="Arial" w:cs="Arial"/>
          <w:color w:val="000000"/>
          <w:sz w:val="22"/>
          <w:szCs w:val="22"/>
          <w:vertAlign w:val="superscript"/>
          <w:lang w:val="sr-Cyrl-RS"/>
        </w:rPr>
        <w:t>786</w:t>
      </w:r>
      <w:r w:rsidRPr="00EF008E">
        <w:rPr>
          <w:rFonts w:ascii="Arial" w:hAnsi="Arial" w:cs="Arial"/>
          <w:color w:val="000000"/>
          <w:sz w:val="22"/>
          <w:szCs w:val="22"/>
          <w:lang w:val="sr-Cyrl-RS"/>
        </w:rPr>
        <w:t xml:space="preserve"> Повереник за заштиту равноправности упозорава да су старије жене у неравноправном положају због недоступности здравствене заштите, посебно у руралним подручјима, јер су здравствене станице и амбуланте затворене, ретко се формирају службе кућне неге, а нису довољно развијене интегрисане услуге на локалном нивоу</w:t>
      </w:r>
      <w:r w:rsidRPr="00EF008E">
        <w:rPr>
          <w:rFonts w:ascii="Arial" w:hAnsi="Arial" w:cs="Arial"/>
          <w:color w:val="000000"/>
          <w:sz w:val="22"/>
          <w:szCs w:val="22"/>
          <w:vertAlign w:val="superscript"/>
          <w:lang w:val="sr-Cyrl-RS"/>
        </w:rPr>
        <w:t>787</w:t>
      </w:r>
      <w:r w:rsidRPr="00EF008E">
        <w:rPr>
          <w:rFonts w:ascii="Arial" w:hAnsi="Arial" w:cs="Arial"/>
          <w:color w:val="000000"/>
          <w:sz w:val="22"/>
          <w:szCs w:val="22"/>
          <w:lang w:val="sr-Cyrl-RS"/>
        </w:rPr>
        <w:t xml:space="preserve"> које укључују помоћ геронтодомаћица, палијативну негу и збрињавање оболелих у терминалним фазама болести. Жене са инвалидитетом се суочавају са проблемом приступачности и доступности услуга због непостојања капацитета и/или прилагођености здравствених установа и радника за рад са особама са инвалидитетом које се огледа у недостатку медицинског особља, чекању на специјалистичке прегледе и немогућности заказивања прегледа у два повезана термина, неприступачности зграда и просторија, недостатка опреме, као што су хидраулични гинеколошки столови, а није регулисано прилагођавање услуга као што су асистенција приликом прегледа и тумачи знаковног језика.</w:t>
      </w:r>
      <w:r w:rsidRPr="00EF008E">
        <w:rPr>
          <w:rFonts w:ascii="Arial" w:hAnsi="Arial" w:cs="Arial"/>
          <w:color w:val="000000"/>
          <w:sz w:val="22"/>
          <w:szCs w:val="22"/>
          <w:vertAlign w:val="superscript"/>
          <w:lang w:val="sr-Cyrl-RS"/>
        </w:rPr>
        <w:t>788</w:t>
      </w:r>
      <w:r w:rsidRPr="00EF008E">
        <w:rPr>
          <w:rFonts w:ascii="Arial" w:hAnsi="Arial" w:cs="Arial"/>
          <w:color w:val="000000"/>
          <w:sz w:val="22"/>
          <w:szCs w:val="22"/>
          <w:lang w:val="sr-Cyrl-RS"/>
        </w:rPr>
        <w:t xml:space="preserve"> Жене и девојчице са инвалидитетом које живе у резиденцијалним установама су у већем ризику јер су изложене присилној стерилизацији, присилним абортусима, давању контрацептивних средстава без информисаног пристанка, сексуалном узнемиравању и сексуалном насиљу. Жене са интелектуалним и психосоцијалним инвалидитетом су у повећаном ризику од лишења пословне способности, због чега не могу самостално да одлучују о лечењу, медицинским интервенцијама, трудноћи и слично. Пружаоци здравствених услуга нису осетљиви на питања која се односе на особе истополне сексуалне оријентације и недостаје им адекватно знање да лезбејкама пруже комплетну медицинску негу, која се односи на физичке и психолошке проблеме са којима се могу суочити, а пошто их закон</w:t>
      </w:r>
      <w:r w:rsidRPr="00EF008E">
        <w:rPr>
          <w:rFonts w:ascii="Arial" w:hAnsi="Arial" w:cs="Arial"/>
          <w:color w:val="000000"/>
          <w:sz w:val="22"/>
          <w:szCs w:val="22"/>
          <w:vertAlign w:val="superscript"/>
          <w:lang w:val="sr-Cyrl-RS"/>
        </w:rPr>
        <w:t>789</w:t>
      </w:r>
      <w:r w:rsidRPr="00EF008E">
        <w:rPr>
          <w:rFonts w:ascii="Arial" w:hAnsi="Arial" w:cs="Arial"/>
          <w:color w:val="000000"/>
          <w:sz w:val="22"/>
          <w:szCs w:val="22"/>
          <w:lang w:val="sr-Cyrl-RS"/>
        </w:rPr>
        <w:t xml:space="preserve"> искључује, особе које не живе у хетеросексуалној заједници, вантелесну оплодњу саме финансирају и поступак се често обавља у иностранству.</w:t>
      </w:r>
      <w:r w:rsidRPr="00EF008E">
        <w:rPr>
          <w:rFonts w:ascii="Arial" w:hAnsi="Arial" w:cs="Arial"/>
          <w:color w:val="000000"/>
          <w:sz w:val="22"/>
          <w:szCs w:val="22"/>
          <w:vertAlign w:val="superscript"/>
          <w:lang w:val="sr-Cyrl-RS"/>
        </w:rPr>
        <w:t>790</w:t>
      </w:r>
      <w:r w:rsidRPr="00EF008E">
        <w:rPr>
          <w:rFonts w:ascii="Arial" w:hAnsi="Arial" w:cs="Arial"/>
          <w:color w:val="000000"/>
          <w:sz w:val="22"/>
          <w:szCs w:val="22"/>
          <w:lang w:val="sr-Cyrl-RS"/>
        </w:rPr>
        <w:t xml:space="preserve"> Према подацима ОЦД, више од 40% особа које живе са ХИВ-ом и АИДС-ом налазе се испод границе сиромаштва које је последица стигме и дискриминације. Не само да су им услуге социјалне заштите врло често недоступне или неприлагођене, него често не могу остварити своја законом загарантована права на одређене видове здравствене заштите (избегавање лекара да их прегледају, оперишу, установе за стационарну рехабилитацију им нису доступне). Трансмисија ХИВ инфекције са мајке на дете је заустављена захваљујући обавезном тестирању трудница на ХИВ. Пацијентима у Републици Србији са хроничном ХИВ инфекцијом доступни су практично сви антиретровирусни лекови са листе (водича) Европског клиничког друштва за АИДС (ЕАCS), а терапија је бесплатна. Нажалост, деци са хроничном ХИВ инфекцијом у Републици Србији нису доступни сви лекови који постоје.</w:t>
      </w:r>
      <w:r w:rsidRPr="00EF008E">
        <w:rPr>
          <w:rFonts w:ascii="Arial" w:hAnsi="Arial" w:cs="Arial"/>
          <w:color w:val="000000"/>
          <w:sz w:val="22"/>
          <w:szCs w:val="22"/>
          <w:vertAlign w:val="superscript"/>
          <w:lang w:val="sr-Cyrl-RS"/>
        </w:rPr>
        <w:t>791</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721</w:t>
      </w:r>
      <w:r w:rsidRPr="00EF008E">
        <w:rPr>
          <w:rFonts w:ascii="Arial" w:hAnsi="Arial" w:cs="Arial"/>
          <w:i/>
          <w:color w:val="000000"/>
          <w:sz w:val="22"/>
          <w:szCs w:val="22"/>
          <w:lang w:val="sr-Cyrl-RS"/>
        </w:rPr>
        <w:tab/>
        <w:t>Доступно на: http://www.izjzv.org.rs/app/soc.katedra/Zdravljeifakorikojinanjegauticu.pdf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722 Секуловић, И. и др. Припремљеност за спровођење Агенде 2030, Београдска отворена школа, Београдска отворена школа, 2020, страна 49, доступно на: http://www.centaronline.org/userfiles/files/publikacije/sdgs4all-srbija-2030-pripremljenost-za-sprovodenje-agende-2030.pdf, приступ: 16.6.2021.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723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Службени лист СФРЈ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Међународни уговори</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11/81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724 Игњатовић, Т. и др. Три године од усвајања Програма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без очекиваних резултата, Анализа примене Националног програма очувања и унапређења сексуалног и репродуктивног здравља грађана Републике Србије, Аутономни женски центар, Београд, 2021. страна 5, доступно на: https://www.womenngo.org.rs/images/publikacije-dp/2021/TRI_GODINE_OD_USVAJANJA_PROGRAMA_Analiza_primene_Nacionalnog_programa_ocuvanja_i_unapredjenja_seksualnog_i_reproduktivnog_zdravlja_gradjana.pdf, приступ: 20.5.2021.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725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104/09.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726 Здравствена заштита жена обухвата нарочито: 1) превенцију и рано откривање болести; 2) здравствену заштиту у вези са планирањем породице, у току трудноће, порођаја и материнства; 3) здравствену заштиту у случају болести и повреда, у складу са законом којим се уређује здравствена заштита. (члана 24.)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727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52/21, доступно на: http://www.parlament.gov.rs/upload/archive/files/lat/pdf/zakoni/2021/741-21-lat..pdf, приступ: 27.5.2021.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728 Према члану 36 органи јавне власти дужни су да обезбеде једнаке могућности у пружању социјалне и здравствене заштите за све кориснике услуга и права без обзира на пол, односно род; свим женама и мушкарцима, девојчицама и дечацима под једнаким условима приступ лако доступним информацијама, образовању и услугама, у складу са старосном доби, које се односе на сексуалност, контрацепцију, планирање рађања, брачни и породични живот, посебно узимајући у обзир положај лица из осетљивих група. Дискриминацијом се не сматрају опште и посебне мере којима се подстиче рађење, равноправност родитеља у вршењу родитељског права и дужности и обезбеђује сексуално и репродуктивно здравље жена и мушкараца. Ови органи су нарочито дужни да обезбеде: примену посебних мера за праћење, подршку и унапређење сексуалног и репродуктивног здравља; организовање у спровођење програма за спречавање и превазилажење проблема ране трудноће и заснивање партнерских заједница међу и са лицима млађим од 18 година; примену посебних мера за рано откивање болести.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729 Група аутора: Извештај о напретку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други извештај о напретку по областима за период 2016</w:t>
      </w:r>
      <w:r>
        <w:rPr>
          <w:rFonts w:ascii="Arial" w:hAnsi="Arial" w:cs="Arial"/>
          <w:i/>
          <w:color w:val="000000"/>
          <w:sz w:val="22"/>
          <w:szCs w:val="22"/>
          <w:lang w:val="sr-Cyrl-RS"/>
        </w:rPr>
        <w:t>-</w:t>
      </w:r>
      <w:r w:rsidRPr="00EF008E">
        <w:rPr>
          <w:rFonts w:ascii="Arial" w:hAnsi="Arial" w:cs="Arial"/>
          <w:i/>
          <w:color w:val="000000"/>
          <w:sz w:val="22"/>
          <w:szCs w:val="22"/>
          <w:lang w:val="sr-Cyrl-RS"/>
        </w:rPr>
        <w:t>2020. сачињен на основу оквира за мониторинг и евалуацију, ЖПРС, 2020. страна 56, доступно на: https://media.genderhub.org.rs/2021/04/DRUGI-IZVESTAJ-O-NAPRETKU.pdf,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730 Жене и мушкарци у Републици Србији, Београд, 2020. година, страна 29, доступно на www.stat.gov.rs/sr-Latin/oblasti/stanovnistvo/statistika-polova,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731 Стојиљковић Гњатовић, Ј. и др. Употреба података из SILC анкете за израчунавање здравих година живота, страна 6, доступно на: http://socijalnoukljucivanje.gov.rs/wp-content/uploads/2016/09/SILC_004_Jelena-Stojilkovic-Gnjatovic-Dragana-Paunovic-Radulovic-Natalija-Miric_Upotreba-potadaka-iz-SILC-ankete-za-izracunavanje-zdravih-godna-zivota.pdf,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732 Жене и мушкарци, 2020, страна 29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733 Родна равноправност у саобраћају, SeCons, 2019. година, страна 59, доступо на: https://www.secons.net/publications.php?p=109, приступ: 12.9.2021.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734 Спортом и рекреативним активностима једном недељно у Србији се бави 19% грађана/ки, док је просек за ЕУ земље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42%. Извор: Eurofound (2019), Life and society in the EU candidate countries, страна 39, доступно на: https://www.eurofound.europa.eu/publications/report/2019/life-and-society-in-the-eu-candidate-countries, приступ: 16.9.2021.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735 Бекер, К. и др. Извештај о правима жена и родној равноправности у Србији за 2019. годину, FemPlatz, 2020. година, страна 55, доступно на: https://www.femplatz.org/library/reports/2020-08-10_PreneraZena.pdf, приступ: 11.5.2021.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736 Спортом и рекреативним активностима једном недељно у Србији се бави 19% грађана/ки, док је просек за ЕУ земље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42%. Извор: Eurofound (2019), Life and society in the EU candidate countries, страна 39, доступно на: https://www.eurofound.europa.eu/publications/report/2019/life-and-society-in-the-eu-candidate-countries, приступ: 16.9.2021.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737 Овај индекс састоји се од три поддомена: здравствено стање, понашање повезано са ризицима по здравље и приступ здравственој заштити.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738 Бабовић, М. Индекс родне равноправности у Републици Србији, 2016. страна 10. Доступно на: http://socijalnoukljucivanje.gov.rs/wp-content/uploads/2018/12/Indeks_rodne_ravnopravnosti_u_Republici_Srbiji_2018.pdf приступ: 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739 Четврти периодични извештај о примени Конвенције о елиминисању свих облика дискркиминације жена, Члан 12, Здравствена заштита жена, Препорука из става 33. Закључних запажања Комитета, стр. 45</w:t>
      </w:r>
      <w:r>
        <w:rPr>
          <w:rFonts w:ascii="Arial" w:hAnsi="Arial" w:cs="Arial"/>
          <w:i/>
          <w:color w:val="000000"/>
          <w:sz w:val="22"/>
          <w:szCs w:val="22"/>
          <w:lang w:val="sr-Cyrl-RS"/>
        </w:rPr>
        <w:t>-</w:t>
      </w:r>
      <w:r w:rsidRPr="00EF008E">
        <w:rPr>
          <w:rFonts w:ascii="Arial" w:hAnsi="Arial" w:cs="Arial"/>
          <w:i/>
          <w:color w:val="000000"/>
          <w:sz w:val="22"/>
          <w:szCs w:val="22"/>
          <w:lang w:val="sr-Cyrl-RS"/>
        </w:rPr>
        <w:t>47, доступно на: http://socijalnoukljucivanje.gov.rs/rs/zakljucna-zapazanja-cedaw-u-vezi-sa-cetvrtim-periodicnim-izvestajem-o-primeni-konvencije-o-eliminisanju-svih-oblika-diskriminacije-zena/,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740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25/19, члан 12, доступно на: https://www.paragraf.rs/propisi/zakon_o_zdravstvenoj_zastiti.html,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741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25/19, доступно на: https://www.paragraf.rs/propisi/zakon_o_zdravstvenom_osiguranju.html,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742 Мере превенције обухватају здравствено васпитање у вези са планирањем породице, превенцијом трудноће, тестирањем и лечењем полно преносивих болести и ХИВ инфекције; хигијенско-епидемиолошке и друге законом предвиђене мере и поступке у вези са спречавањем, откривањем и лечењем ХИВ инфекције и других заразних болести и спречавањем њиховог ширења. Право на здравствену заштиту обухвата прегледе и лечење у вези са планирањем породице, трудноћом, порођајем и постпорођајним периодом: 1) дијагностика и лечење стерилитета; 2) прегледи и лечење који се односе на трудноћу (укључујући пренатални период, порођај и постпорођајни период), стања која могу да изазову компликацију трудноће, као и прекид трудноће из медицинских разлога; 3) стационарно лечење када је медицински неопходно и порођај у здравственој установи; 4) патронажне посете и помоћ породиљи и рутинска нега новорођенчета од стране патронажне сестре.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743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40/17 и 113/17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доступно на: https://www.paragraf.rs/propisi/zakon_o_biomedicinski_potpomognutoj_oplodnji.html,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744 Изузетно, право на поступке БМПО има и пунолетна и пословно способна жена која живи сама и која је способна да врши родитељску дужност и у таквом је психосоцијалном стању на основу кога се оправдано може очекивати да ће бити способна да обавља родитељске дужности у складу са законом, у интересу детета. Члан 25. став 2. Закона о БМПО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745 Мршевић, З. Анализа услова и начина остваривања биопотпомогнуте оплодње у Србији, Лабрис, 2021. страна 12, доступно на: http://labris.org.rs/sites/default/files/Pravna%20Analiza%20BMPO.pdf,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746</w:t>
      </w:r>
      <w:r w:rsidRPr="00EF008E">
        <w:rPr>
          <w:rFonts w:ascii="Arial" w:hAnsi="Arial" w:cs="Arial"/>
          <w:i/>
          <w:color w:val="000000"/>
          <w:sz w:val="22"/>
          <w:szCs w:val="22"/>
          <w:lang w:val="sr-Cyrl-RS"/>
        </w:rPr>
        <w:tab/>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61/18, доступно на: http://www.pravno-informacioni-sistem.rs/SlGlasnikPortal/eli/rep/sgrs/vlada/strategija/2018/61/1/reg, приступ: 8.6.2021.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747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120/17.</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748 Стратегије за подстицања рађања, Национални програм здравствене заштите жена, деце и омладине, Стратегија развоја здравља младих у РС и Национална стратегија за младе за период од 2015. до 2025. године.</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749</w:t>
      </w:r>
      <w:r w:rsidRPr="00EF008E">
        <w:rPr>
          <w:rFonts w:ascii="Arial" w:hAnsi="Arial" w:cs="Arial"/>
          <w:i/>
          <w:color w:val="000000"/>
          <w:sz w:val="22"/>
          <w:szCs w:val="22"/>
          <w:lang w:val="sr-Cyrl-RS"/>
        </w:rPr>
        <w:tab/>
        <w:t>Циљ 2.7. Доступно: https://www.mgsi.gov.rs/lat/dokumenti/nacionalna-strategija-za-rodnu-ravnopravnost-za-period-od-2016-do-2020-godine-sa-akcionim, приступ: 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750 Финални извештај евалуације Акционог плана за спровођење Нaционалне стратегије за родну равноправност (2016</w:t>
      </w:r>
      <w:r>
        <w:rPr>
          <w:rFonts w:ascii="Arial" w:hAnsi="Arial" w:cs="Arial"/>
          <w:i/>
          <w:color w:val="000000"/>
          <w:sz w:val="22"/>
          <w:szCs w:val="22"/>
          <w:lang w:val="sr-Cyrl-RS"/>
        </w:rPr>
        <w:t>-</w:t>
      </w:r>
      <w:r w:rsidRPr="00EF008E">
        <w:rPr>
          <w:rFonts w:ascii="Arial" w:hAnsi="Arial" w:cs="Arial"/>
          <w:i/>
          <w:color w:val="000000"/>
          <w:sz w:val="22"/>
          <w:szCs w:val="22"/>
          <w:lang w:val="sr-Cyrl-RS"/>
        </w:rPr>
        <w:t>2018), SeCons, стр. 71</w:t>
      </w:r>
      <w:r>
        <w:rPr>
          <w:rFonts w:ascii="Arial" w:hAnsi="Arial" w:cs="Arial"/>
          <w:i/>
          <w:color w:val="000000"/>
          <w:sz w:val="22"/>
          <w:szCs w:val="22"/>
          <w:lang w:val="sr-Cyrl-RS"/>
        </w:rPr>
        <w:t>-</w:t>
      </w:r>
      <w:r w:rsidRPr="00EF008E">
        <w:rPr>
          <w:rFonts w:ascii="Arial" w:hAnsi="Arial" w:cs="Arial"/>
          <w:i/>
          <w:color w:val="000000"/>
          <w:sz w:val="22"/>
          <w:szCs w:val="22"/>
          <w:lang w:val="sr-Cyrl-RS"/>
        </w:rPr>
        <w:t>72, доступно на: https://www.secons.net/files/publications/99-publication.pdf, приступ: 8.5.2021.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751 Пара 38 Закључна запажања Комитета за елиминисање дискриминације жена у вези са Четвртим периодичним извештајем о примени Конвенције о елиминисању свих облика дискриминације жена, доступно на: https://ljudskaprava.gov.rs/sr/node/156, приступ: 8.5.2021.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752 Препоруке: 1) подизање свести о савременим облицима контрацепције и некоришћења абортуса као метод контрацепције, укључујући едукације и медијске кампање према младима и адолесцентима/адолесценткињама, посебно међу ромском популацијом и старијим женама; побољшан приступ контрацепцији, укључујући обезбеђивање универзалног покривања повезаних трошкова у оквиру државног здравственог осигурања. 2) Прикупљање статистичких података о адолесцентским трудноћама разврстаних по старости, пореклу и географски, као и обезбеђење да здравствени радници пријављују адолесцентске трудноће социјалним службама и полицији. 3) Неометан приступ здравственој заштити, укључујући програме ране превенције сексуалног и репродуктивног здравља, раног рака дојке и рака грлића материце и бесплатног анти-ретровиралног лечења, свим женама и девојкама, укључујући и Ромкиње, жене са инвалидитетом, укључујући и оне у институцијама, и подизање свести жена о предности ране превенције, гарантујући информисаност и слободан пристанак жене. 4) Побољшање приступа услугама за планирање породице и вештачке оплодње за жене ЛГБТ.</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753 Анализа планираног и оствареног обима и садржаја права осигураних лица на примарну здравствену заштиту у 2019. години, Институт за јавно здравље </w:t>
      </w:r>
      <w:r>
        <w:rPr>
          <w:rFonts w:ascii="Arial" w:hAnsi="Arial" w:cs="Arial"/>
          <w:i/>
          <w:color w:val="000000"/>
          <w:sz w:val="22"/>
          <w:szCs w:val="22"/>
          <w:lang w:val="sr-Cyrl-RS"/>
        </w:rPr>
        <w:t>"</w:t>
      </w:r>
      <w:r w:rsidRPr="00EF008E">
        <w:rPr>
          <w:rFonts w:ascii="Arial" w:hAnsi="Arial" w:cs="Arial"/>
          <w:i/>
          <w:color w:val="000000"/>
          <w:sz w:val="22"/>
          <w:szCs w:val="22"/>
          <w:lang w:val="sr-Cyrl-RS"/>
        </w:rPr>
        <w:t>Милан Јовановић Батут</w:t>
      </w:r>
      <w:r>
        <w:rPr>
          <w:rFonts w:ascii="Arial" w:hAnsi="Arial" w:cs="Arial"/>
          <w:i/>
          <w:color w:val="000000"/>
          <w:sz w:val="22"/>
          <w:szCs w:val="22"/>
          <w:lang w:val="sr-Cyrl-RS"/>
        </w:rPr>
        <w:t>"</w:t>
      </w:r>
      <w:r w:rsidRPr="00EF008E">
        <w:rPr>
          <w:rFonts w:ascii="Arial" w:hAnsi="Arial" w:cs="Arial"/>
          <w:i/>
          <w:color w:val="000000"/>
          <w:sz w:val="22"/>
          <w:szCs w:val="22"/>
          <w:lang w:val="sr-Cyrl-RS"/>
        </w:rPr>
        <w:t>, 2020. страна 28, доступно на: http://www.batut.org.rs/index.php?content=1787,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754 Бекер, К. 2020, страна 54.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755 Уредба о националном програму раног откривања карцинома дојке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73/13) доступно на: https://pravni-skener.org/pdf/sr/baza_propisa/33.pdf,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756 Анализа планираног и оствареног обима и садржаја права осигураних лица на примарну здравствену заштиту у 2019. години, Институт за јавно здравље </w:t>
      </w:r>
      <w:r>
        <w:rPr>
          <w:rFonts w:ascii="Arial" w:hAnsi="Arial" w:cs="Arial"/>
          <w:i/>
          <w:color w:val="000000"/>
          <w:sz w:val="22"/>
          <w:szCs w:val="22"/>
          <w:lang w:val="sr-Cyrl-RS"/>
        </w:rPr>
        <w:t>"</w:t>
      </w:r>
      <w:r w:rsidRPr="00EF008E">
        <w:rPr>
          <w:rFonts w:ascii="Arial" w:hAnsi="Arial" w:cs="Arial"/>
          <w:i/>
          <w:color w:val="000000"/>
          <w:sz w:val="22"/>
          <w:szCs w:val="22"/>
          <w:lang w:val="sr-Cyrl-RS"/>
        </w:rPr>
        <w:t>Милан Јовановић Батут</w:t>
      </w:r>
      <w:r>
        <w:rPr>
          <w:rFonts w:ascii="Arial" w:hAnsi="Arial" w:cs="Arial"/>
          <w:i/>
          <w:color w:val="000000"/>
          <w:sz w:val="22"/>
          <w:szCs w:val="22"/>
          <w:lang w:val="sr-Cyrl-RS"/>
        </w:rPr>
        <w:t>"</w:t>
      </w:r>
      <w:r w:rsidRPr="00EF008E">
        <w:rPr>
          <w:rFonts w:ascii="Arial" w:hAnsi="Arial" w:cs="Arial"/>
          <w:i/>
          <w:color w:val="000000"/>
          <w:sz w:val="22"/>
          <w:szCs w:val="22"/>
          <w:lang w:val="sr-Cyrl-RS"/>
        </w:rPr>
        <w:t>, 2020. страна 28, доступно на: http://www.batut.org.rs/index.php?content=1787,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757 Уредба о националном програму раног откривања карцинома грлића материце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73/13 и 83/13), доступно на: https://www.skriningsrbija.rs/files/File/Nacionalni_program_ranog_otkrivanja_karcinoma_grlica_materice.pdf,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758 Анализом планираног и оствареног обима и садржаја права осигураних лица на примарну здравствену заштиту нису обухваћене мамографије организоване у рендген службама болница или у оквиру покретних мамографа. Извор: Анализа планираног и оствареног обима и садржаја права осигураних лица на примарну здравствену заштиту у 2019. години, Институт за јавно здравље </w:t>
      </w:r>
      <w:r>
        <w:rPr>
          <w:rFonts w:ascii="Arial" w:hAnsi="Arial" w:cs="Arial"/>
          <w:i/>
          <w:color w:val="000000"/>
          <w:sz w:val="22"/>
          <w:szCs w:val="22"/>
          <w:lang w:val="sr-Cyrl-RS"/>
        </w:rPr>
        <w:t>"</w:t>
      </w:r>
      <w:r w:rsidRPr="00EF008E">
        <w:rPr>
          <w:rFonts w:ascii="Arial" w:hAnsi="Arial" w:cs="Arial"/>
          <w:i/>
          <w:color w:val="000000"/>
          <w:sz w:val="22"/>
          <w:szCs w:val="22"/>
          <w:lang w:val="sr-Cyrl-RS"/>
        </w:rPr>
        <w:t>Милан Јовановић Батут</w:t>
      </w:r>
      <w:r>
        <w:rPr>
          <w:rFonts w:ascii="Arial" w:hAnsi="Arial" w:cs="Arial"/>
          <w:i/>
          <w:color w:val="000000"/>
          <w:sz w:val="22"/>
          <w:szCs w:val="22"/>
          <w:lang w:val="sr-Cyrl-RS"/>
        </w:rPr>
        <w:t>"</w:t>
      </w:r>
      <w:r w:rsidRPr="00EF008E">
        <w:rPr>
          <w:rFonts w:ascii="Arial" w:hAnsi="Arial" w:cs="Arial"/>
          <w:i/>
          <w:color w:val="000000"/>
          <w:sz w:val="22"/>
          <w:szCs w:val="22"/>
          <w:lang w:val="sr-Cyrl-RS"/>
        </w:rPr>
        <w:t>, 2020. страна 28, доступно на: http://www.batut.org.rs/index.php?content=1787,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759 У Србији функционише 141 дом здравља (уврштено је и неколико здравствених центара) и 16 домова здравља у Граду Београду. Доступно на: https://www.zdravlje.gov.rs/tekst/333549/zdravstvene-ustanove.php,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760 Група аутора 2020, страна 59.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761 Игњатовић, Т. 2021, страна 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762 Приоритети и препоруке за елиминисање дискриминације над женама у Србији: Извештај у сенци CEDAW комитету, 2018, страна 32, доступно на: http://sosvojvodina.org/wp-content/uploads/2019/02/Anex-Cedaw-izvestaj-SOSMV-srpski-2018..pdf,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763 У Националном програму раног откривања рака грлића материце наведeно је да су старосне групе одабране на основу препорука европских водича да скрининг треба започети између 20</w:t>
      </w:r>
      <w:r>
        <w:rPr>
          <w:rFonts w:ascii="Arial" w:hAnsi="Arial" w:cs="Arial"/>
          <w:i/>
          <w:color w:val="000000"/>
          <w:sz w:val="22"/>
          <w:szCs w:val="22"/>
          <w:lang w:val="sr-Cyrl-RS"/>
        </w:rPr>
        <w:t>-</w:t>
      </w:r>
      <w:r w:rsidRPr="00EF008E">
        <w:rPr>
          <w:rFonts w:ascii="Arial" w:hAnsi="Arial" w:cs="Arial"/>
          <w:i/>
          <w:color w:val="000000"/>
          <w:sz w:val="22"/>
          <w:szCs w:val="22"/>
          <w:lang w:val="sr-Cyrl-RS"/>
        </w:rPr>
        <w:t>30 година живота и да траје до 60</w:t>
      </w:r>
      <w:r>
        <w:rPr>
          <w:rFonts w:ascii="Arial" w:hAnsi="Arial" w:cs="Arial"/>
          <w:i/>
          <w:color w:val="000000"/>
          <w:sz w:val="22"/>
          <w:szCs w:val="22"/>
          <w:lang w:val="sr-Cyrl-RS"/>
        </w:rPr>
        <w:t>-</w:t>
      </w:r>
      <w:r w:rsidRPr="00EF008E">
        <w:rPr>
          <w:rFonts w:ascii="Arial" w:hAnsi="Arial" w:cs="Arial"/>
          <w:i/>
          <w:color w:val="000000"/>
          <w:sz w:val="22"/>
          <w:szCs w:val="22"/>
          <w:lang w:val="sr-Cyrl-RS"/>
        </w:rPr>
        <w:t>65 година.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764 Група аутора, 2020. страна 59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765 Ови прегледи (туморски маркери простате) су били омогућени током акције бесплатних превентивних прегледа Министарства здравља током 2019. године. Видети на: http://www.kcs.ac.rs/index.php/vesti/3464-veliki-broj-gradana-obavio-preventivne-preglede-u-klinickom-centru-srbije, приступ: 20.6.2021.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766 Рак простате је трећа најчешћа локализација рака код мушкараца у РС а процењена стопа оболевања (35,4/100.000), двоструко нижа у односу на мушкарце у земљама Западне Европе (75,8/100,000). Видети: Програм унапређења контроле рака у Републици Србији за период 2020</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2022.,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105/20, доступно на: http://www.pravno-informacioni-sistem.rs/SlGlasnikPortal/eli/rep/sgrs/vlada/drugiakt/2020/105/1, приступ: 20.6.2021.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767 Најчешће регистроване болести репродуктивних органа код мушкараца су хиперплазија (увећање) простате, болести мушких полних органа и болести претежно пренете полним путем.</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768 Извештај Покрајинског зашттиника грађана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омбудсмана, 2014, страна 120</w:t>
      </w:r>
      <w:r w:rsidRPr="00EF008E">
        <w:rPr>
          <w:rFonts w:ascii="Arial" w:hAnsi="Arial" w:cs="Arial"/>
          <w:sz w:val="22"/>
          <w:szCs w:val="22"/>
          <w:lang w:val="sr-Cyrl-RS"/>
        </w:rPr>
        <w:br/>
      </w:r>
      <w:r w:rsidRPr="00EF008E">
        <w:rPr>
          <w:rFonts w:ascii="Arial" w:hAnsi="Arial" w:cs="Arial"/>
          <w:i/>
          <w:color w:val="000000"/>
          <w:sz w:val="22"/>
          <w:szCs w:val="22"/>
          <w:lang w:val="sr-Cyrl-RS"/>
        </w:rPr>
        <w:t>Доступно на: https://www.ombudsmanapv.org/riv/attachments/article/1552/Godisnji_izvestaj_PZG_2014.pdf,</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Приступ: 20.6.2021.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769 Исто, 59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770 Игњатовић, Т. 2021, страна 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771</w:t>
      </w:r>
      <w:r w:rsidRPr="00EF008E">
        <w:rPr>
          <w:rFonts w:ascii="Arial" w:hAnsi="Arial" w:cs="Arial"/>
          <w:i/>
          <w:color w:val="000000"/>
          <w:sz w:val="22"/>
          <w:szCs w:val="22"/>
          <w:lang w:val="sr-Cyrl-RS"/>
        </w:rPr>
        <w:tab/>
        <w:t xml:space="preserve">Србија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Истраживање вишеструких показатеља 2019. и Србија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ромска насеља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истраживање вишеструких показатеља положаја жене и деце, 2019, (Multiple Indicator Cluster Survey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MICS), УНИЦЕФ, 2020. Доступно на: https://www.unicef.org/serbia/media/16056/file/MICS%206%20Istra%C5%BEivanje%20vi%C5%A1estrukih%20pokazatelja%20za%202019.%20godinu.pdf,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772 Исто, страна 20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i/>
          <w:color w:val="000000"/>
          <w:sz w:val="22"/>
          <w:szCs w:val="22"/>
          <w:lang w:val="sr-Cyrl-RS"/>
        </w:rPr>
        <w:t>773 Здравствено-статистички годишњак РС 2019, страна 442 доступно на: http://www.batut.org.rs/download/publikacije/pub2019a.pdf, приступ: 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774 Према истраживању MICS, у Србији је 11 одсто жена старости 15</w:t>
      </w:r>
      <w:r>
        <w:rPr>
          <w:rFonts w:ascii="Arial" w:hAnsi="Arial" w:cs="Arial"/>
          <w:i/>
          <w:color w:val="000000"/>
          <w:sz w:val="22"/>
          <w:szCs w:val="22"/>
          <w:lang w:val="sr-Cyrl-RS"/>
        </w:rPr>
        <w:t>-</w:t>
      </w:r>
      <w:r w:rsidRPr="00EF008E">
        <w:rPr>
          <w:rFonts w:ascii="Arial" w:hAnsi="Arial" w:cs="Arial"/>
          <w:i/>
          <w:color w:val="000000"/>
          <w:sz w:val="22"/>
          <w:szCs w:val="22"/>
          <w:lang w:val="sr-Cyrl-RS"/>
        </w:rPr>
        <w:t>49 година имало барем један индуковани абортус а проценат расте са годинама и највиши је код жена старости 45</w:t>
      </w:r>
      <w:r>
        <w:rPr>
          <w:rFonts w:ascii="Arial" w:hAnsi="Arial" w:cs="Arial"/>
          <w:i/>
          <w:color w:val="000000"/>
          <w:sz w:val="22"/>
          <w:szCs w:val="22"/>
          <w:lang w:val="sr-Cyrl-RS"/>
        </w:rPr>
        <w:t>-</w:t>
      </w:r>
      <w:r w:rsidRPr="00EF008E">
        <w:rPr>
          <w:rFonts w:ascii="Arial" w:hAnsi="Arial" w:cs="Arial"/>
          <w:i/>
          <w:color w:val="000000"/>
          <w:sz w:val="22"/>
          <w:szCs w:val="22"/>
          <w:lang w:val="sr-Cyrl-RS"/>
        </w:rPr>
        <w:t>49 година (24%). Истовремено, 28 одсто жена старости 15</w:t>
      </w:r>
      <w:r>
        <w:rPr>
          <w:rFonts w:ascii="Arial" w:hAnsi="Arial" w:cs="Arial"/>
          <w:i/>
          <w:color w:val="000000"/>
          <w:sz w:val="22"/>
          <w:szCs w:val="22"/>
          <w:lang w:val="sr-Cyrl-RS"/>
        </w:rPr>
        <w:t>-</w:t>
      </w:r>
      <w:r w:rsidRPr="00EF008E">
        <w:rPr>
          <w:rFonts w:ascii="Arial" w:hAnsi="Arial" w:cs="Arial"/>
          <w:i/>
          <w:color w:val="000000"/>
          <w:sz w:val="22"/>
          <w:szCs w:val="22"/>
          <w:lang w:val="sr-Cyrl-RS"/>
        </w:rPr>
        <w:t>49 година из ромских насеља имало је барем један индуковани абортус. страна 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775 Бекер, К. 2020. страна 54.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776 Србија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Истраживање, 2020, страна 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777 Ове девојчице су најчешће жртве кривичног дела обљуба са дететом, а остале малолетне труднице могу бити и најчешће јесу, жртве кривичног дела ванбрачна заједница са малолетником. СОС Вој стр. 32.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778 Приоритети и препоруке, 2018, страна 32.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779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120/17.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780 Игњатовић, Т. 2021, страна 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781 Игњатовић, Т. 2021, оп. цит. страна 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782 Бекер К. 2020, страна 56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783 Исто, страна 56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784 Посебан извештај Заштитника грађана о репродуктивном здрављу Ромкиња са препорукама 2017. страна 3, доступно на: https://www.rodnaravnopravnost.rs/attachments/article/276/Poseban%20izvestaj%20ZG%20Rep%20zdravlje%20Romkinja%2011.pdf, приступ: 6.2.2021.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785 Приступачност услуга здравствене и социјалне заштите старијим грађанима током епидемије COVID-19, Amity, 2021. страна 3 Доступно на: http://www.amity-yu.org/wp-content/uploads/2021/05/03-Istra%C5%BEivanje-o-pristupa%C4%8Dnosti-usluga-zdravstvene-i-socijalne-za%C5%A1tite-starijima-tokom-pandemije.pdf,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786 Бекер, К. 2020, страна 57.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787 Посебан извештај о дискриминацији старијих грађана, Повереник за заштиту равноправности, 2021. страна 70 доступно на: http://ravnopravnost.gov.rs/rs/izvestaji/,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788 Бекер, К. и Баћановић, В. Репродуктивно здравље жена са инвалидитетом у АП Војводини, Покрајински заштитник грађана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омбудсман и ОЕБС, 2018. страна 27, Доступно на: https://www.ombudsmanapv.org/riv/index.php/istrazivanja/2125-istrazivanje-reproduktivno-zdravlje-zena-sa-invaliditetom.html, приступ: 21.1.2021.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789 Закон о биомедицински потпомогнутој оплодњи,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40/17 и 113/17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 закон, доступно на: https://www.paragraf.rs/propisi/zakon_o_biomedicinski_potpomognutoj_oplodnji.html,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790 Бекер, К. 2020, страна 57.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791 Група аутора, 2020, страна 61.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5.3.2. Социјална заштита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Окончање сиромаштвa свуда и у свим облицима први је циљ Агенде 2030. Овај циљ промовише, између осталог, смањење сиромаштва, подршку најугроженијим људима, приступ ресурсима и услугама.</w:t>
      </w:r>
      <w:r w:rsidRPr="00EF008E">
        <w:rPr>
          <w:rFonts w:ascii="Arial" w:hAnsi="Arial" w:cs="Arial"/>
          <w:color w:val="000000"/>
          <w:sz w:val="22"/>
          <w:szCs w:val="22"/>
          <w:vertAlign w:val="superscript"/>
          <w:lang w:val="sr-Cyrl-RS"/>
        </w:rPr>
        <w:t>792</w:t>
      </w:r>
      <w:r w:rsidRPr="00EF008E">
        <w:rPr>
          <w:rFonts w:ascii="Arial" w:hAnsi="Arial" w:cs="Arial"/>
          <w:color w:val="000000"/>
          <w:sz w:val="22"/>
          <w:szCs w:val="22"/>
          <w:lang w:val="sr-Cyrl-RS"/>
        </w:rPr>
        <w:t xml:space="preserve"> Један од потциљева (1.б) позива на креирање јасних оквира политика на националном нивоу заснованих на стратегијама које промовишу борбу против сиромаштва и родну осетљивост како би се подржало убрзано улагање у акције искорењивања сиромаштва. До краја 2030. године (потциљ 1.4) треба осигурати да сви мушкарци и жене, а посебно сиромашни рањиви имају једнака права на економске ресурсе, приступ основним услугама и др. Република Србија још није отворила Преговарачко поглавље 19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Социјална политика и запошљавање, али је припремљен Нацрт акционог плана за постепено транспоновање правних тековина у законодавство Републике Србије и креирање неопходних капацитета за њихову примену у областима које су обухваћене овим поглављем, као што су социјална инклузија, социјална заштита, забрана дискриминације и једнаке могућности.</w:t>
      </w:r>
      <w:r w:rsidRPr="00EF008E">
        <w:rPr>
          <w:rFonts w:ascii="Arial" w:hAnsi="Arial" w:cs="Arial"/>
          <w:color w:val="000000"/>
          <w:sz w:val="22"/>
          <w:szCs w:val="22"/>
          <w:vertAlign w:val="superscript"/>
          <w:lang w:val="sr-Cyrl-RS"/>
        </w:rPr>
        <w:t>793</w:t>
      </w:r>
      <w:r w:rsidRPr="00EF008E">
        <w:rPr>
          <w:rFonts w:ascii="Arial" w:hAnsi="Arial" w:cs="Arial"/>
          <w:color w:val="000000"/>
          <w:sz w:val="22"/>
          <w:szCs w:val="22"/>
          <w:lang w:val="sr-Cyrl-RS"/>
        </w:rPr>
        <w:t xml:space="preserve"> Европским стубом социјалних права утврђено је 20 начела и права за подршку тржишту рада и системима социјалне заштите.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Смањење ризика од сиромаштва. Према Закону о социјалној заштити</w:t>
      </w:r>
      <w:r w:rsidRPr="00EF008E">
        <w:rPr>
          <w:rFonts w:ascii="Arial" w:hAnsi="Arial" w:cs="Arial"/>
          <w:color w:val="000000"/>
          <w:sz w:val="22"/>
          <w:szCs w:val="22"/>
          <w:vertAlign w:val="superscript"/>
          <w:lang w:val="sr-Cyrl-RS"/>
        </w:rPr>
        <w:t>794</w:t>
      </w:r>
      <w:r w:rsidRPr="00EF008E">
        <w:rPr>
          <w:rFonts w:ascii="Arial" w:hAnsi="Arial" w:cs="Arial"/>
          <w:color w:val="000000"/>
          <w:sz w:val="22"/>
          <w:szCs w:val="22"/>
          <w:lang w:val="sr-Cyrl-RS"/>
        </w:rPr>
        <w:t>, сваки/a појединац/ка и породица којима је неопходна помоћ и подршка ради савладавања социјалних и животних тешкоћа и стварање услова за задовољење основних животних потреба, имају право на социјалну заштиту која се обезбеђује пружањем услуга социјалне заштите</w:t>
      </w:r>
      <w:r w:rsidRPr="00EF008E">
        <w:rPr>
          <w:rFonts w:ascii="Arial" w:hAnsi="Arial" w:cs="Arial"/>
          <w:color w:val="000000"/>
          <w:sz w:val="22"/>
          <w:szCs w:val="22"/>
          <w:vertAlign w:val="superscript"/>
          <w:lang w:val="sr-Cyrl-RS"/>
        </w:rPr>
        <w:t>795</w:t>
      </w:r>
      <w:r w:rsidRPr="00EF008E">
        <w:rPr>
          <w:rFonts w:ascii="Arial" w:hAnsi="Arial" w:cs="Arial"/>
          <w:color w:val="000000"/>
          <w:sz w:val="22"/>
          <w:szCs w:val="22"/>
          <w:lang w:val="sr-Cyrl-RS"/>
        </w:rPr>
        <w:t xml:space="preserve"> и материјалном подршком.</w:t>
      </w:r>
      <w:r w:rsidRPr="00EF008E">
        <w:rPr>
          <w:rFonts w:ascii="Arial" w:hAnsi="Arial" w:cs="Arial"/>
          <w:color w:val="000000"/>
          <w:sz w:val="22"/>
          <w:szCs w:val="22"/>
          <w:vertAlign w:val="superscript"/>
          <w:lang w:val="sr-Cyrl-RS"/>
        </w:rPr>
        <w:t>796</w:t>
      </w:r>
      <w:r w:rsidRPr="00EF008E">
        <w:rPr>
          <w:rFonts w:ascii="Arial" w:hAnsi="Arial" w:cs="Arial"/>
          <w:color w:val="000000"/>
          <w:sz w:val="22"/>
          <w:szCs w:val="22"/>
          <w:lang w:val="sr-Cyrl-RS"/>
        </w:rPr>
        <w:t xml:space="preserve"> Сви грађани и грађанке остварују сва права и услуге социјалне заштите под истим условима, без дискриминације корисника/ца по било којем личном својству.</w:t>
      </w:r>
      <w:r w:rsidRPr="00EF008E">
        <w:rPr>
          <w:rFonts w:ascii="Arial" w:hAnsi="Arial" w:cs="Arial"/>
          <w:color w:val="000000"/>
          <w:sz w:val="22"/>
          <w:szCs w:val="22"/>
          <w:vertAlign w:val="superscript"/>
          <w:lang w:val="sr-Cyrl-RS"/>
        </w:rPr>
        <w:t>797</w:t>
      </w:r>
      <w:r w:rsidRPr="00EF008E">
        <w:rPr>
          <w:rFonts w:ascii="Arial" w:hAnsi="Arial" w:cs="Arial"/>
          <w:color w:val="000000"/>
          <w:sz w:val="22"/>
          <w:szCs w:val="22"/>
          <w:lang w:val="sr-Cyrl-RS"/>
        </w:rPr>
        <w:t xml:space="preserve"> Развијање интегралне социјалне заштите кроз развој услуга</w:t>
      </w:r>
      <w:r w:rsidRPr="00EF008E">
        <w:rPr>
          <w:rFonts w:ascii="Arial" w:hAnsi="Arial" w:cs="Arial"/>
          <w:color w:val="000000"/>
          <w:sz w:val="22"/>
          <w:szCs w:val="22"/>
          <w:vertAlign w:val="superscript"/>
          <w:lang w:val="sr-Cyrl-RS"/>
        </w:rPr>
        <w:t>798</w:t>
      </w:r>
      <w:r w:rsidRPr="00EF008E">
        <w:rPr>
          <w:rFonts w:ascii="Arial" w:hAnsi="Arial" w:cs="Arial"/>
          <w:color w:val="000000"/>
          <w:sz w:val="22"/>
          <w:szCs w:val="22"/>
          <w:lang w:val="sr-Cyrl-RS"/>
        </w:rPr>
        <w:t>, плурализам пружалаца и унапређење квалитета услуга и стручног рада, јачање одговорности и унапређење улоге локалних власти, али и повећање значаја и утицаја различитих социјалних актера из јавног, цивилног и приватног сектора у великој мери зависи од економске политике и буџетских могућности.</w:t>
      </w:r>
      <w:r w:rsidRPr="00EF008E">
        <w:rPr>
          <w:rFonts w:ascii="Arial" w:hAnsi="Arial" w:cs="Arial"/>
          <w:color w:val="000000"/>
          <w:sz w:val="22"/>
          <w:szCs w:val="22"/>
          <w:vertAlign w:val="superscript"/>
          <w:lang w:val="sr-Cyrl-RS"/>
        </w:rPr>
        <w:t>799</w:t>
      </w:r>
      <w:r w:rsidRPr="00EF008E">
        <w:rPr>
          <w:rFonts w:ascii="Arial" w:hAnsi="Arial" w:cs="Arial"/>
          <w:color w:val="000000"/>
          <w:sz w:val="22"/>
          <w:szCs w:val="22"/>
          <w:lang w:val="sr-Cyrl-RS"/>
        </w:rPr>
        <w:t xml:space="preserve"> Нацртом Стратегије за социјалну заштиту</w:t>
      </w:r>
      <w:r w:rsidRPr="00EF008E">
        <w:rPr>
          <w:rFonts w:ascii="Arial" w:hAnsi="Arial" w:cs="Arial"/>
          <w:color w:val="000000"/>
          <w:sz w:val="22"/>
          <w:szCs w:val="22"/>
          <w:vertAlign w:val="superscript"/>
          <w:lang w:val="sr-Cyrl-RS"/>
        </w:rPr>
        <w:t>800</w:t>
      </w:r>
      <w:r w:rsidRPr="00EF008E">
        <w:rPr>
          <w:rFonts w:ascii="Arial" w:hAnsi="Arial" w:cs="Arial"/>
          <w:color w:val="000000"/>
          <w:sz w:val="22"/>
          <w:szCs w:val="22"/>
          <w:lang w:val="sr-Cyrl-RS"/>
        </w:rPr>
        <w:t xml:space="preserve"> предвиђено је да до краја 2025. године за 25% буде смањен број мушкараца, жена и деце који живе у сиромаштву.</w:t>
      </w:r>
      <w:r w:rsidRPr="00EF008E">
        <w:rPr>
          <w:rFonts w:ascii="Arial" w:hAnsi="Arial" w:cs="Arial"/>
          <w:color w:val="000000"/>
          <w:sz w:val="22"/>
          <w:szCs w:val="22"/>
          <w:vertAlign w:val="superscript"/>
          <w:lang w:val="sr-Cyrl-RS"/>
        </w:rPr>
        <w:t>801</w:t>
      </w:r>
      <w:r w:rsidRPr="00EF008E">
        <w:rPr>
          <w:rFonts w:ascii="Arial" w:hAnsi="Arial" w:cs="Arial"/>
          <w:color w:val="000000"/>
          <w:sz w:val="22"/>
          <w:szCs w:val="22"/>
          <w:lang w:val="sr-Cyrl-RS"/>
        </w:rPr>
        <w:t xml:space="preserve"> Истовремено, предвиђено је повећање јавних расхода за 25% за услуге социјалне заштите који су у надлежности ЈЛС у циљу смањивања социјалне искључености и унапређење активног учешћа грађана/ки у друштву са акцентом на пружање подршке (природној) породици у ризику и унапређивање родне и међугенерацијске солидарности.</w:t>
      </w:r>
      <w:r w:rsidRPr="00EF008E">
        <w:rPr>
          <w:rFonts w:ascii="Arial" w:hAnsi="Arial" w:cs="Arial"/>
          <w:color w:val="000000"/>
          <w:sz w:val="22"/>
          <w:szCs w:val="22"/>
          <w:vertAlign w:val="superscript"/>
          <w:lang w:val="sr-Cyrl-RS"/>
        </w:rPr>
        <w:t>802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Право на социјалну заштиту и приступ социјалним услугама. На развој политика социјалне заштите утичу многобројни спољашњи фактори, пре свега, неповољна демографска ситуација</w:t>
      </w:r>
      <w:r w:rsidRPr="00EF008E">
        <w:rPr>
          <w:rFonts w:ascii="Arial" w:hAnsi="Arial" w:cs="Arial"/>
          <w:color w:val="000000"/>
          <w:sz w:val="22"/>
          <w:szCs w:val="22"/>
          <w:vertAlign w:val="superscript"/>
          <w:lang w:val="sr-Cyrl-RS"/>
        </w:rPr>
        <w:t>803</w:t>
      </w:r>
      <w:r w:rsidRPr="00EF008E">
        <w:rPr>
          <w:rFonts w:ascii="Arial" w:hAnsi="Arial" w:cs="Arial"/>
          <w:color w:val="000000"/>
          <w:sz w:val="22"/>
          <w:szCs w:val="22"/>
          <w:lang w:val="sr-Cyrl-RS"/>
        </w:rPr>
        <w:t>, која производи дугорочни притисак на расходе у области социјалне заштите кроз повећану тражњу за услугама неге или задовољење потреба у вези са усклађивањем рада и родитељства и др.</w:t>
      </w:r>
      <w:r w:rsidRPr="00EF008E">
        <w:rPr>
          <w:rFonts w:ascii="Arial" w:hAnsi="Arial" w:cs="Arial"/>
          <w:color w:val="000000"/>
          <w:sz w:val="22"/>
          <w:szCs w:val="22"/>
          <w:vertAlign w:val="superscript"/>
          <w:lang w:val="sr-Cyrl-RS"/>
        </w:rPr>
        <w:t>804</w:t>
      </w:r>
      <w:r w:rsidRPr="00EF008E">
        <w:rPr>
          <w:rFonts w:ascii="Arial" w:hAnsi="Arial" w:cs="Arial"/>
          <w:color w:val="000000"/>
          <w:sz w:val="22"/>
          <w:szCs w:val="22"/>
          <w:lang w:val="sr-Cyrl-RS"/>
        </w:rPr>
        <w:t xml:space="preserve"> Подаци говоре да само 3,7% становника Републике Србије добија социјалну помоћ, иако у апсолутном сиромаштву живи чак 7% становништва,</w:t>
      </w:r>
      <w:r w:rsidRPr="00EF008E">
        <w:rPr>
          <w:rFonts w:ascii="Arial" w:hAnsi="Arial" w:cs="Arial"/>
          <w:color w:val="000000"/>
          <w:sz w:val="22"/>
          <w:szCs w:val="22"/>
          <w:vertAlign w:val="superscript"/>
          <w:lang w:val="sr-Cyrl-RS"/>
        </w:rPr>
        <w:t>805</w:t>
      </w:r>
      <w:r w:rsidRPr="00EF008E">
        <w:rPr>
          <w:rFonts w:ascii="Arial" w:hAnsi="Arial" w:cs="Arial"/>
          <w:color w:val="000000"/>
          <w:sz w:val="22"/>
          <w:szCs w:val="22"/>
          <w:lang w:val="sr-Cyrl-RS"/>
        </w:rPr>
        <w:t xml:space="preserve"> односно, око пола милиона људи није у стању да задовољи основне животне потребе.</w:t>
      </w:r>
      <w:r w:rsidRPr="00EF008E">
        <w:rPr>
          <w:rFonts w:ascii="Arial" w:hAnsi="Arial" w:cs="Arial"/>
          <w:color w:val="000000"/>
          <w:sz w:val="22"/>
          <w:szCs w:val="22"/>
          <w:vertAlign w:val="superscript"/>
          <w:lang w:val="sr-Cyrl-RS"/>
        </w:rPr>
        <w:t>806</w:t>
      </w:r>
      <w:r w:rsidRPr="00EF008E">
        <w:rPr>
          <w:rFonts w:ascii="Arial" w:hAnsi="Arial" w:cs="Arial"/>
          <w:color w:val="000000"/>
          <w:sz w:val="22"/>
          <w:szCs w:val="22"/>
          <w:lang w:val="sr-Cyrl-RS"/>
        </w:rPr>
        <w:t xml:space="preserve"> Удео лица у ризику од сиромаштва или социјалне искључености у 2019. години износио је 31,7%, а стопа ризика од сиромаштва била је 23,2</w:t>
      </w:r>
      <w:r w:rsidRPr="00EF008E">
        <w:rPr>
          <w:rFonts w:ascii="Arial" w:hAnsi="Arial" w:cs="Arial"/>
          <w:color w:val="000000"/>
          <w:sz w:val="22"/>
          <w:szCs w:val="22"/>
          <w:vertAlign w:val="superscript"/>
          <w:lang w:val="sr-Cyrl-RS"/>
        </w:rPr>
        <w:t>807</w:t>
      </w:r>
      <w:r w:rsidRPr="00EF008E">
        <w:rPr>
          <w:rFonts w:ascii="Arial" w:hAnsi="Arial" w:cs="Arial"/>
          <w:color w:val="000000"/>
          <w:sz w:val="22"/>
          <w:szCs w:val="22"/>
          <w:lang w:val="sr-Cyrl-RS"/>
        </w:rPr>
        <w:t>, док су расходи за социјалну заштиту и социјалну сигурност у 2018. години износили 19,4% БДП</w:t>
      </w:r>
      <w:r w:rsidRPr="00EF008E">
        <w:rPr>
          <w:rFonts w:ascii="Arial" w:hAnsi="Arial" w:cs="Arial"/>
          <w:color w:val="000000"/>
          <w:sz w:val="22"/>
          <w:szCs w:val="22"/>
          <w:vertAlign w:val="superscript"/>
          <w:lang w:val="sr-Cyrl-RS"/>
        </w:rPr>
        <w:t>808</w:t>
      </w:r>
      <w:r w:rsidRPr="00EF008E">
        <w:rPr>
          <w:rFonts w:ascii="Arial" w:hAnsi="Arial" w:cs="Arial"/>
          <w:color w:val="000000"/>
          <w:sz w:val="22"/>
          <w:szCs w:val="22"/>
          <w:lang w:val="sr-Cyrl-RS"/>
        </w:rPr>
        <w:t xml:space="preserve"> (2016. године расходи су износили 23,4% БДП, ниже од просека у земљама ЕУ</w:t>
      </w:r>
      <w:r w:rsidRPr="00EF008E">
        <w:rPr>
          <w:rFonts w:ascii="Arial" w:hAnsi="Arial" w:cs="Arial"/>
          <w:color w:val="000000"/>
          <w:sz w:val="22"/>
          <w:szCs w:val="22"/>
          <w:vertAlign w:val="superscript"/>
          <w:lang w:val="sr-Cyrl-RS"/>
        </w:rPr>
        <w:t>809</w:t>
      </w:r>
      <w:r w:rsidRPr="00EF008E">
        <w:rPr>
          <w:rFonts w:ascii="Arial" w:hAnsi="Arial" w:cs="Arial"/>
          <w:color w:val="000000"/>
          <w:sz w:val="22"/>
          <w:szCs w:val="22"/>
          <w:lang w:val="sr-Cyrl-RS"/>
        </w:rPr>
        <w:t>). Расходи за социјалну заштиту и социјалну сигурност су један од најважнијих показатеља обима интервенције која омогућава грађанима и грађанкама заштиту и сигурност уз помоћ различитих давања и услуга.</w:t>
      </w:r>
      <w:r w:rsidRPr="00EF008E">
        <w:rPr>
          <w:rFonts w:ascii="Arial" w:hAnsi="Arial" w:cs="Arial"/>
          <w:color w:val="000000"/>
          <w:sz w:val="22"/>
          <w:szCs w:val="22"/>
          <w:vertAlign w:val="superscript"/>
          <w:lang w:val="sr-Cyrl-RS"/>
        </w:rPr>
        <w:t>810</w:t>
      </w:r>
      <w:r w:rsidRPr="00EF008E">
        <w:rPr>
          <w:rFonts w:ascii="Arial" w:hAnsi="Arial" w:cs="Arial"/>
          <w:color w:val="000000"/>
          <w:sz w:val="22"/>
          <w:szCs w:val="22"/>
          <w:lang w:val="sr-Cyrl-RS"/>
        </w:rPr>
        <w:t xml:space="preserve"> Ови показатељи су значајни за праћење реализације циља смањења броја мушкараца, жена и деце који живе у било ком облику сиромаштва.</w:t>
      </w:r>
      <w:r w:rsidRPr="00EF008E">
        <w:rPr>
          <w:rFonts w:ascii="Arial" w:hAnsi="Arial" w:cs="Arial"/>
          <w:color w:val="000000"/>
          <w:sz w:val="22"/>
          <w:szCs w:val="22"/>
          <w:vertAlign w:val="superscript"/>
          <w:lang w:val="sr-Cyrl-RS"/>
        </w:rPr>
        <w:t>811</w:t>
      </w:r>
      <w:r w:rsidRPr="00EF008E">
        <w:rPr>
          <w:rFonts w:ascii="Arial" w:hAnsi="Arial" w:cs="Arial"/>
          <w:color w:val="000000"/>
          <w:sz w:val="22"/>
          <w:szCs w:val="22"/>
          <w:lang w:val="sr-Cyrl-RS"/>
        </w:rPr>
        <w:t xml:space="preserve"> Поједине групе становништва су посебно угрожене: Роми/киње, поготово у неформалним насељима, интерно расељена лица, особе са инвалидитетом, стара лица без пензије и други.</w:t>
      </w:r>
      <w:r w:rsidRPr="00EF008E">
        <w:rPr>
          <w:rFonts w:ascii="Arial" w:hAnsi="Arial" w:cs="Arial"/>
          <w:color w:val="000000"/>
          <w:sz w:val="22"/>
          <w:szCs w:val="22"/>
          <w:vertAlign w:val="superscript"/>
          <w:lang w:val="sr-Cyrl-RS"/>
        </w:rPr>
        <w:t>812</w:t>
      </w:r>
      <w:r w:rsidRPr="00EF008E">
        <w:rPr>
          <w:rFonts w:ascii="Arial" w:hAnsi="Arial" w:cs="Arial"/>
          <w:color w:val="000000"/>
          <w:sz w:val="22"/>
          <w:szCs w:val="22"/>
          <w:lang w:val="sr-Cyrl-RS"/>
        </w:rPr>
        <w:t xml:space="preserve"> Ризику од сиромаштва највише су изложени деца, млади до 24 година старости и старији од 75 година, изразитије они који живе сами, изван градских подручја.</w:t>
      </w:r>
      <w:r w:rsidRPr="00EF008E">
        <w:rPr>
          <w:rFonts w:ascii="Arial" w:hAnsi="Arial" w:cs="Arial"/>
          <w:color w:val="000000"/>
          <w:sz w:val="22"/>
          <w:szCs w:val="22"/>
          <w:vertAlign w:val="superscript"/>
          <w:lang w:val="sr-Cyrl-RS"/>
        </w:rPr>
        <w:t>813</w:t>
      </w:r>
      <w:r w:rsidRPr="00EF008E">
        <w:rPr>
          <w:rFonts w:ascii="Arial" w:hAnsi="Arial" w:cs="Arial"/>
          <w:color w:val="000000"/>
          <w:sz w:val="22"/>
          <w:szCs w:val="22"/>
          <w:lang w:val="sr-Cyrl-RS"/>
        </w:rPr>
        <w:t xml:space="preserve"> У незнатно већем ризику од мушкараца су жене свих старосних група, осим оне између 55 и 64 године које су мање угрожене од мушкараца. Стопа ризика од сиромаштва за жене са 65 година и старије износи 23,2%, а за мушкарце у истој групи 18,3%.</w:t>
      </w:r>
      <w:r w:rsidRPr="00EF008E">
        <w:rPr>
          <w:rFonts w:ascii="Arial" w:hAnsi="Arial" w:cs="Arial"/>
          <w:color w:val="000000"/>
          <w:sz w:val="22"/>
          <w:szCs w:val="22"/>
          <w:vertAlign w:val="superscript"/>
          <w:lang w:val="sr-Cyrl-RS"/>
        </w:rPr>
        <w:t>814</w:t>
      </w:r>
      <w:r w:rsidRPr="00EF008E">
        <w:rPr>
          <w:rFonts w:ascii="Arial" w:hAnsi="Arial" w:cs="Arial"/>
          <w:color w:val="000000"/>
          <w:sz w:val="22"/>
          <w:szCs w:val="22"/>
          <w:lang w:val="sr-Cyrl-RS"/>
        </w:rPr>
        <w:t xml:space="preserve"> Домаћинство типа самохрани родитељ с једним дететом или више издржаване деце имало је 2019. године стопу ризика од сиромаштва од 41,6%.</w:t>
      </w:r>
      <w:r w:rsidRPr="00EF008E">
        <w:rPr>
          <w:rFonts w:ascii="Arial" w:hAnsi="Arial" w:cs="Arial"/>
          <w:color w:val="000000"/>
          <w:sz w:val="22"/>
          <w:szCs w:val="22"/>
          <w:vertAlign w:val="superscript"/>
          <w:lang w:val="sr-Cyrl-RS"/>
        </w:rPr>
        <w:t>815</w:t>
      </w:r>
      <w:r w:rsidRPr="00EF008E">
        <w:rPr>
          <w:rFonts w:ascii="Arial" w:hAnsi="Arial" w:cs="Arial"/>
          <w:color w:val="000000"/>
          <w:sz w:val="22"/>
          <w:szCs w:val="22"/>
          <w:lang w:val="sr-Cyrl-RS"/>
        </w:rPr>
        <w:t xml:space="preserve"> Број корисника/ца система социјалне заштите расте, а око трећине свих корисника су деца. Најзначајнија новчана давања усмерена на сиромашне и дечију заштиту су новчана социјална помоћ и дечији додатак, које карактерише низак обухват и ниски износи помоћи који су недовољни за задовољење основних потреба.</w:t>
      </w:r>
      <w:r w:rsidRPr="00EF008E">
        <w:rPr>
          <w:rFonts w:ascii="Arial" w:hAnsi="Arial" w:cs="Arial"/>
          <w:color w:val="000000"/>
          <w:sz w:val="22"/>
          <w:szCs w:val="22"/>
          <w:vertAlign w:val="superscript"/>
          <w:lang w:val="sr-Cyrl-RS"/>
        </w:rPr>
        <w:t>816</w:t>
      </w:r>
      <w:r w:rsidRPr="00EF008E">
        <w:rPr>
          <w:rFonts w:ascii="Arial" w:hAnsi="Arial" w:cs="Arial"/>
          <w:color w:val="000000"/>
          <w:sz w:val="22"/>
          <w:szCs w:val="22"/>
          <w:lang w:val="sr-Cyrl-RS"/>
        </w:rPr>
        <w:t xml:space="preserve"> Број корисника/ца дечијег додатка износио је у 2020. години 196.224 (за 48% мање него у 2012. години), а број корисника/ца новчане социјалне помоћи износио је 218.166 (за 13% мање)</w:t>
      </w:r>
      <w:r w:rsidRPr="00EF008E">
        <w:rPr>
          <w:rFonts w:ascii="Arial" w:hAnsi="Arial" w:cs="Arial"/>
          <w:color w:val="000000"/>
          <w:sz w:val="22"/>
          <w:szCs w:val="22"/>
          <w:vertAlign w:val="superscript"/>
          <w:lang w:val="sr-Cyrl-RS"/>
        </w:rPr>
        <w:t>817</w:t>
      </w:r>
      <w:r w:rsidRPr="00EF008E">
        <w:rPr>
          <w:rFonts w:ascii="Arial" w:hAnsi="Arial" w:cs="Arial"/>
          <w:color w:val="000000"/>
          <w:sz w:val="22"/>
          <w:szCs w:val="22"/>
          <w:lang w:val="sr-Cyrl-RS"/>
        </w:rPr>
        <w:t>. У Нацрту стратегије социјалне заштите наводи се да породице којима је новчана социјална помоћ једини извор прихода добијају за 40% средстава мање од оних која би им била потребна да достигну праг ризика од сиромаштва, као и да је низак и ниво коришћења права старих на новчану социјалну помоћ.</w:t>
      </w:r>
      <w:r w:rsidRPr="00EF008E">
        <w:rPr>
          <w:rFonts w:ascii="Arial" w:hAnsi="Arial" w:cs="Arial"/>
          <w:color w:val="000000"/>
          <w:sz w:val="22"/>
          <w:szCs w:val="22"/>
          <w:vertAlign w:val="superscript"/>
          <w:lang w:val="sr-Cyrl-RS"/>
        </w:rPr>
        <w:t>818</w:t>
      </w:r>
      <w:r w:rsidRPr="00EF008E">
        <w:rPr>
          <w:rFonts w:ascii="Arial" w:hAnsi="Arial" w:cs="Arial"/>
          <w:color w:val="000000"/>
          <w:sz w:val="22"/>
          <w:szCs w:val="22"/>
          <w:lang w:val="sr-Cyrl-RS"/>
        </w:rPr>
        <w:t xml:space="preserve"> Само око 10% старијих користи новчану социјалну помоћ, иако око 12% старијих од 65 година не остварује право на пензију.</w:t>
      </w:r>
      <w:r w:rsidRPr="00EF008E">
        <w:rPr>
          <w:rFonts w:ascii="Arial" w:hAnsi="Arial" w:cs="Arial"/>
          <w:color w:val="000000"/>
          <w:sz w:val="22"/>
          <w:szCs w:val="22"/>
          <w:vertAlign w:val="superscript"/>
          <w:lang w:val="sr-Cyrl-RS"/>
        </w:rPr>
        <w:t>819</w:t>
      </w:r>
      <w:r w:rsidRPr="00EF008E">
        <w:rPr>
          <w:rFonts w:ascii="Arial" w:hAnsi="Arial" w:cs="Arial"/>
          <w:color w:val="000000"/>
          <w:sz w:val="22"/>
          <w:szCs w:val="22"/>
          <w:lang w:val="sr-Cyrl-RS"/>
        </w:rPr>
        <w:t xml:space="preserve"> Одредбе Закона о финансијској подршци породици са децом</w:t>
      </w:r>
      <w:r w:rsidRPr="00EF008E">
        <w:rPr>
          <w:rFonts w:ascii="Arial" w:hAnsi="Arial" w:cs="Arial"/>
          <w:color w:val="000000"/>
          <w:sz w:val="22"/>
          <w:szCs w:val="22"/>
          <w:vertAlign w:val="superscript"/>
          <w:lang w:val="sr-Cyrl-RS"/>
        </w:rPr>
        <w:t>820</w:t>
      </w:r>
      <w:r w:rsidRPr="00EF008E">
        <w:rPr>
          <w:rFonts w:ascii="Arial" w:hAnsi="Arial" w:cs="Arial"/>
          <w:color w:val="000000"/>
          <w:sz w:val="22"/>
          <w:szCs w:val="22"/>
          <w:lang w:val="sr-Cyrl-RS"/>
        </w:rPr>
        <w:t xml:space="preserve"> треба да допринесу побољшању услова за задовољавање основних потреба деце, дају посебан подстицај за рађање деце и пружају подршку материјално угроженим породицама, породицама са децом са сметњама у развоју и децом са инвалидитетом, као и деци без родитељског старања.</w:t>
      </w:r>
      <w:r w:rsidRPr="00EF008E">
        <w:rPr>
          <w:rFonts w:ascii="Arial" w:hAnsi="Arial" w:cs="Arial"/>
          <w:color w:val="000000"/>
          <w:sz w:val="22"/>
          <w:szCs w:val="22"/>
          <w:vertAlign w:val="superscript"/>
          <w:lang w:val="sr-Cyrl-RS"/>
        </w:rPr>
        <w:t>821</w:t>
      </w:r>
      <w:r w:rsidRPr="00EF008E">
        <w:rPr>
          <w:rFonts w:ascii="Arial" w:hAnsi="Arial" w:cs="Arial"/>
          <w:color w:val="000000"/>
          <w:sz w:val="22"/>
          <w:szCs w:val="22"/>
          <w:lang w:val="sr-Cyrl-RS"/>
        </w:rPr>
        <w:t xml:space="preserve"> Дечији додатак се, због провере материјалног стања родитеља пре доделе, сматра мером смањења сиромаштва, док је родитељски додатак вид популационе политике. Изменама и допунама Закона о финансијској подршци породици са децом</w:t>
      </w:r>
      <w:r w:rsidRPr="00EF008E">
        <w:rPr>
          <w:rFonts w:ascii="Arial" w:hAnsi="Arial" w:cs="Arial"/>
          <w:color w:val="000000"/>
          <w:sz w:val="22"/>
          <w:szCs w:val="22"/>
          <w:vertAlign w:val="superscript"/>
          <w:lang w:val="sr-Cyrl-RS"/>
        </w:rPr>
        <w:t>822</w:t>
      </w:r>
      <w:r w:rsidRPr="00EF008E">
        <w:rPr>
          <w:rFonts w:ascii="Arial" w:hAnsi="Arial" w:cs="Arial"/>
          <w:color w:val="000000"/>
          <w:sz w:val="22"/>
          <w:szCs w:val="22"/>
          <w:lang w:val="sr-Cyrl-RS"/>
        </w:rPr>
        <w:t xml:space="preserve"> отклоњено је неколико дискриминаторних одредби, као што је различита дужина радног стажа за стицање права на накнаду зараде током породиљског одсуства. Женама са различитим радним статусом за остваривање овог права је потребно 18 месеци непрекидног запослења, што важи и за пољопривреднице које су раније могле да остваре ово право уколико су 24 месеци плаћале доприносе за обавезно пензијско и инвалидско осигурање. Породиље не могу примати накнаду мању од минималне зараде, утврђену на дан почетка породиљског одсуства, до трећег месеца живота детета. Изменама овог закона омогућено је да родитељи који имају болесно дете не морају више да бирају између накнаде зараде за време одсуства са рада ради посебне неге детета и додатка за помоћ и негу које дете има по основу инвалидитета. Међутим, предузетнице нису изједначене са запосленим женама/родитељима у остваривању права на накнаду за време породиљског одсуства и одсуства ради неге детета. За време важења претходног закона, положај предузетница био је донекле изједначен са запосленим трудницама и мајкама пошто су могле да користе право на накнаду за време одсуства на исти начин, а сада су сврстане у категорију остале накнаде по основу рођења и неге детета и посебне неге детета, дакле као све жене које су стаж стекле ван радног односа. На овај начин је њихов положај погоршан у погледу трајања, услова за остваривање, односно висине накнаде коју примају, а лишене су и права која су раније имале, на накнаду за треће и свако наредно дете у трајању од две године. Овакве законске одредбе утичу на професионалне изборе предузетница, смањују њихове предузетничке шансе и присиљавају их да буду запослене, а не послодавци. Поставља се и питање права очева предузетника да користе одсуство ради неге детета и других животних ситуација које због законских препрека не могу да се решавају, те се захтева промена система права за регистроване предузетнике/це.</w:t>
      </w:r>
      <w:r w:rsidRPr="00EF008E">
        <w:rPr>
          <w:rFonts w:ascii="Arial" w:hAnsi="Arial" w:cs="Arial"/>
          <w:color w:val="000000"/>
          <w:sz w:val="22"/>
          <w:szCs w:val="22"/>
          <w:vertAlign w:val="superscript"/>
          <w:lang w:val="sr-Cyrl-RS"/>
        </w:rPr>
        <w:t>823</w:t>
      </w:r>
      <w:r w:rsidRPr="00EF008E">
        <w:rPr>
          <w:rFonts w:ascii="Arial" w:hAnsi="Arial" w:cs="Arial"/>
          <w:color w:val="000000"/>
          <w:sz w:val="22"/>
          <w:szCs w:val="22"/>
          <w:lang w:val="sr-Cyrl-RS"/>
        </w:rPr>
        <w:t xml:space="preserve"> На локалном нивоу, најчешће мере подршке родитељству су: једнократне новчане помоћи трудницама, породиљама, пакети опреме за новорођенче, као и ауто седишта, али ефекти мера још нису познати.</w:t>
      </w:r>
      <w:r w:rsidRPr="00EF008E">
        <w:rPr>
          <w:rFonts w:ascii="Arial" w:hAnsi="Arial" w:cs="Arial"/>
          <w:color w:val="000000"/>
          <w:sz w:val="22"/>
          <w:szCs w:val="22"/>
          <w:vertAlign w:val="superscript"/>
          <w:lang w:val="sr-Cyrl-RS"/>
        </w:rPr>
        <w:t>824</w:t>
      </w:r>
      <w:r w:rsidRPr="00EF008E">
        <w:rPr>
          <w:rFonts w:ascii="Arial" w:hAnsi="Arial" w:cs="Arial"/>
          <w:color w:val="000000"/>
          <w:sz w:val="22"/>
          <w:szCs w:val="22"/>
          <w:lang w:val="sr-Cyrl-RS"/>
        </w:rPr>
        <w:t xml:space="preserve"> Иако нормативно, сви/е грађани/ке имају право на услуге социјалне заштите, упитна је њихова географска, физичка и финансијска доступност. ЦСР постоје у скоро свим општинама/градовима, али дневне услуге социјалне заштите нису развијене у свим општинама, посебно не у сеоским срединама, не пружају се континуирано током целе године, а обухват корисника/ца не одговара њиховим потребама.</w:t>
      </w:r>
      <w:r w:rsidRPr="00EF008E">
        <w:rPr>
          <w:rFonts w:ascii="Arial" w:hAnsi="Arial" w:cs="Arial"/>
          <w:color w:val="000000"/>
          <w:sz w:val="22"/>
          <w:szCs w:val="22"/>
          <w:vertAlign w:val="superscript"/>
          <w:lang w:val="sr-Cyrl-RS"/>
        </w:rPr>
        <w:t>825</w:t>
      </w:r>
      <w:r w:rsidRPr="00EF008E">
        <w:rPr>
          <w:rFonts w:ascii="Arial" w:hAnsi="Arial" w:cs="Arial"/>
          <w:color w:val="000000"/>
          <w:sz w:val="22"/>
          <w:szCs w:val="22"/>
          <w:lang w:val="sr-Cyrl-RS"/>
        </w:rPr>
        <w:t xml:space="preserve"> Потенцијални/е корисници/е услуга због болести, теже покретљивости и недостатка укључили/е у постојеће услуге.</w:t>
      </w:r>
      <w:r w:rsidRPr="00EF008E">
        <w:rPr>
          <w:rFonts w:ascii="Arial" w:hAnsi="Arial" w:cs="Arial"/>
          <w:color w:val="000000"/>
          <w:sz w:val="22"/>
          <w:szCs w:val="22"/>
          <w:vertAlign w:val="superscript"/>
          <w:lang w:val="sr-Cyrl-RS"/>
        </w:rPr>
        <w:t>826</w:t>
      </w:r>
      <w:r w:rsidRPr="00EF008E">
        <w:rPr>
          <w:rFonts w:ascii="Arial" w:hAnsi="Arial" w:cs="Arial"/>
          <w:color w:val="000000"/>
          <w:sz w:val="22"/>
          <w:szCs w:val="22"/>
          <w:lang w:val="sr-Cyrl-RS"/>
        </w:rPr>
        <w:t xml:space="preserve"> Социјалне услуге у заједнициматеријалних средстава нису у стању да одлазе у град да би се годишње користи око 50 хиљада особа. У установама за смештај одраслих и старијих у 2018. години било је 23.415 корисника, што је за 22% више него у 2016. години</w:t>
      </w:r>
      <w:r w:rsidRPr="00EF008E">
        <w:rPr>
          <w:rFonts w:ascii="Arial" w:hAnsi="Arial" w:cs="Arial"/>
          <w:color w:val="000000"/>
          <w:sz w:val="22"/>
          <w:szCs w:val="22"/>
          <w:vertAlign w:val="superscript"/>
          <w:lang w:val="sr-Cyrl-RS"/>
        </w:rPr>
        <w:t>827</w:t>
      </w:r>
      <w:r w:rsidRPr="00EF008E">
        <w:rPr>
          <w:rFonts w:ascii="Arial" w:hAnsi="Arial" w:cs="Arial"/>
          <w:color w:val="000000"/>
          <w:sz w:val="22"/>
          <w:szCs w:val="22"/>
          <w:lang w:val="sr-Cyrl-RS"/>
        </w:rPr>
        <w:t>, док је дневне услуге у локалној заједници користило око 22 хиљаде корисника/корисница, већина из градских средина. Жене чине више од половине корисника услуга помоћ у кући, дневни боравак за одрасле и старије и услуге свратиште.</w:t>
      </w:r>
      <w:r w:rsidRPr="00EF008E">
        <w:rPr>
          <w:rFonts w:ascii="Arial" w:hAnsi="Arial" w:cs="Arial"/>
          <w:color w:val="000000"/>
          <w:sz w:val="22"/>
          <w:szCs w:val="22"/>
          <w:vertAlign w:val="superscript"/>
          <w:lang w:val="sr-Cyrl-RS"/>
        </w:rPr>
        <w:t>828</w:t>
      </w:r>
      <w:r w:rsidRPr="00EF008E">
        <w:rPr>
          <w:rFonts w:ascii="Arial" w:hAnsi="Arial" w:cs="Arial"/>
          <w:color w:val="000000"/>
          <w:sz w:val="22"/>
          <w:szCs w:val="22"/>
          <w:lang w:val="sr-Cyrl-RS"/>
        </w:rPr>
        <w:t xml:space="preserve"> Изразито је мали број услуга социјалне заштите усмерен директно на жене које преживљавају насиље. Одлуке о правима и услугама у социјалној заштити које доносе ЈЛС у складу са Законом о социјалној заштити представљају само основу за њихово остваривање у пракси, али не одговарају на питање колики број жена је имао потребу и користио је неку од услуга, нити говоре о развоју услуга, плуралитету пружалаца, квалитету услуга и стручног рада, о чему би требало да постоје јавно доступни подаци.</w:t>
      </w:r>
      <w:r w:rsidRPr="00EF008E">
        <w:rPr>
          <w:rFonts w:ascii="Arial" w:hAnsi="Arial" w:cs="Arial"/>
          <w:color w:val="000000"/>
          <w:sz w:val="22"/>
          <w:szCs w:val="22"/>
          <w:vertAlign w:val="superscript"/>
          <w:lang w:val="sr-Cyrl-RS"/>
        </w:rPr>
        <w:t>829</w:t>
      </w:r>
      <w:r w:rsidRPr="00EF008E">
        <w:rPr>
          <w:rFonts w:ascii="Arial" w:hAnsi="Arial" w:cs="Arial"/>
          <w:color w:val="000000"/>
          <w:sz w:val="22"/>
          <w:szCs w:val="22"/>
          <w:lang w:val="sr-Cyrl-RS"/>
        </w:rPr>
        <w:t xml:space="preserve"> Тек Закон о родној равноправности</w:t>
      </w:r>
      <w:r w:rsidRPr="00EF008E">
        <w:rPr>
          <w:rFonts w:ascii="Arial" w:hAnsi="Arial" w:cs="Arial"/>
          <w:color w:val="000000"/>
          <w:sz w:val="22"/>
          <w:szCs w:val="22"/>
          <w:vertAlign w:val="superscript"/>
          <w:lang w:val="sr-Cyrl-RS"/>
        </w:rPr>
        <w:t>830</w:t>
      </w:r>
      <w:r w:rsidRPr="00EF008E">
        <w:rPr>
          <w:rFonts w:ascii="Arial" w:hAnsi="Arial" w:cs="Arial"/>
          <w:color w:val="000000"/>
          <w:sz w:val="22"/>
          <w:szCs w:val="22"/>
          <w:lang w:val="sr-Cyrl-RS"/>
        </w:rPr>
        <w:t xml:space="preserve"> направио је разлику између општих и специјализованих услуга подршке за жртве родно заснованог насиља</w:t>
      </w:r>
      <w:r w:rsidRPr="00EF008E">
        <w:rPr>
          <w:rFonts w:ascii="Arial" w:hAnsi="Arial" w:cs="Arial"/>
          <w:color w:val="000000"/>
          <w:sz w:val="22"/>
          <w:szCs w:val="22"/>
          <w:vertAlign w:val="superscript"/>
          <w:lang w:val="sr-Cyrl-RS"/>
        </w:rPr>
        <w:t>831</w:t>
      </w:r>
      <w:r w:rsidRPr="00EF008E">
        <w:rPr>
          <w:rFonts w:ascii="Arial" w:hAnsi="Arial" w:cs="Arial"/>
          <w:color w:val="000000"/>
          <w:sz w:val="22"/>
          <w:szCs w:val="22"/>
          <w:lang w:val="sr-Cyrl-RS"/>
        </w:rPr>
        <w:t>, али не и други закони и стратешки документи. Проблеми постоје и у погледу одрживости услуга, док су женске организације које пружају лиценциране услуге у неповољнијем положају од пружалаца услуга у јавном сектору.</w:t>
      </w:r>
      <w:r w:rsidRPr="00EF008E">
        <w:rPr>
          <w:rFonts w:ascii="Arial" w:hAnsi="Arial" w:cs="Arial"/>
          <w:color w:val="000000"/>
          <w:sz w:val="22"/>
          <w:szCs w:val="22"/>
          <w:vertAlign w:val="superscript"/>
          <w:lang w:val="sr-Cyrl-RS"/>
        </w:rPr>
        <w:t>832</w:t>
      </w:r>
      <w:r w:rsidRPr="00EF008E">
        <w:rPr>
          <w:rFonts w:ascii="Arial" w:hAnsi="Arial" w:cs="Arial"/>
          <w:color w:val="000000"/>
          <w:sz w:val="22"/>
          <w:szCs w:val="22"/>
          <w:lang w:val="sr-Cyrl-RS"/>
        </w:rPr>
        <w:t xml:space="preserve"> Све општине у Републици Србији имају опште услуге за жене жртве насиља које пружају ЦСР и то: саветодавну подршку и друге услуге породично</w:t>
      </w:r>
      <w:r>
        <w:rPr>
          <w:rFonts w:ascii="Arial" w:hAnsi="Arial" w:cs="Arial"/>
          <w:color w:val="000000"/>
          <w:sz w:val="22"/>
          <w:szCs w:val="22"/>
          <w:lang w:val="sr-Cyrl-RS"/>
        </w:rPr>
        <w:t>-</w:t>
      </w:r>
      <w:r w:rsidRPr="00EF008E">
        <w:rPr>
          <w:rFonts w:ascii="Arial" w:hAnsi="Arial" w:cs="Arial"/>
          <w:color w:val="000000"/>
          <w:sz w:val="22"/>
          <w:szCs w:val="22"/>
          <w:lang w:val="sr-Cyrl-RS"/>
        </w:rPr>
        <w:t>правне заштите, материјалну подршку, смештај у прихватилишта и сигурне куће (15 сигурних кућа). ЦСР у друге установе у заједници, уколико постоје.</w:t>
      </w:r>
      <w:r w:rsidRPr="00EF008E">
        <w:rPr>
          <w:rFonts w:ascii="Arial" w:hAnsi="Arial" w:cs="Arial"/>
          <w:color w:val="000000"/>
          <w:sz w:val="22"/>
          <w:szCs w:val="22"/>
          <w:vertAlign w:val="superscript"/>
          <w:lang w:val="sr-Cyrl-RS"/>
        </w:rPr>
        <w:t>833</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Социјална политика и економија старања. Евалуација Националног АП за родну равноправност за период од 2016. до 2018. године показала је да су мере за уродњавање јавне политике у области социјалне политике и економије старања дале ограничене резултате јер се ослањају на кампање за подизање свести а не на законске интервенције.</w:t>
      </w:r>
      <w:r w:rsidRPr="00EF008E">
        <w:rPr>
          <w:rFonts w:ascii="Arial" w:hAnsi="Arial" w:cs="Arial"/>
          <w:color w:val="000000"/>
          <w:sz w:val="22"/>
          <w:szCs w:val="22"/>
          <w:vertAlign w:val="superscript"/>
          <w:lang w:val="sr-Cyrl-RS"/>
        </w:rPr>
        <w:t>834</w:t>
      </w:r>
      <w:r w:rsidRPr="00EF008E">
        <w:rPr>
          <w:rFonts w:ascii="Arial" w:hAnsi="Arial" w:cs="Arial"/>
          <w:color w:val="000000"/>
          <w:sz w:val="22"/>
          <w:szCs w:val="22"/>
          <w:lang w:val="sr-Cyrl-RS"/>
        </w:rPr>
        <w:t xml:space="preserve"> Извештај о индексу родне равноправности показује да је учешће жена и мушкараца у родитељству и економији старања област знатне родне неравноправности, јер свакодневно чак 67,9% жена кува и/или обавља рад у кући и само 11,5% мушкараца, док послове бриге о старијима, деци и члановима породице са инвалидитетом обавља 41,2% жена и 29,5% мушкараца.</w:t>
      </w:r>
      <w:r w:rsidRPr="00EF008E">
        <w:rPr>
          <w:rFonts w:ascii="Arial" w:hAnsi="Arial" w:cs="Arial"/>
          <w:color w:val="000000"/>
          <w:sz w:val="22"/>
          <w:szCs w:val="22"/>
          <w:vertAlign w:val="superscript"/>
          <w:lang w:val="sr-Cyrl-RS"/>
        </w:rPr>
        <w:t>835</w:t>
      </w:r>
      <w:r w:rsidRPr="00EF008E">
        <w:rPr>
          <w:rFonts w:ascii="Arial" w:hAnsi="Arial" w:cs="Arial"/>
          <w:color w:val="000000"/>
          <w:sz w:val="22"/>
          <w:szCs w:val="22"/>
          <w:lang w:val="sr-Cyrl-RS"/>
        </w:rPr>
        <w:t xml:space="preserve"> Жене троше око 20% свог времена на неплаћене послове, а брига о деци и другима у породици је разлог што раде краће од пуног радног времена и нису активне</w:t>
      </w:r>
      <w:r w:rsidRPr="00EF008E">
        <w:rPr>
          <w:rFonts w:ascii="Arial" w:hAnsi="Arial" w:cs="Arial"/>
          <w:color w:val="000000"/>
          <w:sz w:val="22"/>
          <w:szCs w:val="22"/>
          <w:vertAlign w:val="superscript"/>
          <w:lang w:val="sr-Cyrl-RS"/>
        </w:rPr>
        <w:t>836</w:t>
      </w:r>
      <w:r w:rsidRPr="00EF008E">
        <w:rPr>
          <w:rFonts w:ascii="Arial" w:hAnsi="Arial" w:cs="Arial"/>
          <w:color w:val="000000"/>
          <w:sz w:val="22"/>
          <w:szCs w:val="22"/>
          <w:lang w:val="sr-Cyrl-RS"/>
        </w:rPr>
        <w:t xml:space="preserve"> на тржишту рада.</w:t>
      </w:r>
      <w:r w:rsidRPr="00EF008E">
        <w:rPr>
          <w:rFonts w:ascii="Arial" w:hAnsi="Arial" w:cs="Arial"/>
          <w:color w:val="000000"/>
          <w:sz w:val="22"/>
          <w:szCs w:val="22"/>
          <w:vertAlign w:val="superscript"/>
          <w:lang w:val="sr-Cyrl-RS"/>
        </w:rPr>
        <w:t>837</w:t>
      </w:r>
      <w:r w:rsidRPr="00EF008E">
        <w:rPr>
          <w:rFonts w:ascii="Arial" w:hAnsi="Arial" w:cs="Arial"/>
          <w:color w:val="000000"/>
          <w:sz w:val="22"/>
          <w:szCs w:val="22"/>
          <w:lang w:val="sr-Cyrl-RS"/>
        </w:rPr>
        <w:t xml:space="preserve"> Терет бриге за децу и породицу утиче на могућности жена да се запошљавају, али и благостање запослених жена које због неравнотеже у одговорностима подносе двоструки терет плаћеног и неплаћеног рада.</w:t>
      </w:r>
      <w:r w:rsidRPr="00EF008E">
        <w:rPr>
          <w:rFonts w:ascii="Arial" w:hAnsi="Arial" w:cs="Arial"/>
          <w:color w:val="000000"/>
          <w:sz w:val="22"/>
          <w:szCs w:val="22"/>
          <w:vertAlign w:val="superscript"/>
          <w:lang w:val="sr-Cyrl-RS"/>
        </w:rPr>
        <w:t>838</w:t>
      </w:r>
      <w:r w:rsidRPr="00EF008E">
        <w:rPr>
          <w:rFonts w:ascii="Arial" w:hAnsi="Arial" w:cs="Arial"/>
          <w:color w:val="000000"/>
          <w:sz w:val="22"/>
          <w:szCs w:val="22"/>
          <w:lang w:val="sr-Cyrl-RS"/>
        </w:rPr>
        <w:t xml:space="preserve"> Трансформација родних односа у родитељству и економији старања високо су релевантни имајући у виду да је ово област у којој родне неравноправности веома упорно опстају.</w:t>
      </w:r>
      <w:r w:rsidRPr="00EF008E">
        <w:rPr>
          <w:rFonts w:ascii="Arial" w:hAnsi="Arial" w:cs="Arial"/>
          <w:color w:val="000000"/>
          <w:sz w:val="22"/>
          <w:szCs w:val="22"/>
          <w:vertAlign w:val="superscript"/>
          <w:lang w:val="sr-Cyrl-RS"/>
        </w:rPr>
        <w:t>839</w:t>
      </w:r>
      <w:r w:rsidRPr="00EF008E">
        <w:rPr>
          <w:rFonts w:ascii="Arial" w:hAnsi="Arial" w:cs="Arial"/>
          <w:color w:val="000000"/>
          <w:sz w:val="22"/>
          <w:szCs w:val="22"/>
          <w:lang w:val="sr-Cyrl-RS"/>
        </w:rPr>
        <w:t xml:space="preserve"> На овом пољу нису остварени резултати јер мере за остварење циља нису биле довољно одређене, а оне које се односе на креирање нових услуга за бригу о деци, старијима и зависним особама углавном су усмерене на смањивање терета које носе жене, а не на прерасподелу одговорности између жена и мушкараца.</w:t>
      </w:r>
      <w:r w:rsidRPr="00EF008E">
        <w:rPr>
          <w:rFonts w:ascii="Arial" w:hAnsi="Arial" w:cs="Arial"/>
          <w:color w:val="000000"/>
          <w:sz w:val="22"/>
          <w:szCs w:val="22"/>
          <w:vertAlign w:val="superscript"/>
          <w:lang w:val="sr-Cyrl-RS"/>
        </w:rPr>
        <w:t>840</w:t>
      </w:r>
      <w:r w:rsidRPr="00EF008E">
        <w:rPr>
          <w:rFonts w:ascii="Arial" w:hAnsi="Arial" w:cs="Arial"/>
          <w:color w:val="000000"/>
          <w:sz w:val="22"/>
          <w:szCs w:val="22"/>
          <w:lang w:val="sr-Cyrl-RS"/>
        </w:rPr>
        <w:t xml:space="preserve"> У циљу унапређења стања у овој области CEDAW комитет позива државу да уведе флексибилне радне аранжмане и за жене и за мушкарце, прошири обезбеђење услуга установа за децу и за негу особа које зависе од тих услуга, промовише једнаку расподелу породичних одговорности и одговорности у домаћинству, као и одговорно очинство, укључујући увођење плаћеног очинског одсуства.</w:t>
      </w:r>
      <w:r w:rsidRPr="00EF008E">
        <w:rPr>
          <w:rFonts w:ascii="Arial" w:hAnsi="Arial" w:cs="Arial"/>
          <w:color w:val="000000"/>
          <w:sz w:val="22"/>
          <w:szCs w:val="22"/>
          <w:vertAlign w:val="superscript"/>
          <w:lang w:val="sr-Cyrl-RS"/>
        </w:rPr>
        <w:t>841</w:t>
      </w:r>
      <w:r w:rsidRPr="00EF008E">
        <w:rPr>
          <w:rFonts w:ascii="Arial" w:hAnsi="Arial" w:cs="Arial"/>
          <w:color w:val="000000"/>
          <w:sz w:val="22"/>
          <w:szCs w:val="22"/>
          <w:lang w:val="sr-Cyrl-RS"/>
        </w:rPr>
        <w:t xml:space="preserve"> Мере за усклађивање рада и родитељства треба да допринесу отклањању родног јаза.</w:t>
      </w:r>
      <w:r w:rsidRPr="00EF008E">
        <w:rPr>
          <w:rFonts w:ascii="Arial" w:hAnsi="Arial" w:cs="Arial"/>
          <w:color w:val="000000"/>
          <w:sz w:val="22"/>
          <w:szCs w:val="22"/>
          <w:vertAlign w:val="superscript"/>
          <w:lang w:val="sr-Cyrl-RS"/>
        </w:rPr>
        <w:t>842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У извештајима Европске комисије (2018. и 2019. годину) у оквиру преговора о Поглављу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19 констатује се </w:t>
      </w:r>
      <w:r>
        <w:rPr>
          <w:rFonts w:ascii="Arial" w:hAnsi="Arial" w:cs="Arial"/>
          <w:color w:val="000000"/>
          <w:sz w:val="22"/>
          <w:szCs w:val="22"/>
          <w:lang w:val="sr-Cyrl-RS"/>
        </w:rPr>
        <w:t>"</w:t>
      </w:r>
      <w:r w:rsidRPr="00EF008E">
        <w:rPr>
          <w:rFonts w:ascii="Arial" w:hAnsi="Arial" w:cs="Arial"/>
          <w:color w:val="000000"/>
          <w:sz w:val="22"/>
          <w:szCs w:val="22"/>
          <w:lang w:val="sr-Cyrl-RS"/>
        </w:rPr>
        <w:t>умерена припремљеност</w:t>
      </w:r>
      <w:r>
        <w:rPr>
          <w:rFonts w:ascii="Arial" w:hAnsi="Arial" w:cs="Arial"/>
          <w:color w:val="000000"/>
          <w:sz w:val="22"/>
          <w:szCs w:val="22"/>
          <w:lang w:val="sr-Cyrl-RS"/>
        </w:rPr>
        <w:t>"</w:t>
      </w:r>
      <w:r w:rsidRPr="00EF008E">
        <w:rPr>
          <w:rFonts w:ascii="Arial" w:hAnsi="Arial" w:cs="Arial"/>
          <w:color w:val="000000"/>
          <w:sz w:val="22"/>
          <w:szCs w:val="22"/>
          <w:lang w:val="sr-Cyrl-RS"/>
        </w:rPr>
        <w:t>, односно, дају препоруке, пре свега, у вези са повећањем финансијских и институционалних ресурса за запошљавање и социјалну политику, њихово систематско усмерење на младе, жене и друга незапослена лица, побољшање адекватности система социјалних давања и знатно јачање социјалног дијалога на свим нивоима, побољшање квалитета услуга, појачан надзор и регулаторне механизме, праћење и евалуацију.</w:t>
      </w:r>
      <w:r w:rsidRPr="00EF008E">
        <w:rPr>
          <w:rFonts w:ascii="Arial" w:hAnsi="Arial" w:cs="Arial"/>
          <w:color w:val="000000"/>
          <w:sz w:val="22"/>
          <w:szCs w:val="22"/>
          <w:vertAlign w:val="superscript"/>
          <w:lang w:val="sr-Cyrl-RS"/>
        </w:rPr>
        <w:t>843</w:t>
      </w:r>
      <w:r w:rsidRPr="00EF008E">
        <w:rPr>
          <w:rFonts w:ascii="Arial" w:hAnsi="Arial" w:cs="Arial"/>
          <w:color w:val="000000"/>
          <w:sz w:val="22"/>
          <w:szCs w:val="22"/>
          <w:lang w:val="sr-Cyrl-RS"/>
        </w:rPr>
        <w:t xml:space="preserve"> У Извештају о напретку ЖПРС који се односи на социјалну политику и економију старања наводи се да не постоје подаци о проценту жена и мушкараца без личних прихода, по годинама и образовању. Више од 144 хиљаде жена старијих од 65 година (14,37%) и више од 25 хиљада мушкараца (4,25%) немају пензију. Старосне пензије код жена су на 84% висине старосних пензија мушкараца.</w:t>
      </w:r>
      <w:r w:rsidRPr="00EF008E">
        <w:rPr>
          <w:rFonts w:ascii="Arial" w:hAnsi="Arial" w:cs="Arial"/>
          <w:color w:val="000000"/>
          <w:sz w:val="22"/>
          <w:szCs w:val="22"/>
          <w:vertAlign w:val="superscript"/>
          <w:lang w:val="sr-Cyrl-RS"/>
        </w:rPr>
        <w:t>844</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Није познат проценат становништва без приступа социјалним услугама на локалном нивоу, по полу и врсти услуга које недостају</w:t>
      </w:r>
      <w:r w:rsidRPr="00EF008E">
        <w:rPr>
          <w:rFonts w:ascii="Arial" w:hAnsi="Arial" w:cs="Arial"/>
          <w:color w:val="000000"/>
          <w:sz w:val="22"/>
          <w:szCs w:val="22"/>
          <w:vertAlign w:val="superscript"/>
          <w:lang w:val="sr-Cyrl-RS"/>
        </w:rPr>
        <w:t>845</w:t>
      </w:r>
      <w:r w:rsidRPr="00EF008E">
        <w:rPr>
          <w:rFonts w:ascii="Arial" w:hAnsi="Arial" w:cs="Arial"/>
          <w:color w:val="000000"/>
          <w:sz w:val="22"/>
          <w:szCs w:val="22"/>
          <w:lang w:val="sr-Cyrl-RS"/>
        </w:rPr>
        <w:t>, као ни подаци о броју становника/ца који/е имају потребу за услугама социјалне заштите (нпр. домски смештај за старије, подршка за самостални живот особама са инвалидитетом, становање уз подршку за ОСИ, специјализовано хранитељство, помоћ у кући за децу са сметњама у развоју).</w:t>
      </w:r>
      <w:r w:rsidRPr="00EF008E">
        <w:rPr>
          <w:rFonts w:ascii="Arial" w:hAnsi="Arial" w:cs="Arial"/>
          <w:color w:val="000000"/>
          <w:sz w:val="22"/>
          <w:szCs w:val="22"/>
          <w:vertAlign w:val="superscript"/>
          <w:lang w:val="sr-Cyrl-RS"/>
        </w:rPr>
        <w:t>846</w:t>
      </w:r>
      <w:r w:rsidRPr="00EF008E">
        <w:rPr>
          <w:rFonts w:ascii="Arial" w:hAnsi="Arial" w:cs="Arial"/>
          <w:color w:val="000000"/>
          <w:sz w:val="22"/>
          <w:szCs w:val="22"/>
          <w:lang w:val="sr-Cyrl-RS"/>
        </w:rPr>
        <w:t xml:space="preserve"> Од октобра 2016. до јуна 2020. године било је 345 јавних конкурса за набавку социјалних услуга, највише за: помоћ у кући, лични пратилац детета, персонални асистент, дневни боравак за децу и младе са сметњама у развоју. Међутим, повећање броја јавних конкурса не значи да је повећан број корисника/ца услуга нити број општина/градова у којима се оне пружају. Учињен је напредак у обезбеђењу плурализма пружалаца услуга: лиценце је у 2021. години, према подацима МРЗБСП добило 662 пружалаца услуга у заједници.</w:t>
      </w:r>
      <w:r w:rsidRPr="00EF008E">
        <w:rPr>
          <w:rFonts w:ascii="Arial" w:hAnsi="Arial" w:cs="Arial"/>
          <w:color w:val="000000"/>
          <w:sz w:val="22"/>
          <w:szCs w:val="22"/>
          <w:vertAlign w:val="superscript"/>
          <w:lang w:val="sr-Cyrl-RS"/>
        </w:rPr>
        <w:t>847</w:t>
      </w:r>
      <w:r w:rsidRPr="00EF008E">
        <w:rPr>
          <w:rFonts w:ascii="Arial" w:hAnsi="Arial" w:cs="Arial"/>
          <w:color w:val="000000"/>
          <w:sz w:val="22"/>
          <w:szCs w:val="22"/>
          <w:lang w:val="sr-Cyrl-RS"/>
        </w:rPr>
        <w:t xml:space="preserve"> Према подацима ЖПРС 136 пружлаца су из цивилног сектора, али је проблем што лиценциране ОЦД немају увек шансу да добију средства од локалне самоуправе за пружање ових услуга.</w:t>
      </w:r>
      <w:r w:rsidRPr="00EF008E">
        <w:rPr>
          <w:rFonts w:ascii="Arial" w:hAnsi="Arial" w:cs="Arial"/>
          <w:color w:val="000000"/>
          <w:sz w:val="22"/>
          <w:szCs w:val="22"/>
          <w:vertAlign w:val="superscript"/>
          <w:lang w:val="sr-Cyrl-RS"/>
        </w:rPr>
        <w:t>848</w:t>
      </w:r>
      <w:r w:rsidRPr="00EF008E">
        <w:rPr>
          <w:rFonts w:ascii="Arial" w:hAnsi="Arial" w:cs="Arial"/>
          <w:color w:val="000000"/>
          <w:sz w:val="22"/>
          <w:szCs w:val="22"/>
          <w:lang w:val="sr-Cyrl-RS"/>
        </w:rPr>
        <w:t xml:space="preserve"> Према подацима МРЗБСП услугу сос телефона за жртве насиља у 90% а услугу прихватилишта за жртве насиља у 40% случајева пружају ОЦД.</w:t>
      </w:r>
      <w:r w:rsidRPr="00EF008E">
        <w:rPr>
          <w:rFonts w:ascii="Arial" w:hAnsi="Arial" w:cs="Arial"/>
          <w:color w:val="000000"/>
          <w:sz w:val="22"/>
          <w:szCs w:val="22"/>
          <w:vertAlign w:val="superscript"/>
          <w:lang w:val="sr-Cyrl-RS"/>
        </w:rPr>
        <w:t>849</w:t>
      </w:r>
      <w:r w:rsidRPr="00EF008E">
        <w:rPr>
          <w:rFonts w:ascii="Arial" w:hAnsi="Arial" w:cs="Arial"/>
          <w:color w:val="000000"/>
          <w:sz w:val="22"/>
          <w:szCs w:val="22"/>
          <w:lang w:val="sr-Cyrl-RS"/>
        </w:rPr>
        <w:t xml:space="preserve"> Кад је реч о броју иновативних социјалних услуга које се финансирају из буџета, ЖПРС је указала на значај отварања (почетком 2019. године) прихватилишта за жртве трговине људима, намењеног женама и девојкама старијим од 16 година, као првог таквог прихватилишта у систему социјалне заштите.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Смањење сиромаштва и социјална заштита рањивих група. Жене са инвалидитетом су једна од најугроженијих група становништва када је реч о стопи и ризику од сиромаштва, а најважнији фактори су: радни статус, образовање, број чланова домаћинства, пребивалиште и број деце. Жене са инвалидитетом су веома угрожене због дискриминације и препрека у остваривању својих права. Дискриминација је посебно изражена у здравственој заштити, образовању, запошљавању, у приступу социјалној заштити и др.</w:t>
      </w:r>
      <w:r w:rsidRPr="00EF008E">
        <w:rPr>
          <w:rFonts w:ascii="Arial" w:hAnsi="Arial" w:cs="Arial"/>
          <w:color w:val="000000"/>
          <w:sz w:val="22"/>
          <w:szCs w:val="22"/>
          <w:vertAlign w:val="superscript"/>
          <w:lang w:val="sr-Cyrl-RS"/>
        </w:rPr>
        <w:t>850</w:t>
      </w:r>
      <w:r w:rsidRPr="00EF008E">
        <w:rPr>
          <w:rFonts w:ascii="Arial" w:hAnsi="Arial" w:cs="Arial"/>
          <w:color w:val="000000"/>
          <w:sz w:val="22"/>
          <w:szCs w:val="22"/>
          <w:lang w:val="sr-Cyrl-RS"/>
        </w:rPr>
        <w:t xml:space="preserve"> Многе, посебно старије жене са инвалидитетом воде изолован живот</w:t>
      </w:r>
      <w:r>
        <w:rPr>
          <w:rFonts w:ascii="Arial" w:hAnsi="Arial" w:cs="Arial"/>
          <w:color w:val="000000"/>
          <w:sz w:val="22"/>
          <w:szCs w:val="22"/>
          <w:lang w:val="sr-Cyrl-RS"/>
        </w:rPr>
        <w:t>-</w:t>
      </w:r>
      <w:r w:rsidRPr="00EF008E">
        <w:rPr>
          <w:rFonts w:ascii="Arial" w:hAnsi="Arial" w:cs="Arial"/>
          <w:color w:val="000000"/>
          <w:sz w:val="22"/>
          <w:szCs w:val="22"/>
          <w:lang w:val="sr-Cyrl-RS"/>
        </w:rPr>
        <w:t>не могу да изађу из својих домова или су и у њима скучене због разних препрека.</w:t>
      </w:r>
      <w:r w:rsidRPr="00EF008E">
        <w:rPr>
          <w:rFonts w:ascii="Arial" w:hAnsi="Arial" w:cs="Arial"/>
          <w:color w:val="000000"/>
          <w:sz w:val="22"/>
          <w:szCs w:val="22"/>
          <w:vertAlign w:val="superscript"/>
          <w:lang w:val="sr-Cyrl-RS"/>
        </w:rPr>
        <w:t>851</w:t>
      </w:r>
      <w:r w:rsidRPr="00EF008E">
        <w:rPr>
          <w:rFonts w:ascii="Arial" w:hAnsi="Arial" w:cs="Arial"/>
          <w:color w:val="000000"/>
          <w:sz w:val="22"/>
          <w:szCs w:val="22"/>
          <w:lang w:val="sr-Cyrl-RS"/>
        </w:rPr>
        <w:t xml:space="preserve"> Жене са инвалидитетом се суочавају са проблемом приступачности и доступности услуга због непостојања капацитета и/или прилагођености.</w:t>
      </w:r>
      <w:r w:rsidRPr="00EF008E">
        <w:rPr>
          <w:rFonts w:ascii="Arial" w:hAnsi="Arial" w:cs="Arial"/>
          <w:color w:val="000000"/>
          <w:sz w:val="22"/>
          <w:szCs w:val="22"/>
          <w:vertAlign w:val="superscript"/>
          <w:lang w:val="sr-Cyrl-RS"/>
        </w:rPr>
        <w:t>852</w:t>
      </w:r>
      <w:r w:rsidRPr="00EF008E">
        <w:rPr>
          <w:rFonts w:ascii="Arial" w:hAnsi="Arial" w:cs="Arial"/>
          <w:color w:val="000000"/>
          <w:sz w:val="22"/>
          <w:szCs w:val="22"/>
          <w:lang w:val="sr-Cyrl-RS"/>
        </w:rPr>
        <w:t xml:space="preserve"> Недостатак одговарајућих услуга и служби подршке и адекватног образовања резултује ниским економским статусом и зависности од породице или онога ко пружа негу.</w:t>
      </w:r>
      <w:r w:rsidRPr="00EF008E">
        <w:rPr>
          <w:rFonts w:ascii="Arial" w:hAnsi="Arial" w:cs="Arial"/>
          <w:color w:val="000000"/>
          <w:sz w:val="22"/>
          <w:szCs w:val="22"/>
          <w:vertAlign w:val="superscript"/>
          <w:lang w:val="sr-Cyrl-RS"/>
        </w:rPr>
        <w:t>853</w:t>
      </w:r>
      <w:r w:rsidRPr="00EF008E">
        <w:rPr>
          <w:rFonts w:ascii="Arial" w:hAnsi="Arial" w:cs="Arial"/>
          <w:color w:val="000000"/>
          <w:sz w:val="22"/>
          <w:szCs w:val="22"/>
          <w:lang w:val="sr-Cyrl-RS"/>
        </w:rPr>
        <w:t xml:space="preserve"> Велика препрека је недовољна услуга персоналне асистенције. Према расположивим подацима, само око 200 персоналних асистената пружа услуге за 200 корисника/ца које се финансирају из буџета 12 локалних самоуправа.</w:t>
      </w:r>
      <w:r w:rsidRPr="00EF008E">
        <w:rPr>
          <w:rFonts w:ascii="Arial" w:hAnsi="Arial" w:cs="Arial"/>
          <w:color w:val="000000"/>
          <w:sz w:val="22"/>
          <w:szCs w:val="22"/>
          <w:vertAlign w:val="superscript"/>
          <w:lang w:val="sr-Cyrl-RS"/>
        </w:rPr>
        <w:t>854</w:t>
      </w:r>
      <w:r w:rsidRPr="00EF008E">
        <w:rPr>
          <w:rFonts w:ascii="Arial" w:hAnsi="Arial" w:cs="Arial"/>
          <w:color w:val="000000"/>
          <w:sz w:val="22"/>
          <w:szCs w:val="22"/>
          <w:lang w:val="sr-Cyrl-RS"/>
        </w:rPr>
        <w:t xml:space="preserve"> Када је реч о физичкој доступности просторијама ЦСР, последњи подаци су из 2014. године када је само 32% ових установа имало рампу за прилаз објекту, 39% приступачан тоалет, 62% приступачно приземље и 2% је имало лифт.</w:t>
      </w:r>
      <w:r w:rsidRPr="00EF008E">
        <w:rPr>
          <w:rFonts w:ascii="Arial" w:hAnsi="Arial" w:cs="Arial"/>
          <w:color w:val="000000"/>
          <w:sz w:val="22"/>
          <w:szCs w:val="22"/>
          <w:vertAlign w:val="superscript"/>
          <w:lang w:val="sr-Cyrl-RS"/>
        </w:rPr>
        <w:t>855</w:t>
      </w:r>
      <w:r w:rsidRPr="00EF008E">
        <w:rPr>
          <w:rFonts w:ascii="Arial" w:hAnsi="Arial" w:cs="Arial"/>
          <w:color w:val="000000"/>
          <w:sz w:val="22"/>
          <w:szCs w:val="22"/>
          <w:lang w:val="sr-Cyrl-RS"/>
        </w:rPr>
        <w:t xml:space="preserve"> Не постоје званични подаци о географској доступности услуга, а ни поузданих података у којој су мери женама са инвалидитетом доступне информације о правима на заштиту и подршку, односно услугама, јер установе социјалне заштите најчешће о томе информишу преко својих сајтова.</w:t>
      </w:r>
      <w:r w:rsidRPr="00EF008E">
        <w:rPr>
          <w:rFonts w:ascii="Arial" w:hAnsi="Arial" w:cs="Arial"/>
          <w:color w:val="000000"/>
          <w:sz w:val="22"/>
          <w:szCs w:val="22"/>
          <w:vertAlign w:val="superscript"/>
          <w:lang w:val="sr-Cyrl-RS"/>
        </w:rPr>
        <w:t>856</w:t>
      </w:r>
      <w:r w:rsidRPr="00EF008E">
        <w:rPr>
          <w:rFonts w:ascii="Arial" w:hAnsi="Arial" w:cs="Arial"/>
          <w:color w:val="000000"/>
          <w:sz w:val="22"/>
          <w:szCs w:val="22"/>
          <w:lang w:val="sr-Cyrl-RS"/>
        </w:rPr>
        <w:t xml:space="preserve"> Реформа система социјалне заштите није допринела пoбoљшaњу пoлoжaja oсoбa сa интeлeктуaлним и психoсoциjaлним инвaлидитeтoм, jeр и дaљe нeмa aдeквaтних услугa у зajeдници, а систeм пoдршкe прaктичнo ниje рeфoрмисaн.</w:t>
      </w:r>
      <w:r w:rsidRPr="00EF008E">
        <w:rPr>
          <w:rFonts w:ascii="Arial" w:hAnsi="Arial" w:cs="Arial"/>
          <w:color w:val="000000"/>
          <w:sz w:val="22"/>
          <w:szCs w:val="22"/>
          <w:vertAlign w:val="superscript"/>
          <w:lang w:val="sr-Cyrl-RS"/>
        </w:rPr>
        <w:t>857</w:t>
      </w:r>
      <w:r w:rsidRPr="00EF008E">
        <w:rPr>
          <w:rFonts w:ascii="Arial" w:hAnsi="Arial" w:cs="Arial"/>
          <w:color w:val="000000"/>
          <w:sz w:val="22"/>
          <w:szCs w:val="22"/>
          <w:lang w:val="sr-Cyrl-RS"/>
        </w:rPr>
        <w:t xml:space="preserve"> Подаци о социјалном и економском положају Рома/Ромкиња су непотпуни и несистематизовани а званична статистика о сиромаштву не садржи податке о националној припадности сиромашних, због чега је Комитет УН за економска и социјална права тражио да се ови подаци прикупљају редовно.</w:t>
      </w:r>
      <w:r w:rsidRPr="00EF008E">
        <w:rPr>
          <w:rFonts w:ascii="Arial" w:hAnsi="Arial" w:cs="Arial"/>
          <w:color w:val="000000"/>
          <w:sz w:val="22"/>
          <w:szCs w:val="22"/>
          <w:vertAlign w:val="superscript"/>
          <w:lang w:val="sr-Cyrl-RS"/>
        </w:rPr>
        <w:t>858</w:t>
      </w:r>
      <w:r w:rsidRPr="00EF008E">
        <w:rPr>
          <w:rFonts w:ascii="Arial" w:hAnsi="Arial" w:cs="Arial"/>
          <w:color w:val="000000"/>
          <w:sz w:val="22"/>
          <w:szCs w:val="22"/>
          <w:lang w:val="sr-Cyrl-RS"/>
        </w:rPr>
        <w:t xml:space="preserve"> Ромкиње су у неповољнијем положају због лошег образовног статуса, изложености дечијим браковима и раног рађања, незпослености, лоших услова живота, економске зависности и др.</w:t>
      </w:r>
      <w:r w:rsidRPr="00EF008E">
        <w:rPr>
          <w:rFonts w:ascii="Arial" w:hAnsi="Arial" w:cs="Arial"/>
          <w:color w:val="000000"/>
          <w:sz w:val="22"/>
          <w:szCs w:val="22"/>
          <w:vertAlign w:val="superscript"/>
          <w:lang w:val="sr-Cyrl-RS"/>
        </w:rPr>
        <w:t>859</w:t>
      </w:r>
      <w:r w:rsidRPr="00EF008E">
        <w:rPr>
          <w:rFonts w:ascii="Arial" w:hAnsi="Arial" w:cs="Arial"/>
          <w:color w:val="000000"/>
          <w:sz w:val="22"/>
          <w:szCs w:val="22"/>
          <w:lang w:val="sr-Cyrl-RS"/>
        </w:rPr>
        <w:t xml:space="preserve"> Дечији бракови су последица родно засноване дискриминације, сиромаштва, недостатка образовања и неадекватног одговора институција. Девојчице су приморане да одустану од школовања чиме им се смањују изгледи за запошљавање, повећава рањивост на насиље у породици и партнерским односима и ране трудноће што доводи до погоршања здравственог стања и остајања у кругу сиромаштва.</w:t>
      </w:r>
      <w:r w:rsidRPr="00EF008E">
        <w:rPr>
          <w:rFonts w:ascii="Arial" w:hAnsi="Arial" w:cs="Arial"/>
          <w:color w:val="000000"/>
          <w:sz w:val="22"/>
          <w:szCs w:val="22"/>
          <w:vertAlign w:val="superscript"/>
          <w:lang w:val="sr-Cyrl-RS"/>
        </w:rPr>
        <w:t>860</w:t>
      </w:r>
      <w:r w:rsidRPr="00EF008E">
        <w:rPr>
          <w:rFonts w:ascii="Arial" w:hAnsi="Arial" w:cs="Arial"/>
          <w:color w:val="000000"/>
          <w:sz w:val="22"/>
          <w:szCs w:val="22"/>
          <w:lang w:val="sr-Cyrl-RS"/>
        </w:rPr>
        <w:t xml:space="preserve"> Један од позитивних примера су здравствене медијаторке, које, осим подршке у здравственим установама, помажу лакшем приступу личним документима, правима из социјалне заштите, здравственом осигурању, тржишту рада, образовању итд.</w:t>
      </w:r>
      <w:r w:rsidRPr="00EF008E">
        <w:rPr>
          <w:rFonts w:ascii="Arial" w:hAnsi="Arial" w:cs="Arial"/>
          <w:color w:val="000000"/>
          <w:sz w:val="22"/>
          <w:szCs w:val="22"/>
          <w:vertAlign w:val="superscript"/>
          <w:lang w:val="sr-Cyrl-RS"/>
        </w:rPr>
        <w:t>861</w:t>
      </w:r>
      <w:r w:rsidRPr="00EF008E">
        <w:rPr>
          <w:rFonts w:ascii="Arial" w:hAnsi="Arial" w:cs="Arial"/>
          <w:color w:val="000000"/>
          <w:sz w:val="22"/>
          <w:szCs w:val="22"/>
          <w:lang w:val="sr-Cyrl-RS"/>
        </w:rPr>
        <w:t xml:space="preserve"> Жене које просечно живе дуже него мушкарци, дуже користе пензије и у неповољнијем су положају, што узрокује већу и дужу потребу за различитим услугама помоћи и подршке ради обезбеђења њихових основних животних потреба.</w:t>
      </w:r>
      <w:r w:rsidRPr="00EF008E">
        <w:rPr>
          <w:rFonts w:ascii="Arial" w:hAnsi="Arial" w:cs="Arial"/>
          <w:color w:val="000000"/>
          <w:sz w:val="22"/>
          <w:szCs w:val="22"/>
          <w:vertAlign w:val="superscript"/>
          <w:lang w:val="sr-Cyrl-RS"/>
        </w:rPr>
        <w:t>862</w:t>
      </w:r>
      <w:r w:rsidRPr="00EF008E">
        <w:rPr>
          <w:rFonts w:ascii="Arial" w:hAnsi="Arial" w:cs="Arial"/>
          <w:color w:val="000000"/>
          <w:sz w:val="22"/>
          <w:szCs w:val="22"/>
          <w:lang w:val="sr-Cyrl-RS"/>
        </w:rPr>
        <w:t xml:space="preserve"> Жене старије од 65 година имају и већи ризик од сиромаштва у односу на мушкарце, а стопа ризика старијих особа које живе у једночланим домаћинствима је изнад просека укупне популације (27,2%).</w:t>
      </w:r>
      <w:r w:rsidRPr="00EF008E">
        <w:rPr>
          <w:rFonts w:ascii="Arial" w:hAnsi="Arial" w:cs="Arial"/>
          <w:color w:val="000000"/>
          <w:sz w:val="22"/>
          <w:szCs w:val="22"/>
          <w:vertAlign w:val="superscript"/>
          <w:lang w:val="sr-Cyrl-RS"/>
        </w:rPr>
        <w:t>863</w:t>
      </w:r>
      <w:r w:rsidRPr="00EF008E">
        <w:rPr>
          <w:rFonts w:ascii="Arial" w:hAnsi="Arial" w:cs="Arial"/>
          <w:color w:val="000000"/>
          <w:sz w:val="22"/>
          <w:szCs w:val="22"/>
          <w:lang w:val="sr-Cyrl-RS"/>
        </w:rPr>
        <w:t xml:space="preserve"> Услуга смештаја је најзаступљенија услуга социјалне заштите, а стално се повећава број корисника/ца међу којима преовлађују старији. У 2019. години преовлађивали су корисници/це преко 80 година, а међу њима 65% су биле жене, које чине више од половине укупног броја корисника услуга помоћ у кући за одрасле и старије и дневних боравака за одрасле и старије, али је ова услуга недовољна у сеоским подручјима.</w:t>
      </w:r>
      <w:r w:rsidRPr="00EF008E">
        <w:rPr>
          <w:rFonts w:ascii="Arial" w:hAnsi="Arial" w:cs="Arial"/>
          <w:color w:val="000000"/>
          <w:sz w:val="22"/>
          <w:szCs w:val="22"/>
          <w:vertAlign w:val="superscript"/>
          <w:lang w:val="sr-Cyrl-RS"/>
        </w:rPr>
        <w:t>864</w:t>
      </w:r>
      <w:r w:rsidRPr="00EF008E">
        <w:rPr>
          <w:rFonts w:ascii="Arial" w:hAnsi="Arial" w:cs="Arial"/>
          <w:color w:val="000000"/>
          <w:sz w:val="22"/>
          <w:szCs w:val="22"/>
          <w:lang w:val="sr-Cyrl-RS"/>
        </w:rPr>
        <w:t xml:space="preserve"> Повереник за заштиту равноправности је у истраживању положаја старијих жена констатовао да чак 88% испитаница има умањену способност да обављају свакодневне активности у периоду дужем од шест месеци и да се најчешће ослањају на ужу породицу, конкретно на децу и унуке (54,5%) и супруга (15,7%), а у мањој мери на комшије и пријатеље (9,6%) и друге рођаке (5,7%). Испитанице веома ретко користе услуге социјалне заштите, тек 4% њих. Коришћење услуга социјалне заштите повезано је са самосталношћу, па услуге најчешће користе старије жене које изјављују да им је знатно ограничена способност за обављање свакодневних активности (8,8%).</w:t>
      </w:r>
      <w:r w:rsidRPr="00EF008E">
        <w:rPr>
          <w:rFonts w:ascii="Arial" w:hAnsi="Arial" w:cs="Arial"/>
          <w:color w:val="000000"/>
          <w:sz w:val="22"/>
          <w:szCs w:val="22"/>
          <w:vertAlign w:val="superscript"/>
          <w:lang w:val="sr-Cyrl-RS"/>
        </w:rPr>
        <w:t>865</w:t>
      </w:r>
      <w:r w:rsidRPr="00EF008E">
        <w:rPr>
          <w:rFonts w:ascii="Arial" w:hAnsi="Arial" w:cs="Arial"/>
          <w:color w:val="000000"/>
          <w:sz w:val="22"/>
          <w:szCs w:val="22"/>
          <w:lang w:val="sr-Cyrl-RS"/>
        </w:rPr>
        <w:t xml:space="preserve"> У циљу отклањања уочених проблема CEDAW комитет</w:t>
      </w:r>
      <w:r w:rsidRPr="00EF008E">
        <w:rPr>
          <w:rFonts w:ascii="Arial" w:hAnsi="Arial" w:cs="Arial"/>
          <w:color w:val="000000"/>
          <w:sz w:val="22"/>
          <w:szCs w:val="22"/>
          <w:vertAlign w:val="superscript"/>
          <w:lang w:val="sr-Cyrl-RS"/>
        </w:rPr>
        <w:t>866</w:t>
      </w:r>
      <w:r w:rsidRPr="00EF008E">
        <w:rPr>
          <w:rFonts w:ascii="Arial" w:hAnsi="Arial" w:cs="Arial"/>
          <w:color w:val="000000"/>
          <w:sz w:val="22"/>
          <w:szCs w:val="22"/>
          <w:lang w:val="sr-Cyrl-RS"/>
        </w:rPr>
        <w:t xml:space="preserve"> позива државу да енергично настави са напорима да елиминише вишеструке и међусобно повезане облике дискриминације групе жена у неповољном положају, истовремено осигуравајући њихово економско оснаживање. Комитет охрабрује државу уговорницу да спроведе свеобухватну анализу за процену ситуације, посебних потреба и аспирација угрожених група жена, како би прикупила податке за унапређење законодавног оквира и развој политика</w:t>
      </w:r>
      <w:r w:rsidRPr="00EF008E">
        <w:rPr>
          <w:rFonts w:ascii="Arial" w:hAnsi="Arial" w:cs="Arial"/>
          <w:color w:val="000000"/>
          <w:sz w:val="22"/>
          <w:szCs w:val="22"/>
          <w:vertAlign w:val="superscript"/>
          <w:lang w:val="sr-Cyrl-RS"/>
        </w:rPr>
        <w:t>867</w:t>
      </w:r>
      <w:r w:rsidRPr="00EF008E">
        <w:rPr>
          <w:rFonts w:ascii="Arial" w:hAnsi="Arial" w:cs="Arial"/>
          <w:color w:val="000000"/>
          <w:sz w:val="22"/>
          <w:szCs w:val="22"/>
          <w:lang w:val="sr-Cyrl-RS"/>
        </w:rPr>
        <w:t xml:space="preserve"> и да хитно сагледа ситуацију депривираних породица са једним родитељем, посебно оних које води мајка и обезбеди благовремену наплату алиментације за издржавање деце, укључујући и увођење механизма извршења у случају неизвршења.</w:t>
      </w:r>
      <w:r w:rsidRPr="00EF008E">
        <w:rPr>
          <w:rFonts w:ascii="Arial" w:hAnsi="Arial" w:cs="Arial"/>
          <w:color w:val="000000"/>
          <w:sz w:val="22"/>
          <w:szCs w:val="22"/>
          <w:vertAlign w:val="superscript"/>
          <w:lang w:val="sr-Cyrl-RS"/>
        </w:rPr>
        <w:t>868</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792 Србија и Агенда 2030, мапирање националног стратешког оквира у односу на циљеве одрживог развоја, Влада РС Секретаријат за јавне политике, 2020, страна 20, доступно на: https://rsjp.gov.rs/wp-content/uploads/Srbija-i-Agenda-2030-novembar-2020.-lat.pdf, приступ: 16.6.2021.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793 Игњатовић, Т. Социјална политика у Србији: да ли су поступци транспоновања правних тековина Европске уније и спровођења обавеза прихваћених међународних уговора у најбољем интересу корисника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сагледано из родне перспективе жена са искуством родно заснованог насиља?, 2020. страна 5. Доступно на: https://www.womenngo.org.rs/vesti/1599-socijalna-politika-u-srbiji-iz-rodne-i-perspektive-zena-sa-iskustvom-rodno-zasnovanog-nasilja, приступ: 9.5.2021.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794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24/11.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795 Социјална заштита је организована друштвена делатност од јавног интереса чији је циљ пружање помоћи и оснаживање за самосталан и продуктиван живот у друштву појединаца и породица, као и спречавање настајања и отклањања последица социјалне искључености. (члан 2. Закона о социјалној заштити)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796 Члан 4. Закона о социјалној заштити.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797 Циљеви социјалне заштите су: достизање, односно одржавање минималне материјалне сигурности и независности појединаца/ки и породице у задовољавању животних потреба, обезбеђивање доступности услуга и остваривање права у социјалној заштити, стварање једнаких могућности и подстицање за самосталан живот, подстицање социјалне укључености, унапређење породичних односа, као и породичне, родне и међугенерацијске солидарности, предупређење злостављања, занемаривања и експлоатације, односно отклањање њихових последица. (члан 3. Закона о социјалној заштити)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798 У Нацрту стратегије социјалне заштите општи циљ је развијање интегративне и одрживе социјалне заштите која развија услуге за очување и побољшање квалитета живота и благостања рањивих и маргинализованих група и појединаца.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799 Игњатовић, Т. Оп. цит. страна 14.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800</w:t>
      </w:r>
      <w:r w:rsidRPr="00EF008E">
        <w:rPr>
          <w:rFonts w:ascii="Arial" w:hAnsi="Arial" w:cs="Arial"/>
          <w:i/>
          <w:color w:val="000000"/>
          <w:sz w:val="22"/>
          <w:szCs w:val="22"/>
          <w:lang w:val="sr-Cyrl-RS"/>
        </w:rPr>
        <w:tab/>
        <w:t>Доступно на: http://www.zavodsz.gov.rs/sr/aktuelnosti/strategija-socijalne-za%C5%A1tite-2019-2025-konsultacije/, приступ: 10.6.2021.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801 Нацрт Стратегије социјалне заштите у Републици Србији од 2019-2025. године, страна 52, доступно на: http://www.zavodsz.gov.rs/sr/aktuelnosti/strategija-socijalne-za%C5%A1tite-2019-2025-konsultacije/, приступ: 10.6.2021.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802 Исто, страна 53.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803 Демографски фактори су: исељавање млађег и радно способног становништва, смањење броја стновника и старење популације које утиче на смањење радно способних становника, затим, промене у структури породице, повећање старачких и то једночланих домаћинстава, нижи БДП по становнику у односу на стандарде ЕУ и др. Видети: Нацрт стратегије социјалне заштите у Републици Србији за период од 2019. до 2025. године, стр. 10</w:t>
      </w:r>
      <w:r>
        <w:rPr>
          <w:rFonts w:ascii="Arial" w:hAnsi="Arial" w:cs="Arial"/>
          <w:i/>
          <w:color w:val="000000"/>
          <w:sz w:val="22"/>
          <w:szCs w:val="22"/>
          <w:lang w:val="sr-Cyrl-RS"/>
        </w:rPr>
        <w:t>-</w:t>
      </w:r>
      <w:r w:rsidRPr="00EF008E">
        <w:rPr>
          <w:rFonts w:ascii="Arial" w:hAnsi="Arial" w:cs="Arial"/>
          <w:i/>
          <w:color w:val="000000"/>
          <w:sz w:val="22"/>
          <w:szCs w:val="22"/>
          <w:lang w:val="sr-Cyrl-RS"/>
        </w:rPr>
        <w:t>12.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804 Видети: Нацрт стратегије социјалне заштите, стр. 10</w:t>
      </w:r>
      <w:r>
        <w:rPr>
          <w:rFonts w:ascii="Arial" w:hAnsi="Arial" w:cs="Arial"/>
          <w:i/>
          <w:color w:val="000000"/>
          <w:sz w:val="22"/>
          <w:szCs w:val="22"/>
          <w:lang w:val="sr-Cyrl-RS"/>
        </w:rPr>
        <w:t>-</w:t>
      </w:r>
      <w:r w:rsidRPr="00EF008E">
        <w:rPr>
          <w:rFonts w:ascii="Arial" w:hAnsi="Arial" w:cs="Arial"/>
          <w:i/>
          <w:color w:val="000000"/>
          <w:sz w:val="22"/>
          <w:szCs w:val="22"/>
          <w:lang w:val="sr-Cyrl-RS"/>
        </w:rPr>
        <w:t>11.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805 Према последњим доступним подацима, стопа апсолутног сиромаштва је у 2019. години износила је 7% (око 480.000 лица). Извор: СИПРУ (2020), Оцена кретања сиромаштва, животног стандарда и одговор на последице Covid-19 пандемије, доступно на: http://socijalnoukljucivanje.gov.rs/wp-content/uploads/2020/10/Ocena_kretanja_siromastva_CIR.pdf, као и у табели доступној на линку: http://socijalnoukljucivanje.gov.rs/wp-content/uploads/2020/10/APD_Apsolutno_siromastvo_2006-2019_lat.xlsx, приступ: 15.9.2021.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806 Игњатовић, Т. Оп. цит. страна 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807 Извор: Анкета о приходимa и условима живота (SILC), РЗС, страна1, доступно на: www.stat.gov.rs/sr-latn/oblasti/potrošnja-prihodi-i-uslovi-zivota,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808</w:t>
      </w:r>
      <w:r w:rsidRPr="00EF008E">
        <w:rPr>
          <w:rFonts w:ascii="Arial" w:hAnsi="Arial" w:cs="Arial"/>
          <w:i/>
          <w:color w:val="000000"/>
          <w:sz w:val="22"/>
          <w:szCs w:val="22"/>
          <w:lang w:val="sr-Cyrl-RS"/>
        </w:rPr>
        <w:tab/>
        <w:t>Видети: https://ec.europa.eu/eurostat/databrowser/view/SPR_EXP_SUM__custom_1194727/default/table?lang=en, приступ: 15.9.2021.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809 Нацрт Стратегије, страна 17.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810 Матковић, Г. Праћење социјалне укључености у Републици Србији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Индикатори социјалне заштите и социјалне сигурности, Тим за социјално укључивање и смањење сиромаштва, страна 3, доступно на: http://socijalnoukljucivanje.gov.rs/wp-content/uploads/2017/10/Pracenje_socijalne_ukljucenosti_u_Republici_Srbiji_trece_dopunjeno_izdanje_Indikatori_socijalne_zastite_i_socijalne_sigurnosti.pdf, приступ: 18.6.2021.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811 Србија и Агенда 2030, страна 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812 Србија и Агенда 2030, стр. 20</w:t>
      </w:r>
      <w:r>
        <w:rPr>
          <w:rFonts w:ascii="Arial" w:hAnsi="Arial" w:cs="Arial"/>
          <w:i/>
          <w:color w:val="000000"/>
          <w:sz w:val="22"/>
          <w:szCs w:val="22"/>
          <w:lang w:val="sr-Cyrl-RS"/>
        </w:rPr>
        <w:t>-</w:t>
      </w:r>
      <w:r w:rsidRPr="00EF008E">
        <w:rPr>
          <w:rFonts w:ascii="Arial" w:hAnsi="Arial" w:cs="Arial"/>
          <w:i/>
          <w:color w:val="000000"/>
          <w:sz w:val="22"/>
          <w:szCs w:val="22"/>
          <w:lang w:val="sr-Cyrl-RS"/>
        </w:rPr>
        <w:t>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813 Нацрт Стратегије страна 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814 Анкета о приходима, 2020, страна 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815 Исто, страна 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816 Нацрт стратегије, страна 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817 Видети: http://devinfo.stat.gov.rs/Opstine/libraries/aspx/dataview.aspx, приступ: 15.9.2021.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818 Исто, страна 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819 Исто, страна 22.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820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113/17, 50/18, 46/21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51/21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и 53/21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доступно на: https://www.paragraf.rs/propisi/zakon-o-finansijskoj-podrsci-porodici-sa-decom.html,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821 Законом (члан 11) је дефинисано осам мера, које се обезбеђују и спроводе са националног нивоа: 1) накнада зараде, односно накнада плате за време породиљског одсуства, одсуства са рада ради неге детета и одсуства са рада ради посебне неге детета; 2) остале накнаде по основу рођења и неге детета и посебне неге детета; 3) родитељски додатак; 4) дечији додатак; 5) накнада трошкова боравка у предшколској установи за децу без родитељског старања; 6) накнада трошкова боравка у предшколској установи за децу са сметњама у развоју и децу са инвалидитетом; 7) накнада трошкова боравка у предшколској установи за децу корисника новчане социјалне помоћи; 8) регресирање трошкова боравка у предшколској установи деце из мтеријално угрожених породица.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822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66/21, доступно на: https://www.paragraf.rs/izmene_i_dopune/300621-zakon-o-izmenama-i-dopunama-zakona-o-finansijskoj-podrsci-porodici-sa-decom.html, приступ:16.9.2021.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823 Инцијатива </w:t>
      </w:r>
      <w:r>
        <w:rPr>
          <w:rFonts w:ascii="Arial" w:hAnsi="Arial" w:cs="Arial"/>
          <w:i/>
          <w:color w:val="000000"/>
          <w:sz w:val="22"/>
          <w:szCs w:val="22"/>
          <w:lang w:val="sr-Cyrl-RS"/>
        </w:rPr>
        <w:t>"</w:t>
      </w:r>
      <w:r w:rsidRPr="00EF008E">
        <w:rPr>
          <w:rFonts w:ascii="Arial" w:hAnsi="Arial" w:cs="Arial"/>
          <w:i/>
          <w:color w:val="000000"/>
          <w:sz w:val="22"/>
          <w:szCs w:val="22"/>
          <w:lang w:val="sr-Cyrl-RS"/>
        </w:rPr>
        <w:t>Маме су закон</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је дефинисала три препоруке: Предузетнице које за време трудничког одсуства привремено не одјаве обављање делатности имају право на пун износ накнаде зараде; Правичан обрачун накнаде зараде за предузетнице како би у току породиљског и одсуства са рада ради неге детета имале уплаћене допиносе за обавезно социјално осигурање; Право на одсуство са рада ради неге детета у трајању од две године за рођење трећег и сваког наредног детета, као и право преноса одсуства са рада ради неге детета на партнера. Доступно на: https://mamesuzakon.org/ipreduzetnicesumame, приступ: 17 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824 Група аутора: Извештај о напретку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други извештај о напретку по областима за период 2016</w:t>
      </w:r>
      <w:r>
        <w:rPr>
          <w:rFonts w:ascii="Arial" w:hAnsi="Arial" w:cs="Arial"/>
          <w:i/>
          <w:color w:val="000000"/>
          <w:sz w:val="22"/>
          <w:szCs w:val="22"/>
          <w:lang w:val="sr-Cyrl-RS"/>
        </w:rPr>
        <w:t>-</w:t>
      </w:r>
      <w:r w:rsidRPr="00EF008E">
        <w:rPr>
          <w:rFonts w:ascii="Arial" w:hAnsi="Arial" w:cs="Arial"/>
          <w:i/>
          <w:color w:val="000000"/>
          <w:sz w:val="22"/>
          <w:szCs w:val="22"/>
          <w:lang w:val="sr-Cyrl-RS"/>
        </w:rPr>
        <w:t>2020. сачињен на основу оквира за мониторинг и евалуацију, ЖПРС, 2020. страна 44, доступно на: https://media.genderhub.org.rs/2021/04/DRUGI-IZVESTAJ-O-NAPRETKU.pdf,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825 У 2018. години је 137 од 145 ЈЛС пружало услуге социјалне заштите, од којих су најзаступљеније услуге дневног боравка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кућна нега за одрасле и старије и лични пратилац детета, дневна нега деце са инвалидитетом. Видети: Мапирање услуга социјане заштите и материјалне подршке у надлежности ЈЛС у Републици Србији у 2018. години, Доступно на: http://socijalnoukljucivanje.gov.rs/rs/objavljeno-mapiranje-usluga-socijalne-zastite-i-materijalne-podrske-u-nadleznosti-jedinica-lokalnih-samouprava-u-republici-srbiji/, приступ: 9.9.2021.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826 Група аутора, Оп. цит. 2020. страна 42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827 Извештај о раду установа за смештај одраслих и старијих за 2018. Републичког завода за социјалну заштиту, 2019, страна 12, доступно на: http://www.zavodsz.gov.rs/media/1878/izvestaj-o-radu-ustanova-za-sme%C5%A1taj-odraslih-i-starijih-u-2018.pdf,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828 Матковић, Г. и др. Мапирање услуга социјалне заштите и материјалне подршке у надлежности јединица локалне самоуправе у Републици Србији, Тим за социјално укључивање, 2020, страна 18. Доступно на: http://socijalnoukljucivanje.gov.rs/wp-content/uploads/2020/09/Mapiranje_usluga_socijalne_zastite_i_materijalne_podrske_u_nadleznosti_JLS_u_RS.pdf,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829 Игњатовић, Т. Оп. цит. 2020, страна 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830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52/21.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831 Чланови 54. и 55.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832 Исто, страна 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833 Група аутора, Оп. цит. 2020, страна 43.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834 Група аутора, Оп. цит. 2020, страна 42.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835 Тим за социјално укључивање и смањење сиромаштва, Индекс родне равноправности у РС. Мерење родне равноправности у РС 2018, страна 41, доступно на: http://socijalnoukljucivanje.gov.rs/rs/objavljen-novi-indeks-rodne-ravnopravnosti-zarepubliku-srbiju/, приступ: 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836 У 2019. години било је 1.621.000 неактивних жена, а међу неактивнима који не траже посао због бриге о деци или о одраслим зависним особама је око 59 хиљада жена и 1.900 мушкараца.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837</w:t>
      </w:r>
      <w:r w:rsidRPr="00EF008E">
        <w:rPr>
          <w:rFonts w:ascii="Arial" w:hAnsi="Arial" w:cs="Arial"/>
          <w:i/>
          <w:color w:val="000000"/>
          <w:sz w:val="22"/>
          <w:szCs w:val="22"/>
          <w:lang w:val="sr-Cyrl-RS"/>
        </w:rPr>
        <w:tab/>
        <w:t>Економска вредност неплаћених послова старања у РС, UN Women 2020. стр. 29, 33, доступно на: http://socijalnoukljucivanje.gov.rs/wp-content/uploads/2020/08/Analiza_monetarne_vrednosti_neplacenog_rada_UN_Women_SRB.pdf,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838 Усклађивање пословних и бриге о домаћинству и породици, SeCons, 2020, страна 4, доступно на: https://www.secons.net/files/publications/116-publication.pdf, приступ: 18.6.2021.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839 Финални извештај евалуације Акционог плана за спровођење националне стратегије за родну равноправност РС (2016</w:t>
      </w:r>
      <w:r>
        <w:rPr>
          <w:rFonts w:ascii="Arial" w:hAnsi="Arial" w:cs="Arial"/>
          <w:i/>
          <w:color w:val="000000"/>
          <w:sz w:val="22"/>
          <w:szCs w:val="22"/>
          <w:lang w:val="sr-Cyrl-RS"/>
        </w:rPr>
        <w:t>-</w:t>
      </w:r>
      <w:r w:rsidRPr="00EF008E">
        <w:rPr>
          <w:rFonts w:ascii="Arial" w:hAnsi="Arial" w:cs="Arial"/>
          <w:i/>
          <w:color w:val="000000"/>
          <w:sz w:val="22"/>
          <w:szCs w:val="22"/>
          <w:lang w:val="sr-Cyrl-RS"/>
        </w:rPr>
        <w:t>2018), SeCons, страна 53, доступно на: https://www.secons.net/files/publications/99-publication.pdf, приступ: 8. 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840 Исто, стр. 65, 66.</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841 Пара 36 (г).</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842</w:t>
      </w:r>
      <w:r w:rsidRPr="00EF008E">
        <w:rPr>
          <w:rFonts w:ascii="Arial" w:hAnsi="Arial" w:cs="Arial"/>
          <w:i/>
          <w:color w:val="000000"/>
          <w:sz w:val="22"/>
          <w:szCs w:val="22"/>
          <w:lang w:val="sr-Cyrl-RS"/>
        </w:rPr>
        <w:tab/>
        <w:t>У Стратегији за родну равноправност (2016</w:t>
      </w:r>
      <w:r>
        <w:rPr>
          <w:rFonts w:ascii="Arial" w:hAnsi="Arial" w:cs="Arial"/>
          <w:i/>
          <w:color w:val="000000"/>
          <w:sz w:val="22"/>
          <w:szCs w:val="22"/>
          <w:lang w:val="sr-Cyrl-RS"/>
        </w:rPr>
        <w:t>-</w:t>
      </w:r>
      <w:r w:rsidRPr="00EF008E">
        <w:rPr>
          <w:rFonts w:ascii="Arial" w:hAnsi="Arial" w:cs="Arial"/>
          <w:i/>
          <w:color w:val="000000"/>
          <w:sz w:val="22"/>
          <w:szCs w:val="22"/>
          <w:lang w:val="sr-Cyrl-RS"/>
        </w:rPr>
        <w:t>2020) посебан циљ 2.1 дефинисан је како би се олакшала подела послова у домаћинству у области старања о деци и старијим особама. Дугорочни циљеви ове мере су смањена оптерећеност жена неплаћеним радом у економији старања и унапређен квалитет живота жена, повећана њихова запосленост и повећан природни прираштај. а очекивани резултат: време које жене и мушкарци троше на неплаћене послове је равноправно распоређено. Доступно: https://www.mgsi.gov.rs/lat/dokumenti/nacionalna-strategija-za-rodnu-ravnopravnost-za-period-od-2016-do-2020-godine-sa-akcionim, приступ: 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843 Игњатовић, Т. Оп. цит. 2020, страна 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844 Група аутора, Оп. цит. 2020, страна 43.</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845 Исто.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846 Развијеност капацитета ЈЛС у области утврђивања потреба за услугама социјалне заштите у заједници износи у просеку 37,7% у односу на пожељан ниво развијености а низак је и ниво развијености капацитета ЈЛС. У области креирања стратешког и планског оквира, који достиже тек 30,7% у односу на пожељан ниво. Видети: Процена институционалних капацитета ЈЛС у области утврђивања потреба за услугама социјалне заштите у заједници. Доступно на: https://www.swisspro.org.rs/uploads/files/139-240-sp_procena_institucionalnih kapaciteta sr.pdf, приступ: 12.6.2021.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847 Од 662 пружалаца услуга: дневни боравак пружа 62, становање уз подршку 9, лични пратилац 40, прихватилиште 18, свратиште 3 и помоћ у кући 146. Највећи број пружалаца услуга су услуге домског смештаја за одрасла и старија лица у приватним домовима 304. У 2021. лиценцирано је 17 пружалаца услуга прихватилишта за жртве насиља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7 и за услугу СОС телефона за жртве насиља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10. Извор: Коментар Министарства за рад, запошљавање, борачка и социјална питања, током консултација о Полазним основама Стратегије за родну равноправност за период 2021</w:t>
      </w:r>
      <w:r>
        <w:rPr>
          <w:rFonts w:ascii="Arial" w:hAnsi="Arial" w:cs="Arial"/>
          <w:i/>
          <w:color w:val="000000"/>
          <w:sz w:val="22"/>
          <w:szCs w:val="22"/>
          <w:lang w:val="sr-Cyrl-RS"/>
        </w:rPr>
        <w:t>-</w:t>
      </w:r>
      <w:r w:rsidRPr="00EF008E">
        <w:rPr>
          <w:rFonts w:ascii="Arial" w:hAnsi="Arial" w:cs="Arial"/>
          <w:i/>
          <w:color w:val="000000"/>
          <w:sz w:val="22"/>
          <w:szCs w:val="22"/>
          <w:lang w:val="sr-Cyrl-RS"/>
        </w:rPr>
        <w:t>2030, август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848 Група аутора, Оп. цит. 2020, страна 44.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849 Извор податка: Министарство за рад, запошљавање, борачка и социјална питања током коментарисања Полазних основа Стратегије за родну равноправност за период 2021</w:t>
      </w:r>
      <w:r>
        <w:rPr>
          <w:rFonts w:ascii="Arial" w:hAnsi="Arial" w:cs="Arial"/>
          <w:i/>
          <w:color w:val="000000"/>
          <w:sz w:val="22"/>
          <w:szCs w:val="22"/>
          <w:lang w:val="sr-Cyrl-RS"/>
        </w:rPr>
        <w:t>-</w:t>
      </w:r>
      <w:r w:rsidRPr="00EF008E">
        <w:rPr>
          <w:rFonts w:ascii="Arial" w:hAnsi="Arial" w:cs="Arial"/>
          <w:i/>
          <w:color w:val="000000"/>
          <w:sz w:val="22"/>
          <w:szCs w:val="22"/>
          <w:lang w:val="sr-Cyrl-RS"/>
        </w:rPr>
        <w:t>2030. август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850 Бекер, К. Оп. цит. 2020, страна 31.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851 Рајков, Г. ур. Препреке за једнакост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двострука дискриминација жена са инвалидитетом, 2004. страна 14, Доступно на: file:///C:/Documents%20and%20Settings/Developer/My%20Documents/Downloads/9._Zene_sa_invaliditetom%20(2).pdf, приступ: 17.6.2021.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852 Бекер, 2018, страна 27.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853 Исто, страна 14.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854 Група аутора, 2020, страна 44.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855 У Посебном извештају 2018. године </w:t>
      </w:r>
      <w:r>
        <w:rPr>
          <w:rFonts w:ascii="Arial" w:hAnsi="Arial" w:cs="Arial"/>
          <w:i/>
          <w:color w:val="000000"/>
          <w:sz w:val="22"/>
          <w:szCs w:val="22"/>
          <w:lang w:val="sr-Cyrl-RS"/>
        </w:rPr>
        <w:t>"</w:t>
      </w:r>
      <w:r w:rsidRPr="00EF008E">
        <w:rPr>
          <w:rFonts w:ascii="Arial" w:hAnsi="Arial" w:cs="Arial"/>
          <w:i/>
          <w:color w:val="000000"/>
          <w:sz w:val="22"/>
          <w:szCs w:val="22"/>
          <w:lang w:val="sr-Cyrl-RS"/>
        </w:rPr>
        <w:t>Приступачност за све</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Заштитник грађана РС је констатовао да су ЦСР углавном смештени у неприступчним или делимично приступачним објектима и препоручио ЈЛС да уз подршку МРЗБСП обезбеде адекватан простор за несметан рад ЦСР који ће испуњавати све стандарде пристуачности. Доступно на: https://www.ombudsman.rs/index.php/izvestaji/posebnii-izvestaji/5893-p-s-b-n-izv-sh-z-sh-i-ni-gr-d-n-pris-up-cn-s-z-sv, приступ: 15.9.2021.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856 Исто, страна 42.</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857 Бекер, К. и Баћановић, В. Репродуктивно здравље жена са инвалидитетом у АП Војводини, 2018, Покрајински заштитник грађана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омбудсман и ОЕБС, доступно на: https://www.ombudsmanapv.org, приступ: 21.1.2021.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858 Бекер, К. Оп. цит. Оп. цит, 2018, стр. 28 и 29.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859 Национални извештај о примени CEDAW и Истанбулске конвенције у Републици Србији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Дискриминација и насиље према Ромкињама, Ромски центар Бибија, 2019, страна 52, доступно на: http://www.bibija.org.rs/images/cedaw/nacionalni_izvestaj_Republika_Srbija_Compressed.pdf, приступ: 14.6.2021.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860 Бекер, К. Оп. цит. 2020, страна 31.</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5.4. Институционални оквир и алати за креирање родно одговорних јавних политика и буџета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Родна равноправност је предуслов развоја и кључ за решавање највећих развојних изазова пред којима је Република Србија. Институционални оквир и активност која се одвија у оквиру институција препознати су као битна претпоставка за предузимање мера усмерених ка превазилажењу родног јаза и унапређењу родне равноправности још давне 1995. године у Пекиншкој декларацији и Платформи за акцију и опстају као још актуелан циљ.</w:t>
      </w:r>
      <w:r w:rsidRPr="00EF008E">
        <w:rPr>
          <w:rFonts w:ascii="Arial" w:hAnsi="Arial" w:cs="Arial"/>
          <w:color w:val="000000"/>
          <w:sz w:val="22"/>
          <w:szCs w:val="22"/>
          <w:vertAlign w:val="superscript"/>
          <w:lang w:val="sr-Cyrl-RS"/>
        </w:rPr>
        <w:t>869</w:t>
      </w:r>
      <w:r w:rsidRPr="00EF008E">
        <w:rPr>
          <w:rFonts w:ascii="Arial" w:hAnsi="Arial" w:cs="Arial"/>
          <w:color w:val="000000"/>
          <w:sz w:val="22"/>
          <w:szCs w:val="22"/>
          <w:lang w:val="sr-Cyrl-RS"/>
        </w:rPr>
        <w:t xml:space="preserve"> За ова питања релевантан водич је Агенда 2030 циљ 16, (мир, правда и снажније институције) потциљеви 16.6 (развити делотворне, одговорне и транспарентне институције на свим нивоима) и 16.7 (осигурати одговорно, инклузивно, партиципативно и репрезентативно доношење одлука на свим нивоима) потциљ 16 б (промовисати и спроводити недискриминаторне законе и политике ради постизања одрживог развоја).</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5.4.1. Институционални механизми РР</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Једна од важних претпоставки за одвијање активности на унапређењу родне равноправности је не само заступљеност жена у институцијама јавне власти, већ и постојање посебних институционалних облика деловања у оквиру организације власти на свим нивоима. То је претпоставка да се у институцијама, кроз деловање ових посебних механизама обезбеди не само учешће него и утицај жена на одлучивање, креирање и примену јавних политика, значајних за родну равноправност и унапређење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Вишегодишња искуства и проблеми са којима су се у свом раду сусретали механизми за родну равноправност сабрани су у бројним анализама и истраживањима Повереника за заштиту равноправности, Заштитника грађана, женских ОЦД, експерата и експерткиња</w:t>
      </w:r>
      <w:r w:rsidRPr="00EF008E">
        <w:rPr>
          <w:rFonts w:ascii="Arial" w:hAnsi="Arial" w:cs="Arial"/>
          <w:color w:val="000000"/>
          <w:sz w:val="22"/>
          <w:szCs w:val="22"/>
          <w:vertAlign w:val="superscript"/>
          <w:lang w:val="sr-Cyrl-RS"/>
        </w:rPr>
        <w:t>870</w:t>
      </w:r>
      <w:r w:rsidRPr="00EF008E">
        <w:rPr>
          <w:rFonts w:ascii="Arial" w:hAnsi="Arial" w:cs="Arial"/>
          <w:color w:val="000000"/>
          <w:sz w:val="22"/>
          <w:szCs w:val="22"/>
          <w:lang w:val="sr-Cyrl-RS"/>
        </w:rPr>
        <w:t>, и у више пута понављаним препорукама CEDAW комитета.</w:t>
      </w:r>
      <w:r w:rsidRPr="00EF008E">
        <w:rPr>
          <w:rFonts w:ascii="Arial" w:hAnsi="Arial" w:cs="Arial"/>
          <w:color w:val="000000"/>
          <w:sz w:val="22"/>
          <w:szCs w:val="22"/>
          <w:vertAlign w:val="superscript"/>
          <w:lang w:val="sr-Cyrl-RS"/>
        </w:rPr>
        <w:t>871</w:t>
      </w:r>
      <w:r w:rsidRPr="00EF008E">
        <w:rPr>
          <w:rFonts w:ascii="Arial" w:hAnsi="Arial" w:cs="Arial"/>
          <w:color w:val="000000"/>
          <w:sz w:val="22"/>
          <w:szCs w:val="22"/>
          <w:lang w:val="sr-Cyrl-RS"/>
        </w:rPr>
        <w:t xml:space="preserve"> Генерално посматрано, као кључни проблеми са којима су се сусретали у свом раду механизми РР идентификовани су: поднормираност и нестабилан статус у структури органа јавне власти, нејасно или непотпуно дефинисане надлежности и одговорности, изостанак системског повезивања и координирања активности, мали број запослених, који често ове послове обављају уз неки други посао, недовољан ниво њихове родне освешћености и знања о родној равноправности, нестабилни извори финансирања често ослоњени на донаторска средства, оскудни резултати и тешкоће у праћењу стања, недостатак процедура уродњавања закона и стратегија као и квантитативних и квалитативних показатеља учинка активности. Механизми РР су са мање или више (не)успеха показали виталност јер су и у таквим околностима успели да учине барем мале кораке на унапређењу родне равноправности о чему сведочи индекс родне равноправности.</w:t>
      </w:r>
      <w:r w:rsidRPr="00EF008E">
        <w:rPr>
          <w:rFonts w:ascii="Arial" w:hAnsi="Arial" w:cs="Arial"/>
          <w:color w:val="000000"/>
          <w:sz w:val="22"/>
          <w:szCs w:val="22"/>
          <w:vertAlign w:val="superscript"/>
          <w:lang w:val="sr-Cyrl-RS"/>
        </w:rPr>
        <w:t>872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Законско регулисање механизама за родну равноправност успоставља нормативни оквир за стабилнију позицију ових механизама у структури органа јавне власти. Ефекти нових законских решења се у овом кратком периоду не могу сагледати, а за ефикасну примену биће потребно хитно усвајање пратећих прописа за примену закона. Национална стратегија за родну равноправност је свакако један од инструмената који може убрзати примену Закона о родној равноправности и тако унапредити рад механизама за родну равноправност. Поред тога, неопходно је континуирано организовати систематске обуке за родно освешћивање и подизање капацитета и знања о родној равноправности, родним стереотипима, предрасудама и начину њиховог превазилажења за све актере који раде на унапређењу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Механизми РР у представничким телима. Механизми РР формирани су у скупштинама као непосредно бираним представничким телима грађана и грађанки, у којима се одлучује о јавним политикама значајним за родну равноправност. У Народној скупштини формиран је и делује Одбор за људска и мањинска права и равноправност полова,</w:t>
      </w:r>
      <w:r w:rsidRPr="00EF008E">
        <w:rPr>
          <w:rFonts w:ascii="Arial" w:hAnsi="Arial" w:cs="Arial"/>
          <w:color w:val="000000"/>
          <w:sz w:val="22"/>
          <w:szCs w:val="22"/>
          <w:vertAlign w:val="superscript"/>
          <w:lang w:val="sr-Cyrl-RS"/>
        </w:rPr>
        <w:t>873</w:t>
      </w:r>
      <w:r w:rsidRPr="00EF008E">
        <w:rPr>
          <w:rFonts w:ascii="Arial" w:hAnsi="Arial" w:cs="Arial"/>
          <w:color w:val="000000"/>
          <w:sz w:val="22"/>
          <w:szCs w:val="22"/>
          <w:lang w:val="sr-Cyrl-RS"/>
        </w:rPr>
        <w:t xml:space="preserve"> а у Скупштини АПВ Одбор за равноправност полова.</w:t>
      </w:r>
      <w:r w:rsidRPr="00EF008E">
        <w:rPr>
          <w:rFonts w:ascii="Arial" w:hAnsi="Arial" w:cs="Arial"/>
          <w:color w:val="000000"/>
          <w:sz w:val="22"/>
          <w:szCs w:val="22"/>
          <w:vertAlign w:val="superscript"/>
          <w:lang w:val="sr-Cyrl-RS"/>
        </w:rPr>
        <w:t>874</w:t>
      </w:r>
      <w:r w:rsidRPr="00EF008E">
        <w:rPr>
          <w:rFonts w:ascii="Arial" w:hAnsi="Arial" w:cs="Arial"/>
          <w:color w:val="000000"/>
          <w:sz w:val="22"/>
          <w:szCs w:val="22"/>
          <w:lang w:val="sr-Cyrl-RS"/>
        </w:rPr>
        <w:t xml:space="preserve"> Примена квота за мање заступљени пол резултирала је формирањем женских парламентарних и одборничких мрежа</w:t>
      </w:r>
      <w:r w:rsidRPr="00EF008E">
        <w:rPr>
          <w:rFonts w:ascii="Arial" w:hAnsi="Arial" w:cs="Arial"/>
          <w:color w:val="000000"/>
          <w:sz w:val="22"/>
          <w:szCs w:val="22"/>
          <w:vertAlign w:val="superscript"/>
          <w:lang w:val="sr-Cyrl-RS"/>
        </w:rPr>
        <w:t>875</w:t>
      </w:r>
      <w:r w:rsidRPr="00EF008E">
        <w:rPr>
          <w:rFonts w:ascii="Arial" w:hAnsi="Arial" w:cs="Arial"/>
          <w:color w:val="000000"/>
          <w:sz w:val="22"/>
          <w:szCs w:val="22"/>
          <w:lang w:val="sr-Cyrl-RS"/>
        </w:rPr>
        <w:t xml:space="preserve"> као једног специфичног неформалног, али признатог облика деловања посланица и одборница из различитих </w:t>
      </w:r>
      <w:r w:rsidRPr="00EF008E">
        <w:rPr>
          <w:rFonts w:ascii="Arial" w:hAnsi="Arial" w:cs="Arial"/>
          <w:color w:val="000000"/>
          <w:sz w:val="22"/>
          <w:szCs w:val="22"/>
          <w:lang w:val="sr-Cyrl-RS"/>
        </w:rPr>
        <w:tab/>
        <w:t>и женске одборничке мреже у скупштинама ЈЛС.</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политичких странака на питањима значајним за родну равноправност.</w:t>
      </w:r>
      <w:r w:rsidRPr="00EF008E">
        <w:rPr>
          <w:rFonts w:ascii="Arial" w:hAnsi="Arial" w:cs="Arial"/>
          <w:color w:val="000000"/>
          <w:sz w:val="22"/>
          <w:szCs w:val="22"/>
          <w:vertAlign w:val="superscript"/>
          <w:lang w:val="sr-Cyrl-RS"/>
        </w:rPr>
        <w:t>876</w:t>
      </w:r>
      <w:r w:rsidRPr="00EF008E">
        <w:rPr>
          <w:rFonts w:ascii="Arial" w:hAnsi="Arial" w:cs="Arial"/>
          <w:color w:val="000000"/>
          <w:sz w:val="22"/>
          <w:szCs w:val="22"/>
          <w:lang w:val="sr-Cyrl-RS"/>
        </w:rPr>
        <w:t xml:space="preserve"> У Скупштини АПВ образован је Одбор за родну равноправност, као стално радно тело.</w:t>
      </w:r>
      <w:r w:rsidRPr="00EF008E">
        <w:rPr>
          <w:rFonts w:ascii="Arial" w:hAnsi="Arial" w:cs="Arial"/>
          <w:color w:val="000000"/>
          <w:sz w:val="22"/>
          <w:szCs w:val="22"/>
          <w:vertAlign w:val="superscript"/>
          <w:lang w:val="sr-Cyrl-RS"/>
        </w:rPr>
        <w:t>877</w:t>
      </w:r>
      <w:r w:rsidRPr="00EF008E">
        <w:rPr>
          <w:rFonts w:ascii="Arial" w:hAnsi="Arial" w:cs="Arial"/>
          <w:color w:val="000000"/>
          <w:sz w:val="22"/>
          <w:szCs w:val="22"/>
          <w:lang w:val="sr-Cyrl-RS"/>
        </w:rPr>
        <w:t xml:space="preserve"> У ЈСЛ се образује комисија као стално радно тело скупштине. Новине у Закону о родној равноправности односе се и на механизме родне равноправности, а законским решењима отклањају се уочене нормативне слабости везане за њихов статус, надлежности и активности.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Механизми РР у органима извршне власти. У извршној власти чије су надлежности везане за креирање, предлагање, праћење и примену јавних политика, формирани и делују механизми за РР. У оквиру Владе то је Координационо тело за родну равноправност</w:t>
      </w:r>
      <w:r w:rsidRPr="00EF008E">
        <w:rPr>
          <w:rFonts w:ascii="Arial" w:hAnsi="Arial" w:cs="Arial"/>
          <w:color w:val="000000"/>
          <w:sz w:val="22"/>
          <w:szCs w:val="22"/>
          <w:vertAlign w:val="superscript"/>
          <w:lang w:val="sr-Cyrl-RS"/>
        </w:rPr>
        <w:t>878</w:t>
      </w:r>
      <w:r w:rsidRPr="00EF008E">
        <w:rPr>
          <w:rFonts w:ascii="Arial" w:hAnsi="Arial" w:cs="Arial"/>
          <w:color w:val="000000"/>
          <w:sz w:val="22"/>
          <w:szCs w:val="22"/>
          <w:lang w:val="sr-Cyrl-RS"/>
        </w:rPr>
        <w:t xml:space="preserve"> на чијем челу је потпредседница Владе, као радно тело које на хоризонталној и вертикалној равни координира активности на остваривању родне равноправности. За мултисекторску природу родне равноправности од суштинске важности је међуресорна координација, као и координација различитих актера на свим нивоима власти приликом креирања, предлагања, праћења, непосредног учешћа у примени јавних политика и одговорности за њихово вођење. Формиран је и Савет за родну равноправност као саветодавно тело Владе. Све до усвајања Закона о родној равноправности, КТРР и Савет за родну равноправност формирани су прописом Владе, што је слабило њихов положај, јер је давало могућност да се након избора и формирања нове Владе ова тела на једноставан начин укину и престану са радом. Вишегодишње залагање да се механизми РР који се образују у оквиру извршне власти позитивирају законом и тако обезбеди минимум сигурности за њихов статус нашло је место у Закону о родној равноправности</w:t>
      </w:r>
      <w:r w:rsidRPr="00EF008E">
        <w:rPr>
          <w:rFonts w:ascii="Arial" w:hAnsi="Arial" w:cs="Arial"/>
          <w:color w:val="000000"/>
          <w:sz w:val="22"/>
          <w:szCs w:val="22"/>
          <w:vertAlign w:val="superscript"/>
          <w:lang w:val="sr-Cyrl-RS"/>
        </w:rPr>
        <w:t>879</w:t>
      </w:r>
      <w:r w:rsidRPr="00EF008E">
        <w:rPr>
          <w:rFonts w:ascii="Arial" w:hAnsi="Arial" w:cs="Arial"/>
          <w:color w:val="000000"/>
          <w:sz w:val="22"/>
          <w:szCs w:val="22"/>
          <w:lang w:val="sr-Cyrl-RS"/>
        </w:rPr>
        <w:t>, који прописује да активности везане за креирање, спровођење, праћење и унапређење политика родне равноправности обављају: Влада, министарства и други органи државне управе у чијем су делокругу области у којима се одређују и спроводе опште и посебне мере за остваривање и унапређење родне равноправности, Координационо тело за родну равноправност, органи аутономне покрајине и јединица локалне самоуправе, као и други органи јавне власти, организације и установе у складу са својим овлашћењима учествују у спречавању дискриминације на основу пола односно рода и спречавању родно заснованог насиља. Овај приступ законодавца обезбеђује основне нормативне претпоставке које омогућују стабилан статус механизама родне равноправности у систему организације власти на свим нивоима и интегрисано деловање свих органа јавне власти на унапређењу родне равноправности. То је велики искорак важан за родну равноправност и основни, али не и једини предуслов (потребан али не и довољан услов) да се у овој мултисекторској области оствари синхронизација и координација деловања различитих актера јавне власти и постигне жељени синергијски ефекат. Прецизиране су обавезе Владе у области родне равноправности</w:t>
      </w:r>
      <w:r w:rsidRPr="00EF008E">
        <w:rPr>
          <w:rFonts w:ascii="Arial" w:hAnsi="Arial" w:cs="Arial"/>
          <w:color w:val="000000"/>
          <w:sz w:val="22"/>
          <w:szCs w:val="22"/>
          <w:vertAlign w:val="superscript"/>
          <w:lang w:val="sr-Cyrl-RS"/>
        </w:rPr>
        <w:t>880</w:t>
      </w:r>
      <w:r w:rsidRPr="00EF008E">
        <w:rPr>
          <w:rFonts w:ascii="Arial" w:hAnsi="Arial" w:cs="Arial"/>
          <w:color w:val="000000"/>
          <w:sz w:val="22"/>
          <w:szCs w:val="22"/>
          <w:lang w:val="sr-Cyrl-RS"/>
        </w:rPr>
        <w:t>, укључујући и формирање КТРР са задатком да усмерава и координира рад државних органа у вези са родном равноправношћу и разматра сва питања везана за унапређење родне равноправности</w:t>
      </w:r>
      <w:r w:rsidRPr="00EF008E">
        <w:rPr>
          <w:rFonts w:ascii="Arial" w:hAnsi="Arial" w:cs="Arial"/>
          <w:color w:val="000000"/>
          <w:sz w:val="22"/>
          <w:szCs w:val="22"/>
          <w:vertAlign w:val="superscript"/>
          <w:lang w:val="sr-Cyrl-RS"/>
        </w:rPr>
        <w:t>881</w:t>
      </w:r>
      <w:r w:rsidRPr="00EF008E">
        <w:rPr>
          <w:rFonts w:ascii="Arial" w:hAnsi="Arial" w:cs="Arial"/>
          <w:color w:val="000000"/>
          <w:sz w:val="22"/>
          <w:szCs w:val="22"/>
          <w:lang w:val="sr-Cyrl-RS"/>
        </w:rPr>
        <w:t>, као и Савета за родну равноправност, као саветодавног тела Владе у које је укључено цивилно друштво у најширем обиму.</w:t>
      </w:r>
      <w:r w:rsidRPr="00EF008E">
        <w:rPr>
          <w:rFonts w:ascii="Arial" w:hAnsi="Arial" w:cs="Arial"/>
          <w:color w:val="000000"/>
          <w:sz w:val="22"/>
          <w:szCs w:val="22"/>
          <w:vertAlign w:val="superscript"/>
          <w:lang w:val="sr-Cyrl-RS"/>
        </w:rPr>
        <w:t>882</w:t>
      </w:r>
      <w:r w:rsidRPr="00EF008E">
        <w:rPr>
          <w:rFonts w:ascii="Arial" w:hAnsi="Arial" w:cs="Arial"/>
          <w:color w:val="000000"/>
          <w:sz w:val="22"/>
          <w:szCs w:val="22"/>
          <w:lang w:val="sr-Cyrl-RS"/>
        </w:rPr>
        <w:t xml:space="preserve"> Примена ових решења у пракси захтева да се слабости и недостаци који су и више наврата истицани у истраживањима и извештајима о стању родне равноправности</w:t>
      </w:r>
      <w:r w:rsidRPr="00EF008E">
        <w:rPr>
          <w:rFonts w:ascii="Arial" w:hAnsi="Arial" w:cs="Arial"/>
          <w:color w:val="000000"/>
          <w:sz w:val="22"/>
          <w:szCs w:val="22"/>
          <w:vertAlign w:val="superscript"/>
          <w:lang w:val="sr-Cyrl-RS"/>
        </w:rPr>
        <w:t>883</w:t>
      </w:r>
      <w:r w:rsidRPr="00EF008E">
        <w:rPr>
          <w:rFonts w:ascii="Arial" w:hAnsi="Arial" w:cs="Arial"/>
          <w:color w:val="000000"/>
          <w:sz w:val="22"/>
          <w:szCs w:val="22"/>
          <w:lang w:val="sr-Cyrl-RS"/>
        </w:rPr>
        <w:t xml:space="preserve"> као и у препорукама CEDAW комитета</w:t>
      </w:r>
      <w:r w:rsidRPr="00EF008E">
        <w:rPr>
          <w:rFonts w:ascii="Arial" w:hAnsi="Arial" w:cs="Arial"/>
          <w:color w:val="000000"/>
          <w:sz w:val="22"/>
          <w:szCs w:val="22"/>
          <w:vertAlign w:val="superscript"/>
          <w:lang w:val="sr-Cyrl-RS"/>
        </w:rPr>
        <w:t>884</w:t>
      </w:r>
      <w:r w:rsidRPr="00EF008E">
        <w:rPr>
          <w:rFonts w:ascii="Arial" w:hAnsi="Arial" w:cs="Arial"/>
          <w:color w:val="000000"/>
          <w:sz w:val="22"/>
          <w:szCs w:val="22"/>
          <w:lang w:val="sr-Cyrl-RS"/>
        </w:rPr>
        <w:t xml:space="preserve"> (нејасан мандат и надлежности, недостатак кадрова, слаба техничка и логистичка подршка, изостанак или симболична средства за финансирање активности и ослонац на донаторску помоћ и др.) отклоне и што пре усвоје пратећи прописи за примену Закона о родној равноправности којима ће се регулисати састав и начин избора ових органа, њихове надлежности, начин рада и финансирање активности, као и да се обезбеди довољан број квалификованих кадрова који ће радити у овим телима и неопходна техничка и логистичка подршка за њихов рад.</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Механизми РР у органима управе. Министарства и сви други органи јавне власти, приликом креирања, спровођења, праћења и унапређења секторских политика, закона и подзаконских прописа и кроз активности у областима за које су надлежни, обавезни су да интегришу циљеве родне равноправности у свим областима, а посебно у областима у којима спроводе опште и посебне мере.</w:t>
      </w:r>
      <w:r w:rsidRPr="00EF008E">
        <w:rPr>
          <w:rFonts w:ascii="Arial" w:hAnsi="Arial" w:cs="Arial"/>
          <w:color w:val="000000"/>
          <w:sz w:val="22"/>
          <w:szCs w:val="22"/>
          <w:vertAlign w:val="superscript"/>
          <w:lang w:val="sr-Cyrl-RS"/>
        </w:rPr>
        <w:t>885</w:t>
      </w:r>
      <w:r w:rsidRPr="00EF008E">
        <w:rPr>
          <w:rFonts w:ascii="Arial" w:hAnsi="Arial" w:cs="Arial"/>
          <w:color w:val="000000"/>
          <w:sz w:val="22"/>
          <w:szCs w:val="22"/>
          <w:lang w:val="sr-Cyrl-RS"/>
        </w:rPr>
        <w:t xml:space="preserve"> Овом одредбом постављен је законски основ за активност и обавезе свих органа јавне власти да родну равноправност систематски и на организован начин интегришу у јавне политике. Министарство за људска и мањинска права и друштвени дијалог, које је надлежно за родну равноправност</w:t>
      </w:r>
      <w:r w:rsidRPr="00EF008E">
        <w:rPr>
          <w:rFonts w:ascii="Arial" w:hAnsi="Arial" w:cs="Arial"/>
          <w:color w:val="000000"/>
          <w:sz w:val="22"/>
          <w:szCs w:val="22"/>
          <w:vertAlign w:val="superscript"/>
          <w:lang w:val="sr-Cyrl-RS"/>
        </w:rPr>
        <w:t>886</w:t>
      </w:r>
      <w:r w:rsidRPr="00EF008E">
        <w:rPr>
          <w:rFonts w:ascii="Arial" w:hAnsi="Arial" w:cs="Arial"/>
          <w:color w:val="000000"/>
          <w:sz w:val="22"/>
          <w:szCs w:val="22"/>
          <w:lang w:val="sr-Cyrl-RS"/>
        </w:rPr>
        <w:t>, у оквиру кога је формиран Сектор за антидискриминациону политику и унапређење родне равноправности,</w:t>
      </w:r>
      <w:r w:rsidRPr="00EF008E">
        <w:rPr>
          <w:rFonts w:ascii="Arial" w:hAnsi="Arial" w:cs="Arial"/>
          <w:color w:val="000000"/>
          <w:sz w:val="22"/>
          <w:szCs w:val="22"/>
          <w:vertAlign w:val="superscript"/>
          <w:lang w:val="sr-Cyrl-RS"/>
        </w:rPr>
        <w:t>887</w:t>
      </w:r>
      <w:r w:rsidRPr="00EF008E">
        <w:rPr>
          <w:rFonts w:ascii="Arial" w:hAnsi="Arial" w:cs="Arial"/>
          <w:color w:val="000000"/>
          <w:sz w:val="22"/>
          <w:szCs w:val="22"/>
          <w:lang w:val="sr-Cyrl-RS"/>
        </w:rPr>
        <w:t xml:space="preserve"> није једини актер у овој области за коју је одговорно, већ подршку добија од свих других министарстава и органа јавне власти. Примена ове законске одредбе налагала би да се прописима ближе регулишу процедуре комуникације и међусобне сарадње, прецизирају мере и конкретне активности на унапређењу родне равноправности у контексту Агенде 2030, као и њихови носиоци. Поред тога, у оквиру министарстава постоје и други облици организовања и деловања жена као својеврсни модели подршке, промоције и охрабрења жена (на пример: Мреже жена у полицији Републике Србије, саветница за родна питања и </w:t>
      </w:r>
      <w:r>
        <w:rPr>
          <w:rFonts w:ascii="Arial" w:hAnsi="Arial" w:cs="Arial"/>
          <w:color w:val="000000"/>
          <w:sz w:val="22"/>
          <w:szCs w:val="22"/>
          <w:lang w:val="sr-Cyrl-RS"/>
        </w:rPr>
        <w:t>"</w:t>
      </w:r>
      <w:r w:rsidRPr="00EF008E">
        <w:rPr>
          <w:rFonts w:ascii="Arial" w:hAnsi="Arial" w:cs="Arial"/>
          <w:color w:val="000000"/>
          <w:sz w:val="22"/>
          <w:szCs w:val="22"/>
          <w:lang w:val="sr-Cyrl-RS"/>
        </w:rPr>
        <w:t>особе од поверења</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у МО и ВС).</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Механизми РР у аутономној покрајини. По први пут законом су прописане обавезе органа АПВ да воде политику једнаких могућности у циљу унапређења родне равноправности и у складу са надлежностима аутономне покрајине, образују механизме РР и регулишу њихов састав, начин избора, надлежности и начин рада у складу са надлежностима аутономне покрајине.</w:t>
      </w:r>
      <w:r w:rsidRPr="00EF008E">
        <w:rPr>
          <w:rFonts w:ascii="Arial" w:hAnsi="Arial" w:cs="Arial"/>
          <w:color w:val="000000"/>
          <w:sz w:val="22"/>
          <w:szCs w:val="22"/>
          <w:vertAlign w:val="superscript"/>
          <w:lang w:val="sr-Cyrl-RS"/>
        </w:rPr>
        <w:t>888</w:t>
      </w:r>
      <w:r w:rsidRPr="00EF008E">
        <w:rPr>
          <w:rFonts w:ascii="Arial" w:hAnsi="Arial" w:cs="Arial"/>
          <w:color w:val="000000"/>
          <w:sz w:val="22"/>
          <w:szCs w:val="22"/>
          <w:lang w:val="sr-Cyrl-RS"/>
        </w:rPr>
        <w:t xml:space="preserve"> Закон о родној равноправности прописује да се у скупштини аутономне покрајине образује стално радно тело за родну равноправност. Покрајинска влада образује Координационо тело за родну равноправност Покрајинске владе, које координира и усклађује ставове органа и организација покрајинске управе, других покрајинских органа и служби у остваривању политике једнаких могућности и унапређењу родне равноправности, као и Савет за родну равноправност, као саветодавно тело Покрајинске владе. У АПВ родна равноправност је у делокругу Покрајинског секретаријата за социјалну политику, демографију и равноправност полова,</w:t>
      </w:r>
      <w:r w:rsidRPr="00EF008E">
        <w:rPr>
          <w:rFonts w:ascii="Arial" w:hAnsi="Arial" w:cs="Arial"/>
          <w:color w:val="000000"/>
          <w:sz w:val="22"/>
          <w:szCs w:val="22"/>
          <w:vertAlign w:val="superscript"/>
          <w:lang w:val="sr-Cyrl-RS"/>
        </w:rPr>
        <w:t>889</w:t>
      </w:r>
      <w:r w:rsidRPr="00EF008E">
        <w:rPr>
          <w:rFonts w:ascii="Arial" w:hAnsi="Arial" w:cs="Arial"/>
          <w:color w:val="000000"/>
          <w:sz w:val="22"/>
          <w:szCs w:val="22"/>
          <w:lang w:val="sr-Cyrl-RS"/>
        </w:rPr>
        <w:t xml:space="preserve"> али не постоји стално радно тело Покрајинске владе које би координирало активности у области родне равноправности па би га требало формирати и регулисати састав и начин избора, надлежности, начин рада и финансирање активности и обезбедити довољан број квалификованих кадрова и неопходну техничку и логистичку подршку за рад и активности. Закон о родној равноправности даје могућност да се образују и друга тела која би се бавила родном равноправношћу. Тела за родну равноправност формирана у аутономној покрајини сарађују са свим другим телима за родну равноправност у питањима значајним за родну равноправност.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Механизми РР у ЈЛС. У ЈЛС се такође формирају различита тела за родну равноправност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комисија, као стално радно тело у скупштини ЈЛС и савет за родну равноправност, који се образује у органима управе ЈЛС. Закон о родној равноправности ближе регулише основне надлежности ових механизама, а актима скупштине ЈЛС ближе се регулише састав, начин избора чланова/ца, надлежности и начин рада ових тела.</w:t>
      </w:r>
      <w:r w:rsidRPr="00EF008E">
        <w:rPr>
          <w:rFonts w:ascii="Arial" w:hAnsi="Arial" w:cs="Arial"/>
          <w:color w:val="000000"/>
          <w:sz w:val="22"/>
          <w:szCs w:val="22"/>
          <w:vertAlign w:val="superscript"/>
          <w:lang w:val="sr-Cyrl-RS"/>
        </w:rPr>
        <w:t>890</w:t>
      </w:r>
      <w:r w:rsidRPr="00EF008E">
        <w:rPr>
          <w:rFonts w:ascii="Arial" w:hAnsi="Arial" w:cs="Arial"/>
          <w:color w:val="000000"/>
          <w:sz w:val="22"/>
          <w:szCs w:val="22"/>
          <w:lang w:val="sr-Cyrl-RS"/>
        </w:rPr>
        <w:t xml:space="preserve"> У органима локалне управе постоје и лица задужена за родну равноправност.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Механизми РР у органима јавне власти. У свим органима јавне власти који имају више од 50 запослених или радно ангажованих лица, одређује се, из реда запослених, лице задужено за родну равноправност, чије надлежности прописује Закон о родној равноправности за која се захтева и да буде обучено за обављање послова везаних за родну равноправност.</w:t>
      </w:r>
      <w:r w:rsidRPr="00EF008E">
        <w:rPr>
          <w:rFonts w:ascii="Arial" w:hAnsi="Arial" w:cs="Arial"/>
          <w:color w:val="000000"/>
          <w:sz w:val="22"/>
          <w:szCs w:val="22"/>
          <w:vertAlign w:val="superscript"/>
          <w:lang w:val="sr-Cyrl-RS"/>
        </w:rPr>
        <w:t>891</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861 Група аутора, Оп. цит. 2020, страна 45.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862 Посебан извештај о дискриминацији старијих грађана, Повереник за заштиту равноправности, 2021, страна 61, доступно на: http://ravnopravnost.gov.rs/posebni-izvestaji/,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863 Исто, страна 67.</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864 Исто, стр. 62, 64, 65.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865 Истраживање о положају старијих жена, Повереник за заштиту равноправности, 2017. стр. 33, 34. доступно на: http://ravnopravnost.gov.rs/wp-content/uploads/2019/08/Polozaj-starijih-zena-u-Srbiji-10.4.2019.-digitalna-verzija.pdf, приступ: 31.5.2021.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866 CEDAW комитет, Закључна запажања у вези са Четвртим периодичном извештајем Републике Србије, доступно на: http://socijalnoukljucivanje.gov.rs/rs/zakljucna-zapazanja-cedaw-u-vezi-sa-cetvrtim-periodicnim-izvestajem-o-primeni-konvencije-o-eliminisanju-svih-oblika-diskriminacije-zena/, приступ: 15.6.2021.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867 Исто, Пара 44.</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868 Исто, Пара 48.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869 Пекиншка декларација и платформа за акцију (поглавље пет, А, Б. и Ц), Пекинг+15 и Пекинг+25.</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870</w:t>
      </w:r>
      <w:r w:rsidRPr="00EF008E">
        <w:rPr>
          <w:rFonts w:ascii="Arial" w:hAnsi="Arial" w:cs="Arial"/>
          <w:i/>
          <w:color w:val="000000"/>
          <w:sz w:val="22"/>
          <w:szCs w:val="22"/>
          <w:lang w:val="sr-Cyrl-RS"/>
        </w:rPr>
        <w:tab/>
        <w:t xml:space="preserve">На пример, Родна равноправност у јединицама локалне самоуправе, (2017. Повереник за равноправност, доступно на: http://ravnopravnost.gov.rs/rs/rodna-ravnopravnost-u-jedinicama-lokalne-samouprave-presek-stanja-u-sprovodenju-preporuke-mera-jedinicama-lokalne-samouprave-za-ostvarivanje-rodne-ravnopravnosti/; Посебан извештај заштитника грађана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заступљеност жена на местима одлучивања и позицијама и активностима локалних механизама у ЈСЛ, (2018) доступно на: https://www.ombudsman.rs; Први извештај ЖПРС и приоритети за 2017</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018, доступно на: http://library.fes.de/pdf-files/bueros/belgrad/12991.pdf и Други извештај о напретку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2016</w:t>
      </w:r>
      <w:r>
        <w:rPr>
          <w:rFonts w:ascii="Arial" w:hAnsi="Arial" w:cs="Arial"/>
          <w:i/>
          <w:color w:val="000000"/>
          <w:sz w:val="22"/>
          <w:szCs w:val="22"/>
          <w:lang w:val="sr-Cyrl-RS"/>
        </w:rPr>
        <w:t>-</w:t>
      </w:r>
      <w:r w:rsidRPr="00EF008E">
        <w:rPr>
          <w:rFonts w:ascii="Arial" w:hAnsi="Arial" w:cs="Arial"/>
          <w:i/>
          <w:color w:val="000000"/>
          <w:sz w:val="22"/>
          <w:szCs w:val="22"/>
          <w:lang w:val="sr-Cyrl-RS"/>
        </w:rPr>
        <w:t>2020, доступно на: http://library.fes.de/pdf-files/bueros/belgrad/12991.pdf приступ 28. 8. 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871 Закључна разматрања и препоруке у вези са четвртим периодичним извештајем CEDAW/C/SRB/CO/4, од 4. 3 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872 Индекс родне равноправности према коме је Србија на 39. од 153. земље а на 41 месту у области политичке укључености. У односу на земње у региону боље раниране су Албанија (20 место) и Словенија 36. место, Док су иза Србије: Хрватска 60. место, Босна и Херцеговина 69 место, Северна Македонија 70 место и Црна Гора 71. место.</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ab/>
        <w:t>доступно на: https://www.rodnaravnopravnost.gov.rs/sites/default/files/2018-12/Indeks%20rodne%20ravnopravnosti%202018_SRP.PDF приступ 18.6.2021.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873</w:t>
      </w:r>
      <w:r w:rsidRPr="00EF008E">
        <w:rPr>
          <w:rFonts w:ascii="Arial" w:hAnsi="Arial" w:cs="Arial"/>
          <w:i/>
          <w:color w:val="000000"/>
          <w:sz w:val="22"/>
          <w:szCs w:val="22"/>
          <w:lang w:val="sr-Cyrl-RS"/>
        </w:rPr>
        <w:tab/>
        <w:t>Доступно на: http://www.parlament.gov.rs/narodna-skupstina-/sastav/radna-tela/odbori.101.895.html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874 Доступно на. https://www.skupstinavojvodine.gov.rs/Strana.aspx?s=odbori&amp;j=SRL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875</w:t>
      </w:r>
      <w:r w:rsidRPr="00EF008E">
        <w:rPr>
          <w:rFonts w:ascii="Arial" w:hAnsi="Arial" w:cs="Arial"/>
          <w:i/>
          <w:color w:val="000000"/>
          <w:sz w:val="22"/>
          <w:szCs w:val="22"/>
          <w:lang w:val="sr-Cyrl-RS"/>
        </w:rPr>
        <w:tab/>
        <w:t>ЖПМ у Народној скупштини (2013) https://zpmsrbija.wordpress.com/, Скупштини АПВ (2016) доступно на: http://www.skupstinavojvodine.gov.rs/Strana.aspx?s=zenskamreza&amp;j=SRL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876 Видети: Жене у парламенту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квота или стварни утицај? Доступно на: http://www.mc.rs/upload/documents/istrazivanje/2014/Zene_u_parlamentu_Samo_kvota_ili_stvarni_uticaj.pdf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877 Доступно на. https://www.skupstinavojvodine.gov.rs/Strana.aspx?s=odbori&amp;j=SRL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878</w:t>
      </w:r>
      <w:r w:rsidRPr="00EF008E">
        <w:rPr>
          <w:rFonts w:ascii="Arial" w:hAnsi="Arial" w:cs="Arial"/>
          <w:i/>
          <w:color w:val="000000"/>
          <w:sz w:val="22"/>
          <w:szCs w:val="22"/>
          <w:lang w:val="sr-Cyrl-RS"/>
        </w:rPr>
        <w:tab/>
        <w:t>Доступно на: https://www.mgsi.gov.rs/lat/dokumenti/odluka-o-formiranju-koordinacionog-tela-za-rodnu-ravnopravnost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879 Члан 59.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880 Члан 60.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881 Члан 60. став 1. тачка 5.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882 Члан 60. став 1. тачка 5.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883 На пример, Извештај КТРР Владе РС за 2019. годину. Доступно на: https://www.rodnaravnopravnost.gov.rs/sites/default/files/2021-02/Izvestaj%20o%20radu%20KTRR%202019.pdf приступ 17.6.2021; први извештај ЖПРС за 2017 и 2018. годину доступно на https://library.fes.de/pdf-files/bueros/belgrad/12991.pdf ; Демократија и људска права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ЖПРС, други извештај о напретку, доступно на: https://docplayer.rs/210758908-Izveštaj-o-napretku-ii.htm приступ 17.6.2021.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884 Закључна разматрања и препоруке у вези са четвртим периодичним извештајем CEDAW/C/SRB/CO/4, од 4.3.2019.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885 Члан 61.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886 Члан 12. Закона о министарствима,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128/20.</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887 Доступно на: https://www.minljmpdd.gov.rs/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888 Члан 62.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889 Доступно на: http://www.socijalnapolitika.vojvodina.gov.rs/ приступ 6.6.2021.</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890 Члан 63. став 4.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891 Члан 64. Закона о родној равноправности.</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5.4.2 Родно осетљива статистика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Родно осетљива статистика није дискретно или изоловано поље. Она пресеца традиционалне статистичке области, као што су економија, пољопривреда, здравство или запошљавање, и све друге области како би се истражиле разлике које постоје између жена и мушкарца, девојчица и дечака у друштву. Такве информације су од виталног значаја за доношење одлука ка достизању родне равноправности. Идентификовање потребних података како би се разумели проблеми и идентификовали циљеви повезани са родним питањима од суштинског је значаја за производњу родне статистике. Стога, приступ оријентисан ка јавним политикама, а не једноставно рашчлањивање података према полу је у основи родно осетљивe статистикe</w:t>
      </w:r>
      <w:r w:rsidRPr="00EF008E">
        <w:rPr>
          <w:rFonts w:ascii="Arial" w:hAnsi="Arial" w:cs="Arial"/>
          <w:color w:val="000000"/>
          <w:sz w:val="22"/>
          <w:szCs w:val="22"/>
          <w:vertAlign w:val="superscript"/>
          <w:lang w:val="sr-Cyrl-RS"/>
        </w:rPr>
        <w:t>892</w:t>
      </w:r>
      <w:r w:rsidRPr="00EF008E">
        <w:rPr>
          <w:rFonts w:ascii="Arial" w:hAnsi="Arial" w:cs="Arial"/>
          <w:color w:val="000000"/>
          <w:sz w:val="22"/>
          <w:szCs w:val="22"/>
          <w:lang w:val="sr-Cyrl-RS"/>
        </w:rPr>
        <w:t>.</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Она је важан је алат за целовито, систематско и на подацима засновано праћење стања у области родне равноправности и извештавања о напретку или застојима у тој области и један од инструмената за примену циља 16. потциља 16.б Агенде 2030. Родно сензитивна статистика је и неопходан извор података за креирање индекса родне равноправности као свеобухватног показатеља напретка у области родне равноправности. Јединствен, на прецизним показатељима заснован систем прикупљања, обраде и јавног презентовања података предуслов је да овај алат буде поуздан ослонац за сагледавање стања и предузимање мера у доменима у којима се бележи напредовање, стагнација или назадовање.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Републици Србији од 2005. године РЗС перманентно води и даље унапређује статистику разврстану по полу, а сваке три године ови подаци се публикују и јавно су доступни. Статистика разврстана по полу води се у следећим областима: становништво, здравство, социјална заштита, образовање и наука, запосленост, зараде и пензије, животни стандард, коришћење времена, правосуђе, доношење одлука и међународни индекси. То је значајан ослонац за сагледавање стања у области родне равноправности, а лонгитудинално и праћење стања омогућује да се сагледају трендови у овим областима значајним за родну равноправност, што је посебно значајно не само за извештавање према међународним телима која прате примену међународних стандарда у области родне равноправности, већ и за креирање јавних политика и мера које је неопходно предузети како би се отклониле препреке и застоји, унапредило стање у области родне равноправности и превенирала родно заснована дискриминација.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Република Србија је прва земља која није чланица ЕУ, која је на иницијативу КТРР и СИПРУ, још 2016. године увела коришћење индекса родне равноправности, који омогућава свеобухватно мерење родне равноправности креирано у складу са стандардима и контекстом политике ЕУ са којима се законодавство Републике Србије усклађује у току процеса приступања. То је несумњиво велики искорак јер поставља базичне вредности као параметре на основу којих је могуће мерити и напредак, али и застоје у одређеним временским периодима и омогућује упоредивост стања родне равноправности у Републици Србији са стањем у државама чланицама ЕУ.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Родна статистика не подразумева само разврставање и приказивање већ постојећих података по полу, него и уважавање и укључивање разлика које постоје у свакодневици и изазовима са којима се жене и мушкарци сусрећу у свим сферама друштвеног живота. У родној статистици, која је разврстана само по полу, недостаје препознавање и уважавање разлика у потребама као и проблемима са којима се жене и мушкарци сусрећу. О томе говори и више пута помињан недостатак ове врсте података изнет у одељку Стратегије о оцени стања у различитим областима. Овај недостатак ублажава се, али не и потпуно отклања организовањем и спровођењем посебних истраживања, анализа и извештаја Повереника за заштиту равноправности, Заштитника грађана, женских ОЦД и академске заједнице, поменутих у оцени стања у различитим областима. Стога је нужно целовито сагледати родне аспекте разлика које постоје у свакодневици о изазовима са којима се жене и мушкарци сусрећу, креирати параметре и показатеље који о томе говоре, укључити их у статистичко праћење како би се родна статистика унапредила.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Недостају или су непотпуни подаци који се односе на потребе и проблеме са којима се сусрећу рањиве групе често изложене вишеструкој дисимилацији, што је забележено у оцени стања у свим областима које се прате у Стратегији. Не постоје подаци о тражиоцима и корисницима бесплатне правне помоћи, а нарочито подаци о томе који су разлози због којих се захтева бесплатна правна помоћ.</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Недостају подаци из домена пословне статистике што укључује податке о ММСП разврстане по полу власника. Недостају подаци о банковним рачунима по полу, кредитима, и другим финансијским производима. Поред РЗС ту су и друге институције које прикупљају податке и воде различите регистре, а које потом користи РЗС, па је унапређење система прикупљања података важно да обухвати све релевантне институције које су извори података, као што су на пример Народна банка Србије или Агенција за привредне регистре, али и многе друге.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Статистике које воде различити органи јавне власти често су непотпуне, а агрегатни подаци нису увек лако доступни. За редовне објаве података као на пример просечне нето и бруто зараде податак није разврстан и по полу него мора да се улажу додатни напори у добијање тих података. Затим, на пример, подаци о: фемициду; броју пријављених случајева родно заснованог насиља и насиља према женама разврстаних по облику насиља, полу жртве која је претрпела насиље и полу извршиоца насиља и међусобном односу жртве и извршиоца насиља; броју лица која су извршила насиље у породици, разврстаних по полу и међусобном односу жртве и извршиоца насиља; броју пресуда за родно засновано насиље и насиље према женама разврстаних по полу жртве насиља и полу извршилаца насиља; броју судских спорова који су вођени у вези са дискриминацијом на основу пола и рода, а који су окончани у корист запослених, као и начину поступања по судским одлукама; броју судских спорова; броју пријава запослених и радно ангажованих лица која су изложена узнемиравању, сексуалном узнемиравању или уцењивању или другом поступању које има за последицу дискриминацију на основу пола или рода разврстаних по полу и старосној доби, разврстаних по полу и старосној доби и др.</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Недостатак података или непотпуни подаци, како би могле да се препознају и уваже разлике у погледу потреба и проблема са којима се сусрећу и жене и мушкарци, а који утичу на њихов свакодневни живот, говори да је неопходно унапредити родну статистику и олакшати статистичко праћење напретка у области родне равноправности. Координација ангажмана различитих актера који раде на евидентирању података, синхронизовање активности, јединствен систем евидентирања и праћења, методологија која обезбеђује упоредивост података претпоставка је за успостављање валидних база података што је важан алат за обликовање јавних политика и пројектовање мера које имају за циљ смањење родној јаза и унапређење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Недавно донет Закон о родној равноправности исцрпно регулише родно осетљиве податке које треба прикупљати, изричито прописује да је то обавеза органа јавне власти, послодаваца и тела за родну равноправност, прецизира које податке евидентирају послодавци и органи јавне власти, а које тела за родну равноправност, налаже да се подаци исказују бројчано и процентуално, да не могу садржавати податке о личности и да морају бити ажурни, регулише инструменте за примену и надзор над применом ових одредби као и сет питања релевантних за извештавање о стању родне равноправности међу којима су: годишњи извештаји органа јавне власти, послодаваца и тела за родну равноправност о стању родне равноправности, структура и садржај извештаја и образац за извештавање обавезе политичких странака у вези са извештавањем о родној равноправности обавезе надлежног министарства у вези са извештајима (усвајање пратећих прописа за примену закона, објављивање података на интернет страници министарства и Владе, достављање података РЗС и др.), као и обавезе РЗС да сваке године на својој интернет страници објављује податке, а сваке треће године и у посебној публикацији. Све ове нове обавезе је потребно прецизирати и уредити додатним актима. Законским регулисањем најважнијих питања релевантних за родну статистику и имплементацију ових законских одредби створен је солидан нормативни оквир за унапређење родне статистике. Важан услов за њихову примену је хитно усвајање пратећих прописа као усвајање Националне стратегије за родну равноправност којом треба прописати активности, њихове носиоце и рокове у којима их је нужно реализовати, јер су то нужни и корисни алати за примену нових решења, а ефекте примене законских решења неопходно је континуирано пратити. Подједнако важна је и континуирана обука актера који раде на овим питањима.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Потребно је додатно олакшати приступ родној статистици за појединачне општине, олакшати претраживање и преузимање података те унапредити њихово приказивање, као и повећати обуке у области примене постојећих доступних података и база, а које се недовољно користе за родно одговорно планирање.</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892</w:t>
      </w:r>
      <w:r w:rsidRPr="00EF008E">
        <w:rPr>
          <w:rFonts w:ascii="Arial" w:hAnsi="Arial" w:cs="Arial"/>
          <w:i/>
          <w:color w:val="000000"/>
          <w:sz w:val="22"/>
          <w:szCs w:val="22"/>
          <w:lang w:val="sr-Cyrl-RS"/>
        </w:rPr>
        <w:tab/>
        <w:t>Доступно на: https://unece.org/DAM/stats/publications/Developing_Gender_Statistics.pdf приступ 20.8.2021.</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i/>
          <w:color w:val="000000"/>
          <w:sz w:val="22"/>
          <w:szCs w:val="22"/>
          <w:lang w:val="sr-Cyrl-RS"/>
        </w:rPr>
        <w:t>5.4.3. Родно одговорно буџетирање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Обавеза Родно одговорног буџетирања (РОБ) у Републици Србији уведена је у децембру 2015. године изменама и допунама Закона о буџетском систему (ЗБС) и примењује се поступно од буџета за 2016. годину, а до 2024. године би требало да се у потпуности примени у целокупном буџету на нивоу Републике, аутономне покрајине и ЈЛС. РОБ је прописан и Законом о родној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РОБ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 ЗБС у члану 4. дефинише да су циљеви буџетског система и постизање алокацијске ефикасности која подразумева распоређивање средстава буџета са циљем унапређења родне равноправности. РОБ се примењује на начин што до 31. марта текуће године министар финансија, покрајински секретар за финансије и oрган ЈЛС надлежан за финансије доносе План поступног увођења РОБ-а, у којем се одређује које су обавезе буџетских корисника у поступку планирања, спровођења и извештавања буџета.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Према упутству које издаје надлежни орган за финансије, буџетски корисници су у обавези да прикажу РОБ у оквиру своје програмске структуре буџета. РОБ је алат који осигурава да се у оквиру приоритета који се финансирају дефинишу и родно одговорни циљеви и показатељи успеха у оквиру програмске структуре буџета, којима ће се отклонити родни јаз у различитим областима. Годишњи извештаји о учинку садрже и извештај у учинку по РОБ циљевима и индикаторима. У поступку примене РОБ-а буџетски корисници добијају техничку подршку, а годишњи извештаји о напретку су јавно доступни. Примери добре праксе и на који су начин буџетски корисници допринели унапређењу родне равноправности доступни су у извештајима о напретку и извештајима о учинку.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РОБ на националном и покрајинском нивоу. Од почетка примене континуирано се повећава број буџетских корисника који су започели примену ове обавезе. У буџету за 2020. годину 41 директни буџетски корисник на националном нивоу је испунио своју обавезу. РОБ је примењен у 66 програма, 83 програмске активности и 21 пројекту, а исказан je кроз 86 циљева и 232 родно осетљива индикатора. У буџету за 2020. на нивоу аутономне покрајине 25 директних буџетских корисника је применило РОБ у 41 програму, 70 програмских активности, два пројекта кроз 116 родно одговорна циља и 288 родно осетљива индикатора. Процес примене РОБ-а тече континуирано, координира се из Министарства финансија и Покрајинског секретаријата за финансије, а у сарадњи са институционалним механизмима и уз додатну експертску подршку.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Број буџетских корисника и примена по годинама приказана је у следећој табели: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Табела 4.</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6"/>
        <w:gridCol w:w="1747"/>
        <w:gridCol w:w="1747"/>
        <w:gridCol w:w="1747"/>
        <w:gridCol w:w="1747"/>
        <w:gridCol w:w="1747"/>
      </w:tblGrid>
      <w:tr w:rsidR="00EF008E" w:rsidRPr="00EF008E" w:rsidTr="00455933">
        <w:trPr>
          <w:trHeight w:val="45"/>
          <w:tblCellSpacing w:w="0" w:type="auto"/>
        </w:trPr>
        <w:tc>
          <w:tcPr>
            <w:tcW w:w="28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200" w:line="276" w:lineRule="auto"/>
              <w:contextualSpacing w:val="0"/>
              <w:rPr>
                <w:rFonts w:ascii="Arial" w:hAnsi="Arial" w:cs="Arial"/>
                <w:sz w:val="22"/>
                <w:szCs w:val="22"/>
                <w:lang w:val="sr-Cyrl-RS"/>
              </w:rPr>
            </w:pPr>
          </w:p>
        </w:tc>
        <w:tc>
          <w:tcPr>
            <w:tcW w:w="282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Број буџетских корисника који су применили РОБ-а у буџету за 2017.</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Број буџетских корисника који су применили РОБ-а у буџету за 2018.</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Број буџетских корисника који су применили РОБ-а у буџету за 2019.</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Број буџетских корисника који су применили РОБ-а у буџету за 2020.</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Број буџетских корисника који су применили РОБ-а у буџету за 2021.</w:t>
            </w:r>
          </w:p>
        </w:tc>
      </w:tr>
      <w:tr w:rsidR="00EF008E" w:rsidRPr="00EF008E" w:rsidTr="00455933">
        <w:trPr>
          <w:trHeight w:val="45"/>
          <w:tblCellSpacing w:w="0" w:type="auto"/>
        </w:trPr>
        <w:tc>
          <w:tcPr>
            <w:tcW w:w="28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Национални ниво</w:t>
            </w:r>
          </w:p>
        </w:tc>
        <w:tc>
          <w:tcPr>
            <w:tcW w:w="282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26</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33</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34</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Податак ће бити доступан у јулу</w:t>
            </w:r>
          </w:p>
        </w:tc>
      </w:tr>
      <w:tr w:rsidR="00EF008E" w:rsidRPr="00EF008E" w:rsidTr="00455933">
        <w:trPr>
          <w:trHeight w:val="45"/>
          <w:tblCellSpacing w:w="0" w:type="auto"/>
        </w:trPr>
        <w:tc>
          <w:tcPr>
            <w:tcW w:w="28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Аутономна покрајина</w:t>
            </w:r>
          </w:p>
        </w:tc>
        <w:tc>
          <w:tcPr>
            <w:tcW w:w="282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10</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18</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25</w:t>
            </w:r>
          </w:p>
        </w:tc>
        <w:tc>
          <w:tcPr>
            <w:tcW w:w="282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Податак ће бити доступан у јулу</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Од почетка примене преко 1300 државних службеника и службеница је обучено, а код свих буџетских корисника су формирани тимови за РОБ. Обуке и подршка у примени РОБ-а је настаљена и проширује се на индиректне буџетске кориснике. Припремљен је и едукативни филм о РОБ. У току је израда обуке о РОБ у оквиру Националне академије за јавну управу која је РОБ уврстила у званичан програм обука, а обука ће бити доступна у 2022. години за све запослене у јавној управи.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Државна ревизорска институција кроз својe годишње ревизије проверава и примену РОБ-а код буџетских корисника и о томе извештава у својим годишњим извештајима.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После пет година примене постигнути су значајни резултати. Међутим, да би РОБ постао одрживи део система управљања јавним финансијама неопходно је у наредним циклусима јачати квалитет РОБ-а, да се препознају и искористе пропуштене шансе за продубљивање РОБ-а кроз артикулацију родно трансформативнијих РОБ циљева и индикатора, односно кроз одлучније усмеравање инвестиција у родну равноправност и отклањање документованог родног јаза у секторима. Једна од основних сврха РОБ-а јесте да скрати време потребно за остваривање пуне родне равноправности кроз реалокацију ресурса за попуњавање родног јаза и отклањање баријера равноправном учешћу жена и мушкараца из различитих група. Наставак заједничког и координисаног рада на националном и покрајинском нивоу на институционализацији РОБ процеса и даље представља кључни приоритет у јачању одрживости РОБ процеса. Јачање контролне и надзорне улоге коју треба да врше национални механизам за родну равноправност (на техничком нивоу и на нивоу укрштања са родном агендом) и Народна скупштина и Скупштина АПВ (у смислу поштовања намере Закона о буџетском систему и антидискриминационих закона) представља најважнији замајац у правцу изврсности домаћег модела РОБ-а.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Потребно је процедурално уредити процес рада на РОБ-у код самих буџетских корисника. И даље често недостаје нужна синергија која настаје укрштањем и адекватним повезивањем родно одговорних политика са секторским политикама. Нема адекватних знања и процедура за препознавање родног јаза у оквиру надлежности буџетског корисника, односно родно одговорно планирање, које се рефлектује код израде приоритетних области финансирања, и касније буџета. Да би се увођењу РОБ-а пружила адекватна подршка, потребно је да се РОБ интегрише у све фазе буџетског процеса што укључује и припрему приоритетних области финансирања, да се израде додатни правилници и процедуре за РОБ, које би сваком појединачном буџетском кориснику помогла препознавање родног јаза и родно одговорно планирање секторских политика и буџета. Уз то, неопходно је даље унапредити информациони систем на националном нивоу како би се олакшала и убрзала консолидација РОБ-а у предлозима буџета, усвојеном буџету и у извештајима о учинку. На нивоу аутономне покрајине информациони систем је унапређен.</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Стабилизација РОБ процеса треба да се обезбеди кроз успостављање и јачање стубова подршке: координација РОБ процеса са остатком буџетског процеса коју раде Министарство финансија и Покрајински секретаријат за финансије; координација родних политика и приоритета и квалитета садржаја РОБ циљева и индикатора, што је улога националног механизма за родну равноправност у сарадњи са механизмима на покрајинском и локалном нивоу и другим телима и организацијама која имају специфична секторска знања, и контрола ефеката кроз сагледавање и мерење квалитета исхода РОБ процеса, како на нивоу појединачних буџетских корисника, тако и као целина родно одговорног буџета. Ову важну улогу могли би да имају различити актери укључујући Народну скупштину, а посебно одбор за финансије, одбор надлежан за родну равноправност и Државна ревизорска институција, Фискални савет Републике Србије и ОЦД, које у статуту имају јачање родне равноправности и оснаживање жена као приоритетни циљ. РОБ би додатно требало појачати кроз унапређење система у складу са препорукама датим кроз годишње извештаје о напретку РОБ-а у Републици Србији, али и у складу са међународном добром праксом и препорукама датим кроз процену јавних расхода и јавних финансија (PEFA) и оквира за РОБ.</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РОБ на нивоу ЈЛС. Подаци о примени на локалном нивоу су непотпуни, а из праксе рада на терену пре свега кроз подршку СКГО у овој области закључује се да се на локалном нивоу знатно касније кренуло са применом. Стога је један број ЈЛС започео примену РОБ-а, али значајан број ЈЛС још не примењује РОБ. Такође, ЈЛС немају довољно изграђене капацитете за родно одговорно планирање и буџетирање. Поред овога, сам начин планирања буџета и задата програмска структура ЈЛС не дају довољно простора за адекватно приказивање родно одговорних циљева и индикатора. Постоје и примери да ЈЛС одвајају средства за унапређење родне равноправности, али те активности нису довољно видљиве у буџетској структури. Како је РОБ стална обавеза која проистиче из ЗБС, као и да је интегрисање родне перспективе дефинисано Законом о родној равноправности и ЗБС, неопходно би било размотрити увођење програмске активности на нивоу сваког буџетског програма у структури буџета ЈЛС. Додатно, неопходно је стандардизовати обрасце и упутства као и омогућити видљивост РОБ алокација у софтверу који ЈЛС користе како би могла да се врши једноставна консолидација и извештавање на нивоу једне, а онда и свих ЈЛС. Самим тим би се и појачао надзор над применом обавезе РОБ-а зато што би подаци били доступни.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Потребно је појачати надзор над применом на нивоу ЈЛС и учинити неопходне кораке како би се изградили сви неопходни капацитети за родно одговорно планирање и буџетирање, као и обезбедила неопходна родна статистика и евиденције. Закон о родној равноправности је подршка у том смеру.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Као подршка буџетским корисницима у примени РОБ-а на нивоу ЈЛС одржане су бројне обуке. СКГО пружа континуирану подршку, а развијени су различити приручници и упутства. Поред СКГО, подршку пружа и UN Women, који је развио онлајн платформу са бесплатном обуком и приручницима.</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6. ВИЗИЈА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Визија која се остварује овом стратегијом је родно равноправна Република Србија, у којој су жене и мушкарци, девојчице и дечаци, као и особе другачијих родних идентитета, равноправни, имају једнака права и једнаке могућности за лични развој, пружају равноправан допринос одрживом развоју друштва, уживају једнаке користи од развоја друштва, равноправно учествују у одлучивању о развоју друштва и преузимају једнаку одговорност за будућност.</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7. ЦИЉЕВИ СТРАТЕГИЈЕ И МЕРЕ ЗА ЊИХОВО ОСТВАРИВАЊЕ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7.1. Oпшти циљ: Превазилажење родног јаза и остваривање родне равноправности као предуслов за развој друштва и побољшање свакодневног живота жена и мушкараца, девојчица и дечака.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1"/>
        <w:gridCol w:w="1880"/>
        <w:gridCol w:w="2290"/>
        <w:gridCol w:w="2290"/>
        <w:gridCol w:w="1880"/>
      </w:tblGrid>
      <w:tr w:rsidR="00EF008E" w:rsidRPr="00EF008E" w:rsidTr="00455933">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исхода</w:t>
            </w:r>
          </w:p>
        </w:tc>
        <w:tc>
          <w:tcPr>
            <w:tcW w:w="142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Јединица мере</w:t>
            </w:r>
          </w:p>
        </w:tc>
        <w:tc>
          <w:tcPr>
            <w:tcW w:w="52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Почетна вредност</w:t>
            </w:r>
          </w:p>
        </w:tc>
        <w:tc>
          <w:tcPr>
            <w:tcW w:w="52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Циљана вредност</w:t>
            </w:r>
          </w:p>
        </w:tc>
        <w:tc>
          <w:tcPr>
            <w:tcW w:w="17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 верификације</w:t>
            </w:r>
          </w:p>
        </w:tc>
      </w:tr>
      <w:tr w:rsidR="00EF008E" w:rsidRPr="00EF008E" w:rsidTr="00455933">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родне равноправности</w:t>
            </w:r>
          </w:p>
        </w:tc>
        <w:tc>
          <w:tcPr>
            <w:tcW w:w="142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Вредност индекса родне равноправности</w:t>
            </w:r>
          </w:p>
        </w:tc>
        <w:tc>
          <w:tcPr>
            <w:tcW w:w="52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 58</w:t>
            </w:r>
          </w:p>
        </w:tc>
        <w:tc>
          <w:tcPr>
            <w:tcW w:w="52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80</w:t>
            </w:r>
          </w:p>
        </w:tc>
        <w:tc>
          <w:tcPr>
            <w:tcW w:w="17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РЗС: Индекс родне равноправности</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Циљеви Стратегије усаглашени су са циљевима и мерама обухваћеним другим националним стратешким документима, првенствено у области правосуђа и унапређења људских права, као и у другим областима обухваћеним овим стратешким документом.</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Стратегија се ослања и на Агенду 2030, усклађена је са овом Агендом и процесом приступања ЕУ, а циљеви постављени у Стратегији одговарају циљевима и потциљевима дефинисаним Агендом 2030 и у складу су са препорукама CEDAW комитета. Поред циља 5. који се односи у целини на родну равноправност као фактор развоја то су и: циљ 1. (Свет без сиромаштва) потциљеви 1.б и 1.4; циљ 2. (Свет без глади) потциљеви 2.3, 2.4 и 2.а, циљ 3. (Добро здравље) потциљеви 3.4, 3.7, 3.8 и 3.а, циљ 4. (квалитетно образовање) потциљеви 4.1, 4.2, 4.3, 4.4, 4.5, 4.6 и 4.а, циљ 6. (Чиста вода и санитарни услови) потциљеви 6.1, 6.2 и 6.4, циљ 7. (Доступна и обновљива енергија) потциљеви 7.1 и 7.2, циљ 8. (Достојанствен рад и економски раст) потциљеви 8.8 и 8.б, циљ 9. (Индустрија, иновације, инфраструктура) потциљ 9.5, циљ 10. (Смањење неједнакости) потциљеви 10.2, 10.3, 10.4 и 10.7, циљ 11. (Одрживи градови и заједнице) потциљеви 11.1 и 11.7, циљ 12. (Одговорна потрошња и производња) потциљеви 12.8, 12.а и 12.б, циљ 13. (Акција за климу) потциљеви 13.2, 13.3 и 13.а, циљ 15. (Живот на земљи) потциљ 15.9 и циљ 16. (Мир, правда и снажније институције) потциљеви 16.1, 16.3, 16.6, 16.7, 16.9, 16.10, 16.а и 16.б). Једна од основних критичких замерки претходној стратегији у евалуацији је била да се та стратегија није бавила развојним питањима, већ је била окренута ка секторским стратегијама и да би такав приступ требало мењати).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Сагледана је њихова међузависност, те је примена и испуњење овде постављених циљева и мера повезана са испуњавањем других реформских циљева који су дефинисани важећим документима јавних политика који се односе на приступање ЕУ, развој и унапређење родне равноправности и људских права у РС.</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Праћење испуњености општег циља вршиће се кроз праћење и вредновање учинака и ефеката примене првог АП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2023. који је саставни део ове стратегије, као и свих наредних АП-ова, и кроз извештавање о постигнутим резултатима.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Ефекти примене јавне политике у области родне равноправности мериће се на основу доступних података о правима и положају жена у различитим сферама живота и рада, на основу извештаја међународних тела која прате стање у области родне равноправности и женских људских права, као и на основу испуњености индикатора на нивоу мера и активности дефинисаних свим АП-овима, који ће регулисати примену ове стратегије.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Као извори верификације за постигнуте резултате и ефекте примене мера из овог документа, служиће званичне информације и подаци институција, подаци академске заједнице, као и друге јавно доступне информације и подаци ОЦД које се баве заштитом људских права, посебно женских људских права.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 постизање општег циља, у тренутку утврђивања стања и проблема у области родне равноправности у Републици Србији, као и разлога услед којих се приступило изради Стратегије, сагледане су три алтернативне опције које су посматране из угла капацитета државе и других укључених актера за испуњење општег циља.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Разматране опције: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1. STATUS QUO ОПЦИЈА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подразумева да се општи циљ остварује у мери и обиму који одговара затеченом стању у погледу примене међународних норми и националног законодавног оквира за остваривање политике родне равноправности, а сагледава кроз примену одредби ратификованих међународних докумената, општеприхваћених правила међународног права, као и праксе међународних тела која надзиру примену међународних докумената и домаћег законодавства.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2. ОПЦИЈА 1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Усвајање нових и измена и допуна постојећих закона и прописа у областима обухваћених Стратегијом треба да омогуће унапређење и усаглашавање низа материјалноправних и процесноправних законских одредаба, чиме би се допринело унапређењу положаја жена у Републици Србији.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Све измене и допуне постојећих, као и усвајање нових законских и стратешких докумената у областима које обухвата ова стратегија, а који се односе на родну равноправност и којима се утиче на права и положај жена у Републици Србији, морају бити усаглашене са међународним стандардима и прописима (Пекиншка декларација и CEDAW конвенција). У оквиру ове опције мора се сагледати и ниво финансијских средстава опредељених из буџета на свим нивоима власти, за реализацију мера и активности дефинисаних овом стратегијом и припадајућим АП-овима, као и износ потенцијалних донаторских средстава.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Ова опција обухвата постепено и делимично унапређење стања и решавање проблема уз издвојена довољна буџетска средства, а кроз заједничко деловање одговорних институција и цивилног сектора на остваривању општег и посебних циљева ове стратегије. Како се ова стратегија усваја за период од 2021. до 2030. године, опција 1 обухвата анализу ефеката за период од првих пет година примене Стратегије.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3. ОПЦИЈА 2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Свеобухватно испуњавање општег циља ове стратегије огледа се у потпуном испуњавању критеријума из АП за Поглавља 23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Правосуђе и основна права и Поглавља 19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социјална политика и запошљавање, усклађивање политика са стандардима ЕУ, ратификованим међународним уговорима у одговарајућим областима, и општеприхваћеним правилима међународног права, као и закључцима и препорукама које је Република Србија добила од релевантних тела: закључци Извештаја ЕК о напретку Републике Србије (2018</w:t>
      </w:r>
      <w:r>
        <w:rPr>
          <w:rFonts w:ascii="Arial" w:hAnsi="Arial" w:cs="Arial"/>
          <w:color w:val="000000"/>
          <w:sz w:val="22"/>
          <w:szCs w:val="22"/>
          <w:lang w:val="sr-Cyrl-RS"/>
        </w:rPr>
        <w:t>-</w:t>
      </w:r>
      <w:r w:rsidRPr="00EF008E">
        <w:rPr>
          <w:rFonts w:ascii="Arial" w:hAnsi="Arial" w:cs="Arial"/>
          <w:color w:val="000000"/>
          <w:sz w:val="22"/>
          <w:szCs w:val="22"/>
          <w:lang w:val="sr-Cyrl-RS"/>
        </w:rPr>
        <w:t>2020), закључци Европског комитета за социјална права у вези са применом Европске социјалне повеље, Закључна запажања Комитета УН за елиминацију дискриминације жена у вези са Четвртим периодичним извештајем о примени Конвенције УН о елиминацији свих облика дискриминације жена, препорукама GREVIO експертске групе о законодавним и другим мерама примене одредби Конвенције Савета Европе о спречавању и борби против насиља над женама и насиља у породици у Србији, Индексом родне равноправности и Извештајима о праћењу ЦОР, посебно циља број 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Ова опција обухвата шири и координисани обухват у односу на опцију 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Опција 2 обухвата постепено и делимично испуњавање општег циља и потпуно испуњавање више од половине специфичних циљева стратегије, подразумева континуитет у њиховом испуњавању и козистентност резултата, током целог периода примене Стратегије, што представља реалну и могућу опцију за период имплементације од десет година, са пратећим АП-овима.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поређењу опција, коришћена је мултикритеријумска анализа</w:t>
      </w:r>
      <w:r w:rsidRPr="00EF008E">
        <w:rPr>
          <w:rFonts w:ascii="Arial" w:hAnsi="Arial" w:cs="Arial"/>
          <w:color w:val="000000"/>
          <w:sz w:val="22"/>
          <w:szCs w:val="22"/>
          <w:vertAlign w:val="superscript"/>
          <w:lang w:val="sr-Cyrl-RS"/>
        </w:rPr>
        <w:t>893</w:t>
      </w:r>
      <w:r w:rsidRPr="00EF008E">
        <w:rPr>
          <w:rFonts w:ascii="Arial" w:hAnsi="Arial" w:cs="Arial"/>
          <w:color w:val="000000"/>
          <w:sz w:val="22"/>
          <w:szCs w:val="22"/>
          <w:lang w:val="sr-Cyrl-RS"/>
        </w:rPr>
        <w:t>, коришћењем следећих критеријума за оцену опција: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а) ефективност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у којој мери се постиже општи циљ;</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б) конзистентност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у којој мери су политике којима се свеобухватно покрива област родне равноправности конзистентне једна са другом, тј. којом опцијом се постиже највиши ниво усаглашености политика на националном нивоу, као и ниво усаглашености са међународним стандардима у овој области;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в) трошкови спровођења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колики су трошкови спровођења опције;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г) одрживост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који су изгледи да ће одабрани модел резултирати одрживим напретком;</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д) степен координације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ефикасност надзора над применом, тј. којом опцијом се обезбеђује најбољи механизам праћења примене овог стратешког документа.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анализи је коришћен модел по коме се свака опција у односу на предметни критеријум оцењује у односу на друге опције у распону од 1 до 5 (5 највиша оцена). Такође је одређено који критеријуми се сматрају одлучујућим, те су у том смислу ефективност, одрживост, опредељени износ трошкова за спровођење мера, степен координације, као и конзистентност одређени као најбитнији критеријуми за оцену опције. Пондер је дефинисан у укупном износу од 10, коначан ранг опције се добије множењем пондера са утврђеном оценом сваке опције.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14"/>
        <w:gridCol w:w="1439"/>
        <w:gridCol w:w="3624"/>
        <w:gridCol w:w="1472"/>
        <w:gridCol w:w="1472"/>
      </w:tblGrid>
      <w:tr w:rsidR="00EF008E" w:rsidRPr="00EF008E" w:rsidTr="00455933">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Критеријуми/опције</w:t>
            </w:r>
          </w:p>
        </w:tc>
        <w:tc>
          <w:tcPr>
            <w:tcW w:w="20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Пондер</w:t>
            </w:r>
          </w:p>
        </w:tc>
        <w:tc>
          <w:tcPr>
            <w:tcW w:w="7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Status quo</w:t>
            </w:r>
          </w:p>
        </w:tc>
        <w:tc>
          <w:tcPr>
            <w:tcW w:w="217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Опција 1</w:t>
            </w:r>
          </w:p>
        </w:tc>
        <w:tc>
          <w:tcPr>
            <w:tcW w:w="21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Опција 2</w:t>
            </w:r>
          </w:p>
        </w:tc>
      </w:tr>
      <w:tr w:rsidR="00EF008E" w:rsidRPr="00EF008E" w:rsidTr="00455933">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Ефективност</w:t>
            </w:r>
          </w:p>
        </w:tc>
        <w:tc>
          <w:tcPr>
            <w:tcW w:w="20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w:t>
            </w:r>
          </w:p>
        </w:tc>
        <w:tc>
          <w:tcPr>
            <w:tcW w:w="7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х1</w:t>
            </w:r>
          </w:p>
        </w:tc>
        <w:tc>
          <w:tcPr>
            <w:tcW w:w="217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x3</w:t>
            </w:r>
          </w:p>
        </w:tc>
        <w:tc>
          <w:tcPr>
            <w:tcW w:w="21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X4</w:t>
            </w:r>
          </w:p>
        </w:tc>
      </w:tr>
      <w:tr w:rsidR="00EF008E" w:rsidRPr="00EF008E" w:rsidTr="00455933">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Конзистентност</w:t>
            </w:r>
          </w:p>
        </w:tc>
        <w:tc>
          <w:tcPr>
            <w:tcW w:w="20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w:t>
            </w:r>
          </w:p>
        </w:tc>
        <w:tc>
          <w:tcPr>
            <w:tcW w:w="7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Х1</w:t>
            </w:r>
          </w:p>
        </w:tc>
        <w:tc>
          <w:tcPr>
            <w:tcW w:w="217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X3</w:t>
            </w:r>
          </w:p>
        </w:tc>
        <w:tc>
          <w:tcPr>
            <w:tcW w:w="21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x4</w:t>
            </w:r>
          </w:p>
        </w:tc>
      </w:tr>
      <w:tr w:rsidR="00EF008E" w:rsidRPr="00EF008E" w:rsidTr="00455933">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Трошкови спровођења</w:t>
            </w:r>
          </w:p>
        </w:tc>
        <w:tc>
          <w:tcPr>
            <w:tcW w:w="20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w:t>
            </w:r>
          </w:p>
        </w:tc>
        <w:tc>
          <w:tcPr>
            <w:tcW w:w="7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X2</w:t>
            </w:r>
          </w:p>
        </w:tc>
        <w:tc>
          <w:tcPr>
            <w:tcW w:w="217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x3</w:t>
            </w:r>
          </w:p>
        </w:tc>
        <w:tc>
          <w:tcPr>
            <w:tcW w:w="21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Х4</w:t>
            </w:r>
          </w:p>
        </w:tc>
      </w:tr>
      <w:tr w:rsidR="00EF008E" w:rsidRPr="00EF008E" w:rsidTr="00455933">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Одрживост</w:t>
            </w:r>
          </w:p>
        </w:tc>
        <w:tc>
          <w:tcPr>
            <w:tcW w:w="20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w:t>
            </w:r>
          </w:p>
        </w:tc>
        <w:tc>
          <w:tcPr>
            <w:tcW w:w="7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Х2</w:t>
            </w:r>
          </w:p>
        </w:tc>
        <w:tc>
          <w:tcPr>
            <w:tcW w:w="217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x4</w:t>
            </w:r>
          </w:p>
        </w:tc>
        <w:tc>
          <w:tcPr>
            <w:tcW w:w="21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X4</w:t>
            </w:r>
          </w:p>
        </w:tc>
      </w:tr>
      <w:tr w:rsidR="00EF008E" w:rsidRPr="00EF008E" w:rsidTr="00455933">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Степен координације</w:t>
            </w:r>
          </w:p>
        </w:tc>
        <w:tc>
          <w:tcPr>
            <w:tcW w:w="20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w:t>
            </w:r>
          </w:p>
        </w:tc>
        <w:tc>
          <w:tcPr>
            <w:tcW w:w="7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х3</w:t>
            </w:r>
          </w:p>
        </w:tc>
        <w:tc>
          <w:tcPr>
            <w:tcW w:w="217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Х4</w:t>
            </w:r>
          </w:p>
        </w:tc>
        <w:tc>
          <w:tcPr>
            <w:tcW w:w="21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X5</w:t>
            </w:r>
          </w:p>
        </w:tc>
      </w:tr>
      <w:tr w:rsidR="00EF008E" w:rsidRPr="00EF008E" w:rsidTr="00455933">
        <w:trPr>
          <w:trHeight w:val="45"/>
          <w:tblCellSpacing w:w="0" w:type="auto"/>
        </w:trPr>
        <w:tc>
          <w:tcPr>
            <w:tcW w:w="8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Резултат</w:t>
            </w:r>
          </w:p>
        </w:tc>
        <w:tc>
          <w:tcPr>
            <w:tcW w:w="20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10</w:t>
            </w:r>
          </w:p>
        </w:tc>
        <w:tc>
          <w:tcPr>
            <w:tcW w:w="7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16</w:t>
            </w:r>
          </w:p>
        </w:tc>
        <w:tc>
          <w:tcPr>
            <w:tcW w:w="217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33</w:t>
            </w:r>
          </w:p>
        </w:tc>
        <w:tc>
          <w:tcPr>
            <w:tcW w:w="21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Закључци анализе опција су да се само кроз свеобухватни приступ испуњавању међународно прихваћених обавеза државе у овој области може постићи највиши ниво испуњења општег циља, узимајући у обзир конзистентност јавних политика, свеобухватност и одрживост ефеката спровођења, као и ниво координације у реформском деловању и праћењу напретка у области родне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893 Стратегија регулаторне реформе и унапређења система управљања јавним политикама за период 2016</w:t>
      </w:r>
      <w:r>
        <w:rPr>
          <w:rFonts w:ascii="Arial" w:hAnsi="Arial" w:cs="Arial"/>
          <w:i/>
          <w:color w:val="000000"/>
          <w:sz w:val="22"/>
          <w:szCs w:val="22"/>
          <w:lang w:val="sr-Cyrl-RS"/>
        </w:rPr>
        <w:t>-</w:t>
      </w:r>
      <w:r w:rsidRPr="00EF008E">
        <w:rPr>
          <w:rFonts w:ascii="Arial" w:hAnsi="Arial" w:cs="Arial"/>
          <w:i/>
          <w:color w:val="000000"/>
          <w:sz w:val="22"/>
          <w:szCs w:val="22"/>
          <w:lang w:val="sr-Cyrl-RS"/>
        </w:rPr>
        <w:t>2020. године,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8/16).</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b/>
          <w:color w:val="000000"/>
          <w:sz w:val="22"/>
          <w:szCs w:val="22"/>
          <w:lang w:val="sr-Cyrl-RS"/>
        </w:rPr>
        <w:t>7.2. Посебни циљеви и мере за њихово остваривање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Посебан циљ 1: Смањен родни јаз у економији, науци и образовању као предуслов и подстицај социо-економског развоја друштва.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Овај посебни циљ допринеће смањењу родног јаза у економији кроз повећане шансе и прилике за одрживо запошљавање и самозапошљавање, јачање предузетничких активности жена и учешћа у иновационој делатности, смањењу платног јаза на тржишту рада, препознавање, вредновање и редистрибуцију неплаћеног рада, повећано учешће жена у циркуларној, зеленој и дигиталној економији, као и укључивањем знања и научних потенцијала и друштвено одговорним односом према очувању и унапређењу животне средине и природних развојних ресурса.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8"/>
        <w:gridCol w:w="1193"/>
        <w:gridCol w:w="2586"/>
        <w:gridCol w:w="2636"/>
        <w:gridCol w:w="1918"/>
      </w:tblGrid>
      <w:tr w:rsidR="00EF008E" w:rsidRPr="00EF008E" w:rsidTr="00455933">
        <w:trPr>
          <w:trHeight w:val="45"/>
          <w:tblCellSpacing w:w="0" w:type="auto"/>
        </w:trPr>
        <w:tc>
          <w:tcPr>
            <w:tcW w:w="190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усхода</w:t>
            </w:r>
          </w:p>
        </w:tc>
        <w:tc>
          <w:tcPr>
            <w:tcW w:w="5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Јединица мере</w:t>
            </w:r>
          </w:p>
        </w:tc>
        <w:tc>
          <w:tcPr>
            <w:tcW w:w="491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Почетна вредност</w:t>
            </w:r>
          </w:p>
        </w:tc>
        <w:tc>
          <w:tcPr>
            <w:tcW w:w="504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Циљана вредност</w:t>
            </w:r>
          </w:p>
        </w:tc>
        <w:tc>
          <w:tcPr>
            <w:tcW w:w="198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190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 равноправности у домену рада (партиципација, сегрегација и квалитет рада)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 равноправности у домену новца (финансијски ресурси и економска ситуација)</w:t>
            </w:r>
          </w:p>
        </w:tc>
        <w:tc>
          <w:tcPr>
            <w:tcW w:w="5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Вредност индекса</w:t>
            </w:r>
          </w:p>
        </w:tc>
        <w:tc>
          <w:tcPr>
            <w:tcW w:w="491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 68,2 (77, 62,5),</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59,760,2 (47,7, 74,8)</w:t>
            </w:r>
          </w:p>
        </w:tc>
        <w:tc>
          <w:tcPr>
            <w:tcW w:w="504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71,4 (80,9, 62,9);</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81,6 (75,5, 88,1)</w:t>
            </w:r>
          </w:p>
        </w:tc>
        <w:tc>
          <w:tcPr>
            <w:tcW w:w="198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РЗС: Индекс родне равноправности 2021.</w:t>
            </w:r>
          </w:p>
        </w:tc>
      </w:tr>
      <w:tr w:rsidR="00EF008E" w:rsidRPr="00EF008E" w:rsidTr="00455933">
        <w:trPr>
          <w:trHeight w:val="45"/>
          <w:tblCellSpacing w:w="0" w:type="auto"/>
        </w:trPr>
        <w:tc>
          <w:tcPr>
            <w:tcW w:w="190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Платни јаз између мушкараца и жена</w:t>
            </w:r>
          </w:p>
        </w:tc>
        <w:tc>
          <w:tcPr>
            <w:tcW w:w="5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w:t>
            </w:r>
          </w:p>
        </w:tc>
        <w:tc>
          <w:tcPr>
            <w:tcW w:w="491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2018: 9,6 %</w:t>
            </w:r>
          </w:p>
        </w:tc>
        <w:tc>
          <w:tcPr>
            <w:tcW w:w="504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5%</w:t>
            </w:r>
          </w:p>
        </w:tc>
        <w:tc>
          <w:tcPr>
            <w:tcW w:w="198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Истраживање о структури зарада, РЗС</w:t>
            </w:r>
          </w:p>
        </w:tc>
      </w:tr>
      <w:tr w:rsidR="00EF008E" w:rsidRPr="00EF008E" w:rsidTr="00455933">
        <w:trPr>
          <w:trHeight w:val="45"/>
          <w:tblCellSpacing w:w="0" w:type="auto"/>
        </w:trPr>
        <w:tc>
          <w:tcPr>
            <w:tcW w:w="190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 равноправности у домену знања (образовно достигнуће и учешће, сегрегација)</w:t>
            </w:r>
          </w:p>
        </w:tc>
        <w:tc>
          <w:tcPr>
            <w:tcW w:w="5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Вредност индекса</w:t>
            </w:r>
          </w:p>
        </w:tc>
        <w:tc>
          <w:tcPr>
            <w:tcW w:w="491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 57,3 (61,1; 53,7)</w:t>
            </w:r>
          </w:p>
        </w:tc>
        <w:tc>
          <w:tcPr>
            <w:tcW w:w="504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60</w:t>
            </w:r>
          </w:p>
        </w:tc>
        <w:tc>
          <w:tcPr>
            <w:tcW w:w="198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РЗС, Индекс родне равноправности</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1.1. Подршка иновативним програмима и услугама за активацију жена на тржишту рада, и њихову повећану запошљивост и самозапошљавање, те креирање радних места за жене са додатно отежаним приступом одрживом запошљавању и самозапошљавању.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и ефекти мере: Ова мера има за циљ да резултира повећаном активацијом жена на тржишту рада, а посебно жена којима је приступ запошљавању и самозапошљавању додатно отежан због дискриминације, места становања, здравственог стања, животних околности или из других разлога, као што су младе жене посебно из NEET групе (особе које нису у образовном систему, запослене или на обуци), жене свих старосних група, које живе на селу, жене ангажоване у неформалној економији, Ромкиње, жене и девојке са инвалидитетом, старије жене преко 55 година старости, самохране мајке, жене које су преживеле родно засновано насиље или су жртве трговине људима. Код активације на тржишту рада важно је обратити посебну пажњу на ЛГБТ заједницу и трансродне жене и мушкарце који су услед додатне дискриминације принуђени да посао траже често у неформалној економији. Имајући у виду отежано запошљавање жена старијих од 45 година, овом мером ће се пажња у имплементацији усмерити и на њих.</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Ова мера посебно циља да подржи креирање одрживих програма и услуга на националном, покрајинском и локалном нивоу који ће допринети повећаној активацији и запошљивости или самозапошљивости ове групе жена. Ова мера има неколико кластера активности и укључује следеће: подршка осмишљавању, пилотирању и реализацији иновативних програма активације, подршка задругарству и социјалном задругарству и социјалном предузетништву, подршка удружењима жена које реализују активности за економско оснаживање жена или пружају услуге које помажу женама да имају приступ тржишту рада, подршка програмима и услугама на којима заједно раде послодавци, националне, покрајинске и локалне институције у партнерствима са ОЦД, задругама и социјалним предузећима и академском заједницом, подршка развоју едукативних програма за унапређење знања и вештина којима се повећава запошљивост, а посебно у домену дигиталних вештина, финансијске писмености, и послова у домену зелене и циркуларне економије.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за рад, запошљавање, борачка и социјална питања.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СИПРУ, Министарство привреде, Министарство за бригу о селу, Министарство трговине, туризма и телекомуникација, Министарство пољопривреде, шумарства и водопривреде, Покрајински секретаријат за привреду и туризам, Покрајински секретаријат за пољопривреду, водопривреду и шумарство, ЈЛС, ОЦД, задруге, академска заједница, удружења послодаваца.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76"/>
        <w:gridCol w:w="5345"/>
      </w:tblGrid>
      <w:tr w:rsidR="00EF008E" w:rsidRPr="00EF008E" w:rsidTr="00455933">
        <w:trPr>
          <w:trHeight w:val="45"/>
          <w:tblCellSpacing w:w="0" w:type="auto"/>
        </w:trPr>
        <w:tc>
          <w:tcPr>
            <w:tcW w:w="67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Показатељи резултата 1.1</w:t>
            </w:r>
          </w:p>
        </w:tc>
        <w:tc>
          <w:tcPr>
            <w:tcW w:w="76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67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1.1.1: Стопа активности жена из циљне групе која је учествовала у програмима</w:t>
            </w:r>
          </w:p>
        </w:tc>
        <w:tc>
          <w:tcPr>
            <w:tcW w:w="76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ефектима програма, подаци Националне службе за запошљавање</w:t>
            </w:r>
          </w:p>
        </w:tc>
      </w:tr>
      <w:tr w:rsidR="00EF008E" w:rsidRPr="00EF008E" w:rsidTr="00455933">
        <w:trPr>
          <w:trHeight w:val="45"/>
          <w:tblCellSpacing w:w="0" w:type="auto"/>
        </w:trPr>
        <w:tc>
          <w:tcPr>
            <w:tcW w:w="67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1.1.2: Стопа запослености жена из циљне групе која је учествовала у програмима</w:t>
            </w:r>
          </w:p>
        </w:tc>
        <w:tc>
          <w:tcPr>
            <w:tcW w:w="76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ефектима програма, подаци Националне службе за запошљавање</w:t>
            </w:r>
          </w:p>
        </w:tc>
      </w:tr>
      <w:tr w:rsidR="00EF008E" w:rsidRPr="00EF008E" w:rsidTr="00455933">
        <w:trPr>
          <w:trHeight w:val="45"/>
          <w:tblCellSpacing w:w="0" w:type="auto"/>
        </w:trPr>
        <w:tc>
          <w:tcPr>
            <w:tcW w:w="67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1.1.3: Стопа незапослености жена из циљне групе која је учествовала у програмима</w:t>
            </w:r>
          </w:p>
        </w:tc>
        <w:tc>
          <w:tcPr>
            <w:tcW w:w="76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ефектима програма, подаци Националне службе за запошљавање</w:t>
            </w:r>
          </w:p>
        </w:tc>
      </w:tr>
      <w:tr w:rsidR="00EF008E" w:rsidRPr="00EF008E" w:rsidTr="00455933">
        <w:trPr>
          <w:trHeight w:val="45"/>
          <w:tblCellSpacing w:w="0" w:type="auto"/>
        </w:trPr>
        <w:tc>
          <w:tcPr>
            <w:tcW w:w="67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1.1.4: Број радних места креиран као резултат подршке задругарству и социјалном предузетништву</w:t>
            </w:r>
          </w:p>
        </w:tc>
        <w:tc>
          <w:tcPr>
            <w:tcW w:w="76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МРЗБСП, извештаји задруга о креираним новим радним местима, извештаји Министарства за бригу о селу, Министарства привреде и Покрајинског секретаријата за привреду и туризам и Покрајинског секретаријата за пољопривреду, водопривреду и шумарство, извештај о учинку буџета на националном и покрајинском нивоу</w:t>
            </w:r>
          </w:p>
        </w:tc>
      </w:tr>
      <w:tr w:rsidR="00EF008E" w:rsidRPr="00EF008E" w:rsidTr="00455933">
        <w:trPr>
          <w:trHeight w:val="45"/>
          <w:tblCellSpacing w:w="0" w:type="auto"/>
        </w:trPr>
        <w:tc>
          <w:tcPr>
            <w:tcW w:w="67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1.1.5: Број програма и услуга које су креиране као подршка активацији жена на тржишту рада, разврстано по циљним групама, старосним групама, територијалној припадности и нивоу на којем се имплементира</w:t>
            </w:r>
          </w:p>
        </w:tc>
        <w:tc>
          <w:tcPr>
            <w:tcW w:w="76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Националне службе за запошљавање, извештаји и увид у програме релевантних министарстава и покрајинских секретаријата, Извештај о учинку буџета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1.2. Препознавање, вредновање и редистрибуција неплаћеног кућног рада и повећање расположивог времена за плаћени рад, лични развој и слободно време.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и ефекти мере: Ова мера има за циљ да резултира смањењем неплаћеног кућног рада и повећањем расположивог времена за плаћени рад и лични развој, и слободно време жена и мушкараца кроз препознавање, вредновање и редистрибуцију. Мера укључује више група активности као што су: континуирано истраживање и мерење и евидентирање неплаћеног рада, као и анализу ефеката које неплаћени рад има на квалитет свакодневног живота жена и мушкараца, вредновање неплаћеног рада кроз различите фискалне и пореске мере, едукативне програме и кампање о равномерној расподели неплаћеног кућног рада и бриге о деци и старијима у породицама, развој услуга неге и бриге за старије чланове домаћинства, развој услуга подршке особама које брину о члановима домаћинства који су особе са инвалидитетом, развој услуга бриге о деци у складу са потребама родитеља, а посебно једнородитељских породица, развој услуга подршке деци и породицама, повећање приступа услугама неге за старије и децу у руралним подручјима, подршка иновативним услугама које пружају подршку мајкама и очевима у вези са усклађивањем неплаћеног рада и њихових активности на тржишту рада, препознавање добрих примера из праксе, те подршка, како би добре праксе могле да се прошире и на друге средине. Ова мера укључује и измене и допуне оквира за стандардизацију и акредитацију услуга у заједници, тако да она препознаје мере које су сложеније, флексибилније и покривају истовремено више сектора, као и тамо где је потребно континуирано прилагођавање (на пример услуге које у себи садрже елементе подршке образовању, бриге и неге о деци и старијима, услуге превенције здравља, помоћ у кући итд.) Ово је нарочито важно за мање заједнице где нема великог броја корисница и корисника, а постоје велике потребе, као и за област подршке неплаћеном раду где су за сада само неке услуге развијене. Даље, ова мера укључује и рад са послодавцима на подстицању програма који помажу усклађивање рада и родитељства и приватног живота.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за рад, запошљавање, борачка и социјална питања.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Министарство привреде, Министарство за бригу о селу, Министарство за бригу о породици и демографију, Министарство здравља, Министарство државне управе и локалне самоуправе, СИПРУ, Републички завод за статистику, удружења послодаваца, привредне коморе, ЈЛС, покрајински секретаријати, ОЦД, академска заједница итд.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73"/>
        <w:gridCol w:w="4748"/>
      </w:tblGrid>
      <w:tr w:rsidR="00EF008E" w:rsidRPr="00EF008E" w:rsidTr="00455933">
        <w:trPr>
          <w:trHeight w:val="45"/>
          <w:tblCellSpacing w:w="0" w:type="auto"/>
        </w:trPr>
        <w:tc>
          <w:tcPr>
            <w:tcW w:w="778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Показатељи резултата 1.2</w:t>
            </w:r>
          </w:p>
        </w:tc>
        <w:tc>
          <w:tcPr>
            <w:tcW w:w="661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778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1.2.1: Број доступних услуга неге и бриге о старијима, болеснима и деци, разврстано по општини, броју корисника у односу на број становника и оптерећеност, врсту пружалаца услуга</w:t>
            </w:r>
          </w:p>
        </w:tc>
        <w:tc>
          <w:tcPr>
            <w:tcW w:w="661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МРЗБСП о услугама, извештаји локалних самоуправа о доступности услуга, независне анализе доступности услуга,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СИПРУ: Мапирање услуга социјалне заштите и материјалне подршке у надлежности ЈЛС у Републици Србији</w:t>
            </w:r>
          </w:p>
        </w:tc>
      </w:tr>
      <w:tr w:rsidR="00EF008E" w:rsidRPr="00EF008E" w:rsidTr="00455933">
        <w:trPr>
          <w:trHeight w:val="45"/>
          <w:tblCellSpacing w:w="0" w:type="auto"/>
        </w:trPr>
        <w:tc>
          <w:tcPr>
            <w:tcW w:w="778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1.2.2: Број доступних програма које помажу усклађивање рада и родитељства од стране послодаваца</w:t>
            </w:r>
          </w:p>
        </w:tc>
        <w:tc>
          <w:tcPr>
            <w:tcW w:w="661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МРЗБСП о услугама, извештаји ЈЛС о доступности услуга, анкете о задовољству корисника/ца, извештаји удружења послодаваца, информације из поднетих планова за унапређење родне равноправности из Закона о родној равноправности</w:t>
            </w:r>
          </w:p>
        </w:tc>
      </w:tr>
      <w:tr w:rsidR="00EF008E" w:rsidRPr="00EF008E" w:rsidTr="00455933">
        <w:trPr>
          <w:trHeight w:val="45"/>
          <w:tblCellSpacing w:w="0" w:type="auto"/>
        </w:trPr>
        <w:tc>
          <w:tcPr>
            <w:tcW w:w="778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1.2.3: Број сати и промене у коришћењу времена у правцу смањења сати неплаћеног рада</w:t>
            </w:r>
          </w:p>
        </w:tc>
        <w:tc>
          <w:tcPr>
            <w:tcW w:w="661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Истраживање о коришћењу времена, РЗС</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Истраживање спроводити на три године, што би значило три истраживања током периода спровођења Стратегије</w:t>
            </w:r>
          </w:p>
        </w:tc>
      </w:tr>
      <w:tr w:rsidR="00EF008E" w:rsidRPr="00EF008E" w:rsidTr="00455933">
        <w:trPr>
          <w:trHeight w:val="45"/>
          <w:tblCellSpacing w:w="0" w:type="auto"/>
        </w:trPr>
        <w:tc>
          <w:tcPr>
            <w:tcW w:w="778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1.2.4: Број законских и подзаконских аката и механизама за одговарајући институционални оквир за стандардизацију и акредитацију интегрисаних услуга</w:t>
            </w:r>
          </w:p>
        </w:tc>
        <w:tc>
          <w:tcPr>
            <w:tcW w:w="661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законских и подзаконских аката, анализа садржаја оквира за стандардизацију и акредитацију услуга, извештаји МРЗБСП, извештаји ЈЛС о постојању и функционисању интегрисаних услуга</w:t>
            </w:r>
          </w:p>
        </w:tc>
      </w:tr>
      <w:tr w:rsidR="00EF008E" w:rsidRPr="00EF008E" w:rsidTr="00455933">
        <w:trPr>
          <w:trHeight w:val="45"/>
          <w:tblCellSpacing w:w="0" w:type="auto"/>
        </w:trPr>
        <w:tc>
          <w:tcPr>
            <w:tcW w:w="778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1.2.5: Број јавних информативних кампања о равноправном коришћењу времена</w:t>
            </w:r>
          </w:p>
        </w:tc>
        <w:tc>
          <w:tcPr>
            <w:tcW w:w="661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ефектима јавних кампања, увид у штампање, видео, аудио, дигиталне материјале, испитивање јавног мњења, истраживање о коришћењу времена</w:t>
            </w:r>
          </w:p>
        </w:tc>
      </w:tr>
      <w:tr w:rsidR="00EF008E" w:rsidRPr="00EF008E" w:rsidTr="00455933">
        <w:trPr>
          <w:trHeight w:val="45"/>
          <w:tblCellSpacing w:w="0" w:type="auto"/>
        </w:trPr>
        <w:tc>
          <w:tcPr>
            <w:tcW w:w="778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1.2.6: Број законских и подзаконских аката и механизама за вредновање неплаћеног рада</w:t>
            </w:r>
          </w:p>
        </w:tc>
        <w:tc>
          <w:tcPr>
            <w:tcW w:w="661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законских и подзаконских аката, анализа садржаја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1.3. Смањење платног јаза између жена и мушкараца на тржишту рада у свим секторима и повећање учешћа жена у високо плаћеним пословима.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и ефекти мере: Ова мера има за циљ да допринесе смањењу платног јаза између жена и мушкараца, све до његовог потпуног елиминисања. Ова мера укључује измену и допуну одговарајуће легислативе, истраживања и анализе о узроцима платног јаза по секторима привреде и врстама занимања, и препоруке за смањење платног јаза, рад са послодавцима у јавном и приватном сектору, информативно едукативне кампање и активности које подижу свест о овом проблему међу послодавцима и запосленима и активности које препознају примере добре праксе. Ова мера укључује и анализу вредновања различитих послова, а нарочито послова који припадају такозваној социјалној инфраструктури (здравство, школство, наука, култура и уметност, послови неге и бриге за децу, старије, болесне, особе са инвалидитетом и др.) и њихово поновно вредновање у складу са значајем које ти послови имају за друштво. Ова мера биће усмерена и ка отклањању баријера које жене имају за напредовање у послу и каријери у различитим секторима, а нарочито у најпрофитабилнијим гранама привреде и секторима где су подзаступљене попут ИКТ, финансијског сектора, енергетике итд. Ова мера укључује и родну анализу пензијског и пореског система, и реализацију препорука за унапређење тих система из родне перспективе на начин да допринесу смањењу платног јаза.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за рад, запошљавање, борачка и социјална питања.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Министарство финансија, Министарство привреде, Пореска управа, удружење послодаваца, синдикати, РФПИО.</w:t>
      </w:r>
    </w:p>
    <w:p w:rsidR="00EF008E" w:rsidRPr="00EF008E" w:rsidRDefault="00EF008E" w:rsidP="00EF008E">
      <w:pPr>
        <w:spacing w:after="150" w:line="276" w:lineRule="auto"/>
        <w:contextualSpacing w:val="0"/>
        <w:rPr>
          <w:rFonts w:ascii="Arial" w:hAnsi="Arial" w:cs="Arial"/>
          <w:sz w:val="22"/>
          <w:szCs w:val="22"/>
          <w:lang w:val="sr-Cyrl-RS"/>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97"/>
        <w:gridCol w:w="4824"/>
      </w:tblGrid>
      <w:tr w:rsidR="00EF008E" w:rsidRPr="00EF008E" w:rsidTr="00455933">
        <w:trPr>
          <w:trHeight w:val="45"/>
          <w:tblCellSpacing w:w="0" w:type="auto"/>
        </w:trPr>
        <w:tc>
          <w:tcPr>
            <w:tcW w:w="763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Показатељи резултата 1.3</w:t>
            </w:r>
          </w:p>
        </w:tc>
        <w:tc>
          <w:tcPr>
            <w:tcW w:w="67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763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1.3.1: Просечан платни јаз између мушкараца и жена по секторима</w:t>
            </w:r>
          </w:p>
        </w:tc>
        <w:tc>
          <w:tcPr>
            <w:tcW w:w="67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МРЗБСП, независне студије и анализе института, организација, академске заједнице, статистички подаци РЗС, Индекс родне равноправности</w:t>
            </w:r>
          </w:p>
        </w:tc>
      </w:tr>
      <w:tr w:rsidR="00EF008E" w:rsidRPr="00EF008E" w:rsidTr="00455933">
        <w:trPr>
          <w:trHeight w:val="45"/>
          <w:tblCellSpacing w:w="0" w:type="auto"/>
        </w:trPr>
        <w:tc>
          <w:tcPr>
            <w:tcW w:w="763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1.3.2: Измењени закони и подзаконска акта и програми и унапређен систем тако да доприноси смањењу платног јаза</w:t>
            </w:r>
          </w:p>
        </w:tc>
        <w:tc>
          <w:tcPr>
            <w:tcW w:w="67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законских и подзаконских аката, извештаји актера који спроводе меру, предлози и садржаји програма Министарства финансија, Министарства привреде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i/>
                <w:color w:val="000000"/>
                <w:sz w:val="22"/>
                <w:szCs w:val="22"/>
                <w:lang w:val="sr-Cyrl-RS"/>
              </w:rPr>
              <w:t>Ex-post</w:t>
            </w:r>
            <w:r w:rsidRPr="00EF008E">
              <w:rPr>
                <w:rFonts w:ascii="Arial" w:hAnsi="Arial" w:cs="Arial"/>
                <w:color w:val="000000"/>
                <w:sz w:val="22"/>
                <w:szCs w:val="22"/>
                <w:lang w:val="sr-Cyrl-RS"/>
              </w:rPr>
              <w:t xml:space="preserve"> анализа измена</w:t>
            </w:r>
          </w:p>
        </w:tc>
      </w:tr>
      <w:tr w:rsidR="00EF008E" w:rsidRPr="00EF008E" w:rsidTr="00455933">
        <w:trPr>
          <w:trHeight w:val="45"/>
          <w:tblCellSpacing w:w="0" w:type="auto"/>
        </w:trPr>
        <w:tc>
          <w:tcPr>
            <w:tcW w:w="763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1.3.3: Измењени закони и подзаконски акти и програми и унапређен пензијски систем који доприноси смањењу платног јаза</w:t>
            </w:r>
          </w:p>
        </w:tc>
        <w:tc>
          <w:tcPr>
            <w:tcW w:w="67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законских и подзаконских аката, извештаји актера који спроводе меру, предлози и садржаји програма МРЗБСП, ПИО фонда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i/>
                <w:color w:val="000000"/>
                <w:sz w:val="22"/>
                <w:szCs w:val="22"/>
                <w:lang w:val="sr-Cyrl-RS"/>
              </w:rPr>
              <w:t>Ex-post</w:t>
            </w:r>
            <w:r w:rsidRPr="00EF008E">
              <w:rPr>
                <w:rFonts w:ascii="Arial" w:hAnsi="Arial" w:cs="Arial"/>
                <w:color w:val="000000"/>
                <w:sz w:val="22"/>
                <w:szCs w:val="22"/>
                <w:lang w:val="sr-Cyrl-RS"/>
              </w:rPr>
              <w:t xml:space="preserve"> анализа измена</w:t>
            </w:r>
          </w:p>
        </w:tc>
      </w:tr>
      <w:tr w:rsidR="00EF008E" w:rsidRPr="00EF008E" w:rsidTr="00455933">
        <w:trPr>
          <w:trHeight w:val="45"/>
          <w:tblCellSpacing w:w="0" w:type="auto"/>
        </w:trPr>
        <w:tc>
          <w:tcPr>
            <w:tcW w:w="763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1.3.4: Усвојени акти којима се унапређује институционални оквир и стварање механизама за постизање равноправности у зарадама</w:t>
            </w:r>
          </w:p>
        </w:tc>
        <w:tc>
          <w:tcPr>
            <w:tcW w:w="67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законских и подзаконских аката, извештаји актера који спроводе меру</w:t>
            </w:r>
          </w:p>
        </w:tc>
      </w:tr>
      <w:tr w:rsidR="00EF008E" w:rsidRPr="00EF008E" w:rsidTr="00455933">
        <w:trPr>
          <w:trHeight w:val="45"/>
          <w:tblCellSpacing w:w="0" w:type="auto"/>
        </w:trPr>
        <w:tc>
          <w:tcPr>
            <w:tcW w:w="763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1.3.5: Удео жена у највишим зарадама</w:t>
            </w:r>
          </w:p>
        </w:tc>
        <w:tc>
          <w:tcPr>
            <w:tcW w:w="676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Подаци о зарадама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1.4. Успостављање системске подршке за започињање, развој и раст бизниса у већинском власништву жена и повећање профитабилности њихових предузетничких активности.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и ефекти мере: Ова мера има за циљ да смањи родни јаз у предузетништву, повећа учешће жена у предузетништву која је резултат прилике/шансе на тржишту, олакша излазак из неформалне економије, повећа приступ информацијама, знању, капиталу, ресурсима финансијске и не финансијске подршке, повећа приходе, профитабилност, одрживост и стопу преживљавања бизниса у власништву жена.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 ове мере је да створи континуирани систем подршке, који препознаје фазе у развоју пословања (започињање, развој и раст) и, сходно потребама сваке фазе, пружа одговарајућу подршку у континуитету, препознаје области у којима су груписана предузећа у власништву жена и подржава њихов одрживи развој и раст; препознаје области економије у којима су предузетнице мање заступљене, а перспективне су, и помаже у повећању учешћа жена у тим областима (на пример: зелена и циркуларна економија, обновљиви извори енергије, дигитална економија и економија знања и др.); препознаје родне аспекте предузетничке активности и предлаже начине за балансирање предузетничке активности са породичним и приватним животом. Ова мера укључује и анализу закона који обликују преудзетничко пословање, а посебно када се ради о паушалним предузетницима и предузетницама и начину остваривања права на породиљско, одсуство ради неге детета и/ли родитељски додатак, право за случај незапослености и др.</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Ова мера има неколико кластера активности које укључују: унапређење родне статистике у областима пословне статистике и регистара о привредним друштвима, кредитима и финансијским производима, као и вођење евиденција о учешћу жена у мерама подршке привреди, редовно праћење и анализу пословања предузећа према полу власника, сектору, региону итд. на годишњем нивоу; креирање едукативних програма и кампања које циљају да приближе женама предузетништво, као начин за остваривање прихода, повећање приступа информацијама и знањима од значаја за развој бизниса, програмима који доприносе повећаном учешћу жена у јавним набавкама и ланцима добављача, приступ стартап програмима подршке програмима за развој и раст бизниса који ће посебно циљати жене, приступ програмима финансијске подршке за развој и раст предузећа у проценту већем од учешћа у предузетништву, иновативне и друге финансијске производе који одговарају на потребе предузетница у различитим секторима привреде, програме развоја пословне инфраструктуре, која погађа посебно жене, као што су, на пример, пословни инкубатори и други слични системи подршке, као и подршку програмима организација жена и других ОЦД које су посебно усмерене на предузетничке активности жена.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привреде и Привредна комора Србије.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Министарство за рад, запошљавање, борачка и социјална питања; Министарство државне управе и локалне самоуправе, Покрајински секретаријат за привреду и туризам, Развојна агенција Србије (РАС), мрежа регионалних развојних агенција, ЈЛС, Народна Банка Србије, пословни инкубатори, РЗС, Агенција за привредне регистре (АПР), привредне коморе и удружења послодаваца.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03"/>
        <w:gridCol w:w="4818"/>
      </w:tblGrid>
      <w:tr w:rsidR="00EF008E" w:rsidRPr="00EF008E" w:rsidTr="00455933">
        <w:trPr>
          <w:trHeight w:val="45"/>
          <w:tblCellSpacing w:w="0" w:type="auto"/>
        </w:trPr>
        <w:tc>
          <w:tcPr>
            <w:tcW w:w="76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Показатељи резултата 1.4</w:t>
            </w:r>
          </w:p>
        </w:tc>
        <w:tc>
          <w:tcPr>
            <w:tcW w:w="67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76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1.4.1: Учешће жена у предузетништву</w:t>
            </w:r>
          </w:p>
        </w:tc>
        <w:tc>
          <w:tcPr>
            <w:tcW w:w="67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привреде, Привредне коморе Србије, статистички подаци РЗС, базе АПР-а</w:t>
            </w:r>
          </w:p>
        </w:tc>
      </w:tr>
      <w:tr w:rsidR="00EF008E" w:rsidRPr="00EF008E" w:rsidTr="00455933">
        <w:trPr>
          <w:trHeight w:val="45"/>
          <w:tblCellSpacing w:w="0" w:type="auto"/>
        </w:trPr>
        <w:tc>
          <w:tcPr>
            <w:tcW w:w="76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1.4.2: Стопа преживљавања новооснованих предузећа у већинском власништву жена по секторима</w:t>
            </w:r>
          </w:p>
        </w:tc>
        <w:tc>
          <w:tcPr>
            <w:tcW w:w="67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привреде, Привредне коморе Србије, статистички подаци РЗС, базе АПР-а</w:t>
            </w:r>
          </w:p>
        </w:tc>
      </w:tr>
      <w:tr w:rsidR="00EF008E" w:rsidRPr="00EF008E" w:rsidTr="00455933">
        <w:trPr>
          <w:trHeight w:val="45"/>
          <w:tblCellSpacing w:w="0" w:type="auto"/>
        </w:trPr>
        <w:tc>
          <w:tcPr>
            <w:tcW w:w="76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1.4.3: Стопа раста предузећа у већинском власништву жена по секторима</w:t>
            </w:r>
          </w:p>
        </w:tc>
        <w:tc>
          <w:tcPr>
            <w:tcW w:w="67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привреде, Привредне коморе Србије, статистички подаци РЗС, базе АПР-а</w:t>
            </w:r>
          </w:p>
        </w:tc>
      </w:tr>
      <w:tr w:rsidR="00EF008E" w:rsidRPr="00EF008E" w:rsidTr="00455933">
        <w:trPr>
          <w:trHeight w:val="45"/>
          <w:tblCellSpacing w:w="0" w:type="auto"/>
        </w:trPr>
        <w:tc>
          <w:tcPr>
            <w:tcW w:w="76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1.4.4: Стопа профитабилности предузећа у већинском власништву жена по секторима</w:t>
            </w:r>
          </w:p>
        </w:tc>
        <w:tc>
          <w:tcPr>
            <w:tcW w:w="67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привреде, Привредне коморе Србије, статистички подаци РЗС, базе АПР-а</w:t>
            </w:r>
          </w:p>
        </w:tc>
      </w:tr>
      <w:tr w:rsidR="00EF008E" w:rsidRPr="00EF008E" w:rsidTr="00455933">
        <w:trPr>
          <w:trHeight w:val="45"/>
          <w:tblCellSpacing w:w="0" w:type="auto"/>
        </w:trPr>
        <w:tc>
          <w:tcPr>
            <w:tcW w:w="76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1.4.5: Број и врста стално успостављених програма подршке предузетништву жена</w:t>
            </w:r>
          </w:p>
        </w:tc>
        <w:tc>
          <w:tcPr>
            <w:tcW w:w="67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програма које успостављају актери релевантни за реализацију мере</w:t>
            </w:r>
          </w:p>
        </w:tc>
      </w:tr>
      <w:tr w:rsidR="00EF008E" w:rsidRPr="00EF008E" w:rsidTr="00455933">
        <w:trPr>
          <w:trHeight w:val="45"/>
          <w:tblCellSpacing w:w="0" w:type="auto"/>
        </w:trPr>
        <w:tc>
          <w:tcPr>
            <w:tcW w:w="76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1.4.6: Проценат буџетских средстава одвојен за подршку предузетништву жена</w:t>
            </w:r>
          </w:p>
        </w:tc>
        <w:tc>
          <w:tcPr>
            <w:tcW w:w="67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буџетске планове и извештаје о потрошњи</w:t>
            </w:r>
          </w:p>
        </w:tc>
      </w:tr>
      <w:tr w:rsidR="00EF008E" w:rsidRPr="00EF008E" w:rsidTr="00455933">
        <w:trPr>
          <w:trHeight w:val="45"/>
          <w:tblCellSpacing w:w="0" w:type="auto"/>
        </w:trPr>
        <w:tc>
          <w:tcPr>
            <w:tcW w:w="76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1.4.7: Проценат учешћа жена у секторима дигиталне, циркуларне и зелене економије</w:t>
            </w:r>
            <w:r w:rsidRPr="00EF008E">
              <w:rPr>
                <w:rFonts w:ascii="Arial" w:hAnsi="Arial" w:cs="Arial"/>
                <w:color w:val="000000"/>
                <w:sz w:val="22"/>
                <w:szCs w:val="22"/>
                <w:vertAlign w:val="superscript"/>
                <w:lang w:val="sr-Cyrl-RS"/>
              </w:rPr>
              <w:t>894</w:t>
            </w:r>
          </w:p>
          <w:p w:rsidR="00EF008E" w:rsidRPr="00EF008E" w:rsidRDefault="00EF008E" w:rsidP="00EF008E">
            <w:pPr>
              <w:spacing w:after="150" w:line="276" w:lineRule="auto"/>
              <w:contextualSpacing w:val="0"/>
              <w:rPr>
                <w:rFonts w:ascii="Arial" w:hAnsi="Arial" w:cs="Arial"/>
                <w:sz w:val="22"/>
                <w:szCs w:val="22"/>
                <w:lang w:val="sr-Cyrl-RS"/>
              </w:rPr>
            </w:pPr>
          </w:p>
        </w:tc>
        <w:tc>
          <w:tcPr>
            <w:tcW w:w="67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анализе актера задужених за примену мере, анализе Координационог тела за родну равноправност, независне процене и извештаји института, ОЦД</w:t>
            </w:r>
          </w:p>
        </w:tc>
      </w:tr>
      <w:tr w:rsidR="00EF008E" w:rsidRPr="00EF008E" w:rsidTr="00455933">
        <w:trPr>
          <w:trHeight w:val="45"/>
          <w:tblCellSpacing w:w="0" w:type="auto"/>
        </w:trPr>
        <w:tc>
          <w:tcPr>
            <w:tcW w:w="76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1.4.8.: Удео предузећа у власништву жена у високорастућим</w:t>
            </w:r>
            <w:r w:rsidRPr="00EF008E">
              <w:rPr>
                <w:rFonts w:ascii="Arial" w:hAnsi="Arial" w:cs="Arial"/>
                <w:color w:val="000000"/>
                <w:sz w:val="22"/>
                <w:szCs w:val="22"/>
                <w:vertAlign w:val="superscript"/>
                <w:lang w:val="sr-Cyrl-RS"/>
              </w:rPr>
              <w:t>895</w:t>
            </w:r>
            <w:r w:rsidRPr="00EF008E">
              <w:rPr>
                <w:rFonts w:ascii="Arial" w:hAnsi="Arial" w:cs="Arial"/>
                <w:color w:val="000000"/>
                <w:sz w:val="22"/>
                <w:szCs w:val="22"/>
                <w:lang w:val="sr-Cyrl-RS"/>
              </w:rPr>
              <w:t xml:space="preserve"> секторима</w:t>
            </w:r>
          </w:p>
        </w:tc>
        <w:tc>
          <w:tcPr>
            <w:tcW w:w="67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привреде, статистички подаци РЗС, базе АПР-а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1.5. Успостављање системске подршке за подстицање учешћа жена у друштвеним и технолошким иновацијама и повећању користи од иновационе делатности.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и ефекти мере: Ова мера има за циљ да смањи родни јаз у учешћу и добитима које проистичу из иновационе делатности. У оквиру ове мере је кластер различитих активности, које укључују: развој институционалног оквира за укључивање жена и девојака у технолошке и друштвене иновације, повећање учешћа жена и девојака у областима истраживања и развоја, повећање учешће жена у програмима подршке иновацијама, повећање приступа информацијама, знању, капиталу, ресурсима за подршку иновацијама, подстицање, препознавање и промоција иноваторки у друштву, промоција и подршка друштвеним и технолошким иновацијама и подстицање улагања у иновативност и у оним секторима у којима су жене на тржишту рада и предузећима у већинском власништву жена више заступљене. Даље, ова мера укључује подстицање жена и девојака на учешће у иновационој делатности повезаној са дигиталном, циркуларном и зеленом економијом, кроз истраживачке тимове, у својству стручњакиња, односно предузетница у овим областима. Ова мера подразумева и повећање учешћа жена у заштити интелектуалне својине и патената, повећање знања и информација о заштити интелектуалне својине и иновационој делатности. Поред тога, ова мера подстиче на посебно укључивање жена и девојака у научно-технолошке паркове, иновационе инкубаторе и сличне центре, као и формирање и подршку постојећим мултидисциплинарним мрежама иноваторки и научница уз подршку њиховом раду и активностима. Додатно, ова мера усмерена је и на успостављање континуираног финансирања развоја, пилотирања и скалирања иновативних решења и производа иноваторки. Ова мера укључује и повећање родних компетенција у сектору науке и технологије и интегрисање родне перспективе у све стратешке документе који се односе на иновациону делатност.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просвете, науке и технолошког развоја.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Министарство привреде, Фонд за иновациону делатност, пословни инкубатори и технолошки паркови, СИПРУ, Завод за интелектуалну својину Републике Србије, привредне коморе, удружења послодаваца, РАС и мрежа развојних агенција.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352"/>
        <w:gridCol w:w="3869"/>
      </w:tblGrid>
      <w:tr w:rsidR="00EF008E" w:rsidRPr="00EF008E" w:rsidTr="00455933">
        <w:trPr>
          <w:trHeight w:val="45"/>
          <w:tblCellSpacing w:w="0" w:type="auto"/>
        </w:trPr>
        <w:tc>
          <w:tcPr>
            <w:tcW w:w="9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Показатељи резултата 1.5</w:t>
            </w:r>
          </w:p>
        </w:tc>
        <w:tc>
          <w:tcPr>
            <w:tcW w:w="51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9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1.5.1: Број законских и стратешких докумената за развој друштвених иновација</w:t>
            </w:r>
          </w:p>
        </w:tc>
        <w:tc>
          <w:tcPr>
            <w:tcW w:w="51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законских и стратешких докумената, анализа уродњавања законских и стратешких докумената за развој друштвених иновација</w:t>
            </w:r>
          </w:p>
        </w:tc>
      </w:tr>
      <w:tr w:rsidR="00EF008E" w:rsidRPr="00EF008E" w:rsidTr="00455933">
        <w:trPr>
          <w:trHeight w:val="45"/>
          <w:tblCellSpacing w:w="0" w:type="auto"/>
        </w:trPr>
        <w:tc>
          <w:tcPr>
            <w:tcW w:w="9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1.5.2: Степен уродњавања области иновационе делатности</w:t>
            </w:r>
          </w:p>
        </w:tc>
        <w:tc>
          <w:tcPr>
            <w:tcW w:w="51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законских и стратешких докумената, анализа уродњавања законских и стратешких докумената за развој друштвених иновација, Жене и мушкарци у Републици Србији</w:t>
            </w:r>
          </w:p>
        </w:tc>
      </w:tr>
      <w:tr w:rsidR="00EF008E" w:rsidRPr="00EF008E" w:rsidTr="00455933">
        <w:trPr>
          <w:trHeight w:val="45"/>
          <w:tblCellSpacing w:w="0" w:type="auto"/>
        </w:trPr>
        <w:tc>
          <w:tcPr>
            <w:tcW w:w="9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1.5.3: Број програма обуке за јачање родне компетенције националног иновационог система (скуп организација, институција и њихових веза у функцији генерисања, дифузије и примене научних знања у Републици Србији) на свим нивоима</w:t>
            </w:r>
          </w:p>
        </w:tc>
        <w:tc>
          <w:tcPr>
            <w:tcW w:w="51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ефектима обука, независне процене и анализе капацитета националног иновационог система</w:t>
            </w:r>
          </w:p>
        </w:tc>
      </w:tr>
      <w:tr w:rsidR="00EF008E" w:rsidRPr="00EF008E" w:rsidTr="00455933">
        <w:trPr>
          <w:trHeight w:val="45"/>
          <w:tblCellSpacing w:w="0" w:type="auto"/>
        </w:trPr>
        <w:tc>
          <w:tcPr>
            <w:tcW w:w="9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1.5.4: Проценат жена у заштити интелектуалне својине и патената, по врсти заштите</w:t>
            </w:r>
          </w:p>
        </w:tc>
        <w:tc>
          <w:tcPr>
            <w:tcW w:w="51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подаци Завода за интелектуалну својину Републике Србије</w:t>
            </w:r>
          </w:p>
        </w:tc>
      </w:tr>
      <w:tr w:rsidR="00EF008E" w:rsidRPr="00EF008E" w:rsidTr="00455933">
        <w:trPr>
          <w:trHeight w:val="45"/>
          <w:tblCellSpacing w:w="0" w:type="auto"/>
        </w:trPr>
        <w:tc>
          <w:tcPr>
            <w:tcW w:w="9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1.5.5: Проценат жена у иновационој делатности на свим нивоима које имају приступ буџетској подршци</w:t>
            </w:r>
          </w:p>
        </w:tc>
        <w:tc>
          <w:tcPr>
            <w:tcW w:w="51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буџетска планирања и извештаје, независне анализе и студије, извештаји Фонда за иновациону делатност</w:t>
            </w:r>
          </w:p>
        </w:tc>
      </w:tr>
      <w:tr w:rsidR="00EF008E" w:rsidRPr="00EF008E" w:rsidTr="00455933">
        <w:trPr>
          <w:trHeight w:val="45"/>
          <w:tblCellSpacing w:w="0" w:type="auto"/>
        </w:trPr>
        <w:tc>
          <w:tcPr>
            <w:tcW w:w="920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1.5.6. Број и врста програма подршке друштвеним и технолошким иновацијама који посебно циљају жене</w:t>
            </w:r>
          </w:p>
        </w:tc>
        <w:tc>
          <w:tcPr>
            <w:tcW w:w="519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Програми подршке</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1.6: Уродњавање јавних политика и законодавства у области предшколског и основношколског васпитања и образовања, јачање капацитета свих релевантних актера и институција и подизања нивоа свести о значају остваривања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и ефекти мере: Основни циљ ове мере јесте допринос смањењу родног јаза у образовању кроз уродњавање предшколског и основношколског васпитања и образовања. Уродњавање је процес који је потребно спроводити континуирано кроз унапређење јавних политика и правног оквира, јачање капацитета свих релевантних актера и институција и подизања нивоа свести о значају остваривања принципа родне равноправности. Ова мера је веома широка и комплексна и спроводиће се кроз неколико кластера активности. Најпре, ова мера подразумева увођење обавезних родно осетљивих и антидискриминаторних образовних програма и наставних садржаја у предшколско и основношколско образовање и васпитање, који укључују нове исходе и програме наставе и учења за основне школе са садржајима који афирмишу родну равноправност и повећавају видљивост женског доприноса у науци и култури. Мера укључује и ревизију наставних садржаја и уџбеника ради елиминисања родних стереотипа, дискриминаторних садржаја и дискриминаторског језика, као и исправљање ових садржаја уз увођење родно осетљивог језика у све наставне садржаје. Поред тога, мера укључује увођење образовања о сексуалном и репродуктивном здрављу и правима у складу са узрастом. Такође, ова мера подразумева успостављање регулаторног оквира за унапређивање компетенција запослених у образовању и васпитању путем увођења обавезних образовних програма о родној равноправности и укључивање садржаја о родној равноправности и дискриминацији у испит за добијање лиценце за рад у предшколским установама, школама/настави, односно, остваривању програма васпитно-образовног рада. Такође, да би се ова мера остварила, неопходно је унапредити прописе у области предшколског и основношколског образовања, као и јачати компетенције свих релевантних актера и институција у предшколском и основношколском образовању. Неопходно је изменити родно стереотипне и дискриминаторне садржаје из наставних планова, програма и уџбеника и увести нове родно осетљиве и недискриминаторне садржаје. Такође, неопходне су и бројне активности за превазилажење родних стереотипа и предрасуда, стереотипних схватања родних улога, измену постојећих друштвених образаца понашања, као и сензибилисање свих актера и институција у предшколском и основношколском васпитању и образовању. Посебну пажњу је потребно обратити на девојчице и дечаке из осетљивих група (са инвалидитетом, из ромске заједнице, из сеоских и депривираних крајева, сиромашне), како у наставним плановима, програмима и уџбеницима, тако и кроз подизање нивоа свести у сарадњи са ОЦД и другим актерима који се баве заштитом права појединих група које су у већем ризику од дискриминације. Поред тога, неопходно је унапредити инклузивно васпитање и образовање и осигурати да девојчице ромске националности и девојчице са инвалидитетом имају једнаке шансе у образовању.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просвете, науке и технолошког развоја, Завод за унапређивање образовања и васпитања.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школске управе, органи аутономних покрајина и ЈЛС, предшколске установе, основне школе, СКГО.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14"/>
        <w:gridCol w:w="4807"/>
      </w:tblGrid>
      <w:tr w:rsidR="00EF008E" w:rsidRPr="00EF008E" w:rsidTr="00455933">
        <w:trPr>
          <w:trHeight w:val="45"/>
          <w:tblCellSpacing w:w="0" w:type="auto"/>
        </w:trPr>
        <w:tc>
          <w:tcPr>
            <w:tcW w:w="75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резултата мере 1.6</w:t>
            </w:r>
          </w:p>
        </w:tc>
        <w:tc>
          <w:tcPr>
            <w:tcW w:w="68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75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1.6.1: Број ревидираних програма наставе и учења и уџбеника из којих су уклоњени родно засновани стереотипи, дискриминаторни садржаји и дискриминаторни језик.</w:t>
            </w:r>
          </w:p>
        </w:tc>
        <w:tc>
          <w:tcPr>
            <w:tcW w:w="68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Родна анализа наставних садржаја и уџбеника, извештаји Завода за унапређивање образовања и васпитања и Министарства просвете, науке и технолошког развоја, извештаји Завода за вредновање квалитета образовања и васпитања.</w:t>
            </w:r>
          </w:p>
        </w:tc>
      </w:tr>
      <w:tr w:rsidR="00EF008E" w:rsidRPr="00EF008E" w:rsidTr="00455933">
        <w:trPr>
          <w:trHeight w:val="45"/>
          <w:tblCellSpacing w:w="0" w:type="auto"/>
        </w:trPr>
        <w:tc>
          <w:tcPr>
            <w:tcW w:w="75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 6.2: Број исхода и програма наставе и учења који афирмишу родну равноправност и повећавају видљивост женског доприноса на нивоу предшколског и основношколског васпитања и образовања.</w:t>
            </w:r>
          </w:p>
        </w:tc>
        <w:tc>
          <w:tcPr>
            <w:tcW w:w="68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Родна анализа исхода и програма наставе и учења Министарства просвете, науке и технолошког развоја, Завода за вредновање квалитета образовања и васпитања и Завода за унапређење образовања и васпитања.</w:t>
            </w:r>
          </w:p>
        </w:tc>
      </w:tr>
      <w:tr w:rsidR="00EF008E" w:rsidRPr="00EF008E" w:rsidTr="00455933">
        <w:trPr>
          <w:trHeight w:val="45"/>
          <w:tblCellSpacing w:w="0" w:type="auto"/>
        </w:trPr>
        <w:tc>
          <w:tcPr>
            <w:tcW w:w="75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1.6.3: Број програма стручног усавршавања који укључују унапређивање компетенција запослених у образовању и васпитању о сексуалном и репродуктивном здрављу и правима у основношколском образовању.</w:t>
            </w:r>
          </w:p>
        </w:tc>
        <w:tc>
          <w:tcPr>
            <w:tcW w:w="68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просвете, науке и технолошког развоја о спровођењу програма образовања о сексуалном и репродуктивном здрављу, на годишњем нивоу.</w:t>
            </w:r>
          </w:p>
        </w:tc>
      </w:tr>
      <w:tr w:rsidR="00EF008E" w:rsidRPr="00EF008E" w:rsidTr="00455933">
        <w:trPr>
          <w:trHeight w:val="45"/>
          <w:tblCellSpacing w:w="0" w:type="auto"/>
        </w:trPr>
        <w:tc>
          <w:tcPr>
            <w:tcW w:w="75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1.6.4: Број подзаконских аката за предшколско и основношколско образовање који укључују унапређивање компетенција запослених у образовању и васпитању у области родне равноправности.</w:t>
            </w:r>
          </w:p>
        </w:tc>
        <w:tc>
          <w:tcPr>
            <w:tcW w:w="68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подзаконских аката.</w:t>
            </w:r>
          </w:p>
        </w:tc>
      </w:tr>
      <w:tr w:rsidR="00EF008E" w:rsidRPr="00EF008E" w:rsidTr="00455933">
        <w:trPr>
          <w:trHeight w:val="45"/>
          <w:tblCellSpacing w:w="0" w:type="auto"/>
        </w:trPr>
        <w:tc>
          <w:tcPr>
            <w:tcW w:w="75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1.6.5: Број запослених у предуниверзитетском образовању који су похађали обуке у области родне равноправности, разврстано по полу, нивоу образовања, школској управи/региону.</w:t>
            </w:r>
          </w:p>
        </w:tc>
        <w:tc>
          <w:tcPr>
            <w:tcW w:w="68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евалуације ефеката обука, које припремају реализатори и Завод за унапређење образовања и васпитања.</w:t>
            </w:r>
          </w:p>
        </w:tc>
      </w:tr>
      <w:tr w:rsidR="00EF008E" w:rsidRPr="00EF008E" w:rsidTr="00455933">
        <w:trPr>
          <w:trHeight w:val="45"/>
          <w:tblCellSpacing w:w="0" w:type="auto"/>
        </w:trPr>
        <w:tc>
          <w:tcPr>
            <w:tcW w:w="75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1.6.6: Број акредитованих обука у области родне равноправности.</w:t>
            </w:r>
          </w:p>
        </w:tc>
        <w:tc>
          <w:tcPr>
            <w:tcW w:w="68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каталога акредитованих програма за стручно усавршавање запослених у образовању, на годишњем нивоу; извештаји Завода за унапређење образовања и васпитања о реализованим обука на годишњем нивоу.</w:t>
            </w:r>
          </w:p>
        </w:tc>
      </w:tr>
      <w:tr w:rsidR="00EF008E" w:rsidRPr="00EF008E" w:rsidTr="00455933">
        <w:trPr>
          <w:trHeight w:val="45"/>
          <w:tblCellSpacing w:w="0" w:type="auto"/>
        </w:trPr>
        <w:tc>
          <w:tcPr>
            <w:tcW w:w="752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1.6.7: Број одраслих жена из осетљивих група које су укључене у програм функционалног основног образовања одраслих (ФООО).</w:t>
            </w:r>
          </w:p>
        </w:tc>
        <w:tc>
          <w:tcPr>
            <w:tcW w:w="68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Министарства просвете, науке и технолошког развоја.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1.7. Уродњавање јавних политика и законодавства у области средњег образовања и васпитања, јачање капацитета свих релевантних актера и институција, подизање нивоа свести о значају остваривања родне равноправности и промоција инклузивног родно сензитивног доживотног учења.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и ефекти мере: Основни циљ ове мере јесте допринос смањењу родног јаза у образовању кроз уродњавање средњошколског образовања. Уродњавање је процес који је потребно спроводити континуирано кроз унапређење јавних политика и правног оквира, јачање капацитета свих релевантних актера и институција и подизања нивоа свести о значају остваривања принципа родне равноправности. Ова мера је веома широка и комплексна и спроводиће се кроз неколико кластера активности. Између осталог, ова мера подразумева увођење обавезних родно осетљивих и антидискриминаторних образовних програма и наставних садржаја у средњошколско образовање, као и креирање нових исхода и програма наставе и учења за средње школе са садржајима који афирмишу родну равноправност и повећавају видљивост женског доприноса у науци и култури. Такође, мера подразумева успостављање регулаторног оквира за унапређивање компетенција запослених у средњошколском образовању путем увођења обавезних образовних програма о родној равноправности и укључивање садржаја о родној равноправности у испит за добијање лиценце за рад у школама и настави. Поред тога, мера укључује и ревизију наставних садржаја и уџбеника за средње школе ради елиминисања родних стереотипа, дискриминаторних садржаја и дискриминаторског језика, а након тога и њихову измену. Мера укључује увођење образовања о сексуалном и репродуктивном здрављу и правима, укључујући и питања родних односа, родних улога и одговорног сексуалног понашања, са посебним акцентом на развијању програма рада са дечацима и младићима о њиховој одговорности и улози у чувању репродуктивног здравља и употребе контрацепције. Надаље, мера подразумева сет активности за смањење родне сегрегације у средњошколском образовању, укључујући и охрабривање девојчица и дечака за образовање за нетрадиционална занимања, што подразумева рад са ученицима/цама у основној школи кроз програме професионалне оријентације. Потребно је, такође, радити на ојачавању механизама за задржавање девојчица ромске националности у образовном систему, као и обезбеђивање равноправног приступа средњошколском образовању за девојчице из осетљивих група. Такође, мера укључује и активности подршке младим женама које су напустиле образовање, као и младим и малолетним мајкама за наставак школовања. Поред тога, један сет активности се односи на образовање одраслих и целоживотно учење.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Да би се ова мера остварила, неопходно је унапредити прописе у области средњошколског образовања и упоредо радити на јачању компетенција свих релевантних актера и институција у средњошколском образовању. Неопходно је изменити родно стереотипне и дискриминаторне садржаје из наставних планова, програма и уџбеника и увести нове садржаје, који ће бити родно осетљиви и недискриминаторни. Такође, неопходне су и бројне активности за превазилажење родних стереотипа и предрасуда, стереотипних схватања родних улога, измену постојећих друштвених образаца понашања, као и сензибилисање свих актера и институција у средњошколском образовању. Посебну пажњу потребно је обратити на девојчице и дечаке из осетљивих група, како у програмима наставе и учења и у уџбеницима, тако и кроз подизање нивоа свести у сарадњи са ОЦД и другим актерима који се баве заштитом права појединих група које су у већем ризику од дискриминације. Поред тога, посебну пажњу је потребно усмерити на девојке и младе мајке које су напустиле образовање, те радити на подизању њихове свети и информисаности о могућностима наставка образовања, уз истовремено креирање посебних мера за наставак њиховог образовања. Надаље, неопходно је активно и координисано деловање свих релевантних актера и институција средњошколског образовања, како би се удруженим снагама радило на уродњавању средњошколског образовања. То, између осталог, укључује и широке националне кампање за оснаживање девојчица и дечака да бирају нетрадиционална </w:t>
      </w:r>
      <w:r>
        <w:rPr>
          <w:rFonts w:ascii="Arial" w:hAnsi="Arial" w:cs="Arial"/>
          <w:color w:val="000000"/>
          <w:sz w:val="22"/>
          <w:szCs w:val="22"/>
          <w:lang w:val="sr-Cyrl-RS"/>
        </w:rPr>
        <w:t>"</w:t>
      </w:r>
      <w:r w:rsidRPr="00EF008E">
        <w:rPr>
          <w:rFonts w:ascii="Arial" w:hAnsi="Arial" w:cs="Arial"/>
          <w:color w:val="000000"/>
          <w:sz w:val="22"/>
          <w:szCs w:val="22"/>
          <w:lang w:val="sr-Cyrl-RS"/>
        </w:rPr>
        <w:t>женска</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и </w:t>
      </w:r>
      <w:r>
        <w:rPr>
          <w:rFonts w:ascii="Arial" w:hAnsi="Arial" w:cs="Arial"/>
          <w:color w:val="000000"/>
          <w:sz w:val="22"/>
          <w:szCs w:val="22"/>
          <w:lang w:val="sr-Cyrl-RS"/>
        </w:rPr>
        <w:t>"</w:t>
      </w:r>
      <w:r w:rsidRPr="00EF008E">
        <w:rPr>
          <w:rFonts w:ascii="Arial" w:hAnsi="Arial" w:cs="Arial"/>
          <w:color w:val="000000"/>
          <w:sz w:val="22"/>
          <w:szCs w:val="22"/>
          <w:lang w:val="sr-Cyrl-RS"/>
        </w:rPr>
        <w:t>мушка</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занимања, како би се смањила родна сегрегација у образовању.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просвете, науке и технолошког развоја.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Школске управе, средње школе, Национална служба за запошљавање.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34"/>
        <w:gridCol w:w="4787"/>
      </w:tblGrid>
      <w:tr w:rsidR="00EF008E" w:rsidRPr="00EF008E" w:rsidTr="00455933">
        <w:trPr>
          <w:trHeight w:val="45"/>
          <w:tblCellSpacing w:w="0" w:type="auto"/>
        </w:trPr>
        <w:tc>
          <w:tcPr>
            <w:tcW w:w="76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резултата мере 1.7.</w:t>
            </w:r>
          </w:p>
        </w:tc>
        <w:tc>
          <w:tcPr>
            <w:tcW w:w="673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76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1.7.1: Број исхода програма наставе и учења са садржајима који афирмишу родну равноправност и повећавају видљивост женског доприноса у науци и култури.</w:t>
            </w:r>
          </w:p>
        </w:tc>
        <w:tc>
          <w:tcPr>
            <w:tcW w:w="673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Родна анализа исхода програма наставе и учења, извештаји Министарства просвете, науке и технолошког развоја и Завода за вредновање квалитета образовања и васпитања.</w:t>
            </w:r>
          </w:p>
        </w:tc>
      </w:tr>
      <w:tr w:rsidR="00EF008E" w:rsidRPr="00EF008E" w:rsidTr="00455933">
        <w:trPr>
          <w:trHeight w:val="45"/>
          <w:tblCellSpacing w:w="0" w:type="auto"/>
        </w:trPr>
        <w:tc>
          <w:tcPr>
            <w:tcW w:w="76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1.7.2: Број ревидираних уџбеника за средње школе ради елиминисања родних стереотипа, дискриминаторних садржаја и дискриминаторног језика.</w:t>
            </w:r>
          </w:p>
        </w:tc>
        <w:tc>
          <w:tcPr>
            <w:tcW w:w="673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Родна анализа наставних садржаја и уџбеника, извештаји Завода за унапређивање образовања и васпитања, Министарства просвете, науке и технолошког развоја и извештаји Завода за вредновање квалитета образовања и васпитања.</w:t>
            </w:r>
          </w:p>
        </w:tc>
      </w:tr>
      <w:tr w:rsidR="00EF008E" w:rsidRPr="00EF008E" w:rsidTr="00455933">
        <w:trPr>
          <w:trHeight w:val="45"/>
          <w:tblCellSpacing w:w="0" w:type="auto"/>
        </w:trPr>
        <w:tc>
          <w:tcPr>
            <w:tcW w:w="76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1.7.3: Број садржаја о сексуалном и репродуктивном здрављу и правима, као обавезних у програмима средњих школа.</w:t>
            </w:r>
          </w:p>
        </w:tc>
        <w:tc>
          <w:tcPr>
            <w:tcW w:w="673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просвете, науке и технолошког развоја о спровођењу програма образовања о сексуалном и репродуктивном здрављу у средњим школама, на годишњем нивоу.</w:t>
            </w:r>
          </w:p>
        </w:tc>
      </w:tr>
      <w:tr w:rsidR="00EF008E" w:rsidRPr="00EF008E" w:rsidTr="00455933">
        <w:trPr>
          <w:trHeight w:val="45"/>
          <w:tblCellSpacing w:w="0" w:type="auto"/>
        </w:trPr>
        <w:tc>
          <w:tcPr>
            <w:tcW w:w="76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1.7.4: Број информисаних младих жена и младих мајки, које су напустиле образовање о могућностима наставка образовања.</w:t>
            </w:r>
          </w:p>
        </w:tc>
        <w:tc>
          <w:tcPr>
            <w:tcW w:w="673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евалуације ефеката; увид у информативни материјал (штампани, видео, аудио, дигитални), повратна информација од младих жена (анкета о задовољству корисница).</w:t>
            </w:r>
          </w:p>
        </w:tc>
      </w:tr>
      <w:tr w:rsidR="00EF008E" w:rsidRPr="00EF008E" w:rsidTr="00455933">
        <w:trPr>
          <w:trHeight w:val="45"/>
          <w:tblCellSpacing w:w="0" w:type="auto"/>
        </w:trPr>
        <w:tc>
          <w:tcPr>
            <w:tcW w:w="76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1.7.5: Удео девојчица и дечака у образовним профилима у којима учествују испод 40%.</w:t>
            </w:r>
          </w:p>
        </w:tc>
        <w:tc>
          <w:tcPr>
            <w:tcW w:w="673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просвете, науке и технолошког развоја, статистички подаци РЗС</w:t>
            </w:r>
          </w:p>
        </w:tc>
      </w:tr>
      <w:tr w:rsidR="00EF008E" w:rsidRPr="00EF008E" w:rsidTr="00455933">
        <w:trPr>
          <w:trHeight w:val="45"/>
          <w:tblCellSpacing w:w="0" w:type="auto"/>
        </w:trPr>
        <w:tc>
          <w:tcPr>
            <w:tcW w:w="766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1.7.6: Обухват девојчица и дечака из осетљивих група (Рома/Ромкиња, девојчица/дечака са инвалидитетом) са средњим образовањем заснованим на начелима доступног инклузивног образовања.</w:t>
            </w:r>
          </w:p>
        </w:tc>
        <w:tc>
          <w:tcPr>
            <w:tcW w:w="673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просвете, науке и технолошког развоја, МИЦС подаци.</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1.8. Уродњавање јавних политика и законодавства у области образовања и науке, јачање капацитета свих релевантних актера и институција, подизања нивоа свести о значају остваривања родне равноправности и успостављање једнаких могућности за каријерно напредовање запослених жена и мушкараца.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и ефекти мере: Основни циљ ове мере јесте допринос смањењу родног јаза у образовању кроз уродњавање високошколског образовања и науке. Уродњавање је процес који је потребно спроводити континуирано кроз унапређење јавних политика и законодавног оквира, јачање капацитета свих релевантних актера и институција и подизања нивоа свести о значају остваривања принципа родне равноправности. Ова мера је веома широка и комплексна и спроводиће се кроз неколико кластера активности. Један сет активности односи се на уродњавање прописа у области високог образовања и науке, односно, научних истраживања, укључујући и прописе који се односе на стандарде за акредитацију високошколских установа, као и стандарде за самовредновање и оцењивање квалитета високошколских установа. Такође, мера подразумева анализе којима ће се утврдити родно неосетљиви, родно стереотипни и дискриминаторни садржаји у силабусима и универзитетским уџбеницима, те њихову измену. Ова мера укључује сет активности које се односе на унапређивање и подржавање родних студија као извора знања о родним односима у сврху развијања критичне масе људског потенцијала у овој области и обезбеђивања стручног усавршавања људских ресурса за спровођење и унапређивање политике једнаких могућности, родне равноправности и елиминисање родно засноване дискриминације. Поред тога, подразумева активности за повећање видљивости родних студија и јачање утицаја родних студија на ширу академску заједницу, подстицање и подржавање интердисциплинарности у академским студијским програмима, уз увођење нових предмета из родних студија на универзитетима. Такође, мера се односи и на подстицање и подржавање студирања на специјалистичким, мастер и докторским студијама родних студија, нарочито припадница рањивих група, као и на повећање броја студената и студенткиња ових студија који се финансирају из буџета. Надаље, мера подразумева активности подстицања и финансијског подржавања циљаних научних теоријских и емпиријских истраживања и пројеката у области родне равноправности, укључујући и подршку истраживањима о специфичностима положаја вишеструко дискриминисаних група жена.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Да би се ова мера остварила, неопходно је предузети бројне активности на измени прописа, јачању капацитета запослених у високом образовању и науци. То, између осталог, укључује и сврставање научних истраживања у области родне равноправности у приоритетне теме основних и основних усмерених истраживања у области друштвених и хуманистичких наука, увођење квота за финансирање научних истраживања у области родне равноправности, прописивање да заступљеност родне перспективе у научно-истраживачким пројектима и родни баланс истраживачких тимова представљају критеријуме за њихово вредновање и слично.</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просвете, науке и технолошког развоја.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Национални савет за високо образовање, високошколске установе, Фонд за науку Републике Србије, научни институти.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93"/>
        <w:gridCol w:w="3928"/>
      </w:tblGrid>
      <w:tr w:rsidR="00EF008E" w:rsidRPr="00EF008E" w:rsidTr="00455933">
        <w:trPr>
          <w:trHeight w:val="45"/>
          <w:tblCellSpacing w:w="0" w:type="auto"/>
        </w:trPr>
        <w:tc>
          <w:tcPr>
            <w:tcW w:w="91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Показатељи резултата 1.8</w:t>
            </w:r>
          </w:p>
        </w:tc>
        <w:tc>
          <w:tcPr>
            <w:tcW w:w="528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91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1.8.1: Број подзаконских аката који садрже родно осетљиве стандарде и поступке за акредитацију студијских програма и високошколских установа.</w:t>
            </w:r>
          </w:p>
        </w:tc>
        <w:tc>
          <w:tcPr>
            <w:tcW w:w="528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подзаконске акте за акредитацију студијских програма и високошколских установа.</w:t>
            </w:r>
          </w:p>
        </w:tc>
      </w:tr>
      <w:tr w:rsidR="00EF008E" w:rsidRPr="00EF008E" w:rsidTr="00455933">
        <w:trPr>
          <w:trHeight w:val="45"/>
          <w:tblCellSpacing w:w="0" w:type="auto"/>
        </w:trPr>
        <w:tc>
          <w:tcPr>
            <w:tcW w:w="91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1.8.2: Удео жена и мушкараца, студенткиња и студената, на високошколским установама на којима су мање заступљени, разврстано по региону, универзитетима, степену високошколског образовања.</w:t>
            </w:r>
          </w:p>
        </w:tc>
        <w:tc>
          <w:tcPr>
            <w:tcW w:w="528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универзитета, Министарства просвете, науке и технолошког развоја о упису; извештаји са подацима високошколских установа на годишњем нивоу.</w:t>
            </w:r>
          </w:p>
        </w:tc>
      </w:tr>
      <w:tr w:rsidR="00EF008E" w:rsidRPr="00EF008E" w:rsidTr="00455933">
        <w:trPr>
          <w:trHeight w:val="45"/>
          <w:tblCellSpacing w:w="0" w:type="auto"/>
        </w:trPr>
        <w:tc>
          <w:tcPr>
            <w:tcW w:w="91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1.8.3: Број студенткиња и студената на родним студијама чије се образовање финансира из буџета.</w:t>
            </w:r>
          </w:p>
        </w:tc>
        <w:tc>
          <w:tcPr>
            <w:tcW w:w="528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просвете, науке и технолошког развоја о упису.</w:t>
            </w:r>
          </w:p>
        </w:tc>
      </w:tr>
      <w:tr w:rsidR="00EF008E" w:rsidRPr="00EF008E" w:rsidTr="00455933">
        <w:trPr>
          <w:trHeight w:val="45"/>
          <w:tblCellSpacing w:w="0" w:type="auto"/>
        </w:trPr>
        <w:tc>
          <w:tcPr>
            <w:tcW w:w="91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1.8.4: Број студија и анализа у којима су утврђени и кориговани родно стереотипни и дискриминаторни садржаји у силабусима и универзитетским уџбеницима.</w:t>
            </w:r>
          </w:p>
        </w:tc>
        <w:tc>
          <w:tcPr>
            <w:tcW w:w="528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Преглед студија и анализа на годишњем нивоу.</w:t>
            </w:r>
          </w:p>
        </w:tc>
      </w:tr>
      <w:tr w:rsidR="00EF008E" w:rsidRPr="00EF008E" w:rsidTr="00455933">
        <w:trPr>
          <w:trHeight w:val="45"/>
          <w:tblCellSpacing w:w="0" w:type="auto"/>
        </w:trPr>
        <w:tc>
          <w:tcPr>
            <w:tcW w:w="91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1.8.5: Број научно-истраживачких пројеката у области родне равноправности.</w:t>
            </w:r>
          </w:p>
        </w:tc>
        <w:tc>
          <w:tcPr>
            <w:tcW w:w="528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научних института, високошколских установа, Националног савета за високо школство.</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Посебан циљ 2. Обезбеђене једнаке могућности за остваривање и заштиту људских права као претпоставка развоја и безбедног друштва.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Остваривањем овог посебног циља биће створене нормативне и друштвене претпоставке за равноправно остваривање и заштиту основних људских права, посебно људске безбедности, родно засноване дискриминације, родно заснованог насиља, насиља према женама и у породици, равноправности жена и мушкараца у политичком животу и одлучивању о јавним пословима као предуслова за развој безбедног друштва у коме ће бити обезбеђена владавина права, равноправност у приступу правди за жене и мушкарце, а посебно за рањиве групе, у складу са међународним стандардима, делотворни инструменти заштите права и ефикасна заштита права, у складу са начелом владавине права и неотуђивим људским правима на којима почива уставни поредак Републике Србије (члан 3. Устава).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08"/>
        <w:gridCol w:w="2248"/>
        <w:gridCol w:w="1439"/>
        <w:gridCol w:w="2011"/>
        <w:gridCol w:w="1915"/>
      </w:tblGrid>
      <w:tr w:rsidR="00EF008E" w:rsidRPr="00EF008E" w:rsidTr="00455933">
        <w:trPr>
          <w:trHeight w:val="45"/>
          <w:tblCellSpacing w:w="0" w:type="auto"/>
        </w:trPr>
        <w:tc>
          <w:tcPr>
            <w:tcW w:w="26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исхода</w:t>
            </w:r>
          </w:p>
        </w:tc>
        <w:tc>
          <w:tcPr>
            <w:tcW w:w="38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Јединица мере</w:t>
            </w:r>
          </w:p>
        </w:tc>
        <w:tc>
          <w:tcPr>
            <w:tcW w:w="315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Почетна вредност</w:t>
            </w:r>
          </w:p>
        </w:tc>
        <w:tc>
          <w:tcPr>
            <w:tcW w:w="53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Циљана вредност</w:t>
            </w:r>
          </w:p>
        </w:tc>
        <w:tc>
          <w:tcPr>
            <w:tcW w:w="28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26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 равноправности у домену моћи.</w:t>
            </w:r>
          </w:p>
        </w:tc>
        <w:tc>
          <w:tcPr>
            <w:tcW w:w="38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Вредност индекса</w:t>
            </w:r>
          </w:p>
        </w:tc>
        <w:tc>
          <w:tcPr>
            <w:tcW w:w="315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 37,3</w:t>
            </w:r>
          </w:p>
        </w:tc>
        <w:tc>
          <w:tcPr>
            <w:tcW w:w="53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40</w:t>
            </w:r>
          </w:p>
        </w:tc>
        <w:tc>
          <w:tcPr>
            <w:tcW w:w="28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РЗС: Индекс родне равноправности</w:t>
            </w:r>
          </w:p>
        </w:tc>
      </w:tr>
      <w:tr w:rsidR="00EF008E" w:rsidRPr="00EF008E" w:rsidTr="00455933">
        <w:trPr>
          <w:trHeight w:val="45"/>
          <w:tblCellSpacing w:w="0" w:type="auto"/>
        </w:trPr>
        <w:tc>
          <w:tcPr>
            <w:tcW w:w="26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Обезбеђена владавина права кроз несметану примену антидискриминаторних закона и политика ради постизања одрживог развоја и приступа правди за све.</w:t>
            </w:r>
          </w:p>
        </w:tc>
        <w:tc>
          <w:tcPr>
            <w:tcW w:w="38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Делимична/потпуна примена</w:t>
            </w:r>
          </w:p>
        </w:tc>
        <w:tc>
          <w:tcPr>
            <w:tcW w:w="315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2020: Делимична примена</w:t>
            </w:r>
          </w:p>
        </w:tc>
        <w:tc>
          <w:tcPr>
            <w:tcW w:w="53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Потпуна примена</w:t>
            </w:r>
          </w:p>
        </w:tc>
        <w:tc>
          <w:tcPr>
            <w:tcW w:w="28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међународних тела за људска права, извештаји надлежних министарстава и независних механизама и тела, анализе и истраживања</w:t>
            </w:r>
          </w:p>
        </w:tc>
      </w:tr>
      <w:tr w:rsidR="00EF008E" w:rsidRPr="00EF008E" w:rsidTr="00455933">
        <w:trPr>
          <w:trHeight w:val="45"/>
          <w:tblCellSpacing w:w="0" w:type="auto"/>
        </w:trPr>
        <w:tc>
          <w:tcPr>
            <w:tcW w:w="26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грађана и грађанки који су били дискриминисани због неког личног својства и % грађана и грађанки који нема поверења у рад независних институција.</w:t>
            </w:r>
          </w:p>
        </w:tc>
        <w:tc>
          <w:tcPr>
            <w:tcW w:w="38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w:t>
            </w:r>
          </w:p>
        </w:tc>
        <w:tc>
          <w:tcPr>
            <w:tcW w:w="315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2020: 25%; 34%</w:t>
            </w:r>
          </w:p>
        </w:tc>
        <w:tc>
          <w:tcPr>
            <w:tcW w:w="53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20%; 30%</w:t>
            </w:r>
          </w:p>
        </w:tc>
        <w:tc>
          <w:tcPr>
            <w:tcW w:w="28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међународних тела за људска права, извештаји надлежних министарстава и независних механизама и тела, истраживања и анализе</w:t>
            </w:r>
          </w:p>
        </w:tc>
      </w:tr>
      <w:tr w:rsidR="00EF008E" w:rsidRPr="00EF008E" w:rsidTr="00455933">
        <w:trPr>
          <w:trHeight w:val="45"/>
          <w:tblCellSpacing w:w="0" w:type="auto"/>
        </w:trPr>
        <w:tc>
          <w:tcPr>
            <w:tcW w:w="26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Заступљеност жена у систему безбедности (МО и ВС, МУП)</w:t>
            </w:r>
          </w:p>
        </w:tc>
        <w:tc>
          <w:tcPr>
            <w:tcW w:w="38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w:t>
            </w:r>
          </w:p>
        </w:tc>
        <w:tc>
          <w:tcPr>
            <w:tcW w:w="315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2020: 22,94% МО и ВС; 26% МУП</w:t>
            </w:r>
          </w:p>
        </w:tc>
        <w:tc>
          <w:tcPr>
            <w:tcW w:w="53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50%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МО и ВС, као и у МУП</w:t>
            </w:r>
            <w:r>
              <w:rPr>
                <w:rFonts w:ascii="Arial" w:hAnsi="Arial" w:cs="Arial"/>
                <w:color w:val="000000"/>
                <w:sz w:val="22"/>
                <w:szCs w:val="22"/>
                <w:lang w:val="sr-Cyrl-RS"/>
              </w:rPr>
              <w:t>)</w:t>
            </w:r>
          </w:p>
        </w:tc>
        <w:tc>
          <w:tcPr>
            <w:tcW w:w="28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одбране и Војске Србије о примени НАП 1325, Независни извештаји о примени НАП 1325</w:t>
            </w:r>
          </w:p>
        </w:tc>
      </w:tr>
      <w:tr w:rsidR="00EF008E" w:rsidRPr="00EF008E" w:rsidTr="00455933">
        <w:trPr>
          <w:trHeight w:val="45"/>
          <w:tblCellSpacing w:w="0" w:type="auto"/>
        </w:trPr>
        <w:tc>
          <w:tcPr>
            <w:tcW w:w="267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Индекса родне равноправности за сателитски домен насиља</w:t>
            </w:r>
          </w:p>
        </w:tc>
        <w:tc>
          <w:tcPr>
            <w:tcW w:w="385"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Вредност индекса</w:t>
            </w:r>
          </w:p>
        </w:tc>
        <w:tc>
          <w:tcPr>
            <w:tcW w:w="315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2018. Нешто више од петине жена са навршених 15 година доживело физичко и/или сексуално насиље било од стране партнера или других особа.</w:t>
            </w:r>
          </w:p>
        </w:tc>
        <w:tc>
          <w:tcPr>
            <w:tcW w:w="537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Вредност индекса родне равноправности за сателитски домен насиља; за 20% смањена стопа свих облика насиља према женама са навршених 15 година живота, посебно физичког и/или сексуалног насиља било од стране партнера или других особа и насиља у породици.</w:t>
            </w:r>
          </w:p>
        </w:tc>
        <w:tc>
          <w:tcPr>
            <w:tcW w:w="281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 равноправности за Републику Србију</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2.1. Успостављање институционалних претпоставки и нормативних гаранција за владавину права, једнаке могућности приступа правди и обезбеђивање ефикасне и делотворне заштите људских права и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мере. Мера је усмерена на успостављање и унапређење институционалног, нормативног и стратешког оквира као и праксе, у складу са међународним стандардима ЕУ, УН, СЕ, као претпоставки за владавину права, унапређење приступа правди, обезбеђење ефикасне и делотворне заштите права и подизање капацитета актера који суделују у заштити људских права. Мера укључује, усвајање и/или измену прописа који регулишу независност судства, самосталност тужилаштва, бесплатну правну помоћ посебно услове за стицање овог права, круг корисника ове помоћи нарочито лица из рањивих и вишеструко дискриминисаних група, пружаоце бесплатне правне помоћи као и усклађивање аката о унутрашњој организацији и уређењу институција чија надлежност је везана за заштиту права, што су основни услови да грађани/ке у пуном капацитету и без било ког вида родно засноване дискриминације имају приступ правди, правично суђење и ефикасно остваре и заштите своја права. Поред тога, мера се односи и на успостављање једнаких могућности приступа правди и отклањање препрека као што су доступност инструмената заштите права, физичка приступачност, високи трошкови судског поступка, неинформисаност грађана/ки о људским правима и заштити права и др. које грађанима/кама, а посебно рањивим групама, отежавају приступ правди, укључујући и предузимање мера и активности које промовишу владавину права и доприносе остваривању права на приступ правди и ефикасној заштити права.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укључује и подизање капацитета институција, континуирано унапређење знања и компетенција актера чије надлежности су везане за остваривање и заштиту људских права и родне равноправности, посебно права рањивих група, кроз различите облике систематске едукације о родној равноправности, међународним стандардима у овој области, родним стереотипима и предрасудама, као и континуирано информисање грађана/ки о њиховим правима и заштити права и промовисање владавине права.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 ове мере је установљавање нормативних и институционалних претпоставки као и гаранција које обезбеђују владавину права, отклањају препреке у приступу правди, и осигуравају ефикасну заштиту људских права без родно засноване дискриминације, а у складу са међународним стандардима. Мера укључује и јачање капацитета, подизање нивоа знања о родној равноправности, родним стереотипима и предрасудама и стицање компетенција свих актера који, у оквиру својих надлежности, делују на унапређењу родне равноправности и заштити права, укључујући и сва права у вези са родном равноправношћу, као и промовисање владавине права и информисање најшире јавности, грађана/ки, посебно рањивих група о родној равноправности, људским правима и владавини права и значају ових питања за развој целокупног друштва као и за њихов свакодневни живот.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Ефекти ове мере огледаће се у успостављању системских гаранција које су претпоставка за владавину права у складу са међународним стандардима, а које укључују поделу власти, независност судства, самосталност тужилаштва, доступне и делотворне инструменте заштите права и ефикасну заштиту права, као и јачањем капацитета и подизањем знања и компетенција не само институција које надлежних за заштиту људских права и родне равноправности, већ и најшире јавности, грађана/ки, посебно рањивих група, кроз информисање значају, владавине права и родне равноправности развој друштва и њихов свакодневни живот.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Меру потребно је континуирано спроводити током целокупног периода за који се доноси ова стратегија.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правде.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Координационо тело за родну равноправност, Министарство за људска и мањинска права и друштвени дијалог, Високи савет судства, Државно веће тужилаца, Правосудна академија, Адвокатска комора Србије.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34"/>
        <w:gridCol w:w="4587"/>
      </w:tblGrid>
      <w:tr w:rsidR="00EF008E" w:rsidRPr="00EF008E" w:rsidTr="00455933">
        <w:trPr>
          <w:trHeight w:val="45"/>
          <w:tblCellSpacing w:w="0" w:type="auto"/>
        </w:trPr>
        <w:tc>
          <w:tcPr>
            <w:tcW w:w="78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резултата 2.1</w:t>
            </w:r>
          </w:p>
        </w:tc>
        <w:tc>
          <w:tcPr>
            <w:tcW w:w="65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78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2.1.1: Број усвојених или измењених прописа који регулишу независност судства, самосталност тужилаштва, бесплатну правну помоћ, доступне и делотворне инструменте за ефикасну заштиту права у складу са међународним стандардима ЕУ, УН, СЕ</w:t>
            </w:r>
          </w:p>
        </w:tc>
        <w:tc>
          <w:tcPr>
            <w:tcW w:w="65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усвојене или измењене прописе и њихову усклађеност са међународним стандардима (ЕУ, УН, СЕ).</w:t>
            </w:r>
          </w:p>
        </w:tc>
      </w:tr>
      <w:tr w:rsidR="00EF008E" w:rsidRPr="00EF008E" w:rsidTr="00455933">
        <w:trPr>
          <w:trHeight w:val="45"/>
          <w:tblCellSpacing w:w="0" w:type="auto"/>
        </w:trPr>
        <w:tc>
          <w:tcPr>
            <w:tcW w:w="78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2.1.2: Број корисника услуге бесплатне правне помоћи, разврстано по полу, и основу захтева за добијање услуге, на годишњем нивоу</w:t>
            </w:r>
          </w:p>
        </w:tc>
        <w:tc>
          <w:tcPr>
            <w:tcW w:w="65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измене закона и подзаконских аката; извештаји пружалаца бесплатне правне помоћи, разврстани по полу, територијалној припадности, оптерећености и извештаји Министарства правде.</w:t>
            </w:r>
          </w:p>
        </w:tc>
      </w:tr>
      <w:tr w:rsidR="00EF008E" w:rsidRPr="00EF008E" w:rsidTr="00455933">
        <w:trPr>
          <w:trHeight w:val="45"/>
          <w:tblCellSpacing w:w="0" w:type="auto"/>
        </w:trPr>
        <w:tc>
          <w:tcPr>
            <w:tcW w:w="78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2.1.3: Број пружалаца бесплатне правне помоћи, разврстаних по броју и типу oвe помоћи, и територијалној распоређености</w:t>
            </w:r>
          </w:p>
        </w:tc>
        <w:tc>
          <w:tcPr>
            <w:tcW w:w="65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Регистар пружалаца бесплатне правне помоћи и бесплатне правне подршке, извештаји Министарства правде на годишњем нивоу, увид у законе и подзаконске акте.</w:t>
            </w:r>
          </w:p>
        </w:tc>
      </w:tr>
      <w:tr w:rsidR="00EF008E" w:rsidRPr="00EF008E" w:rsidTr="00455933">
        <w:trPr>
          <w:trHeight w:val="45"/>
          <w:tblCellSpacing w:w="0" w:type="auto"/>
        </w:trPr>
        <w:tc>
          <w:tcPr>
            <w:tcW w:w="78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2.1.4: Број аката којима се обезбеђује приступ правди и правичном суђењу, и унапређује ефикасност институција у заштити права у складу са међународним стандардима и прописима</w:t>
            </w:r>
          </w:p>
        </w:tc>
        <w:tc>
          <w:tcPr>
            <w:tcW w:w="65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усклађене акте о организацији и уређењу институција; обједињене анализе, студије и евалуације института, ОЦД, Координационог тела за родну равноправност и Министарства за људска и мањинска права и друштвени дијалог.</w:t>
            </w:r>
          </w:p>
        </w:tc>
      </w:tr>
      <w:tr w:rsidR="00EF008E" w:rsidRPr="00EF008E" w:rsidTr="00455933">
        <w:trPr>
          <w:trHeight w:val="45"/>
          <w:tblCellSpacing w:w="0" w:type="auto"/>
        </w:trPr>
        <w:tc>
          <w:tcPr>
            <w:tcW w:w="78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2.1.5: Број аката којима се обезбеђују стандарди и право на приступ правди и правичном суђењу, приступачност судова и тужилаштава, посебно особама из вишеструко дискриминисаних група како би се осигурала делотворна и ефикасна заштита права.</w:t>
            </w:r>
          </w:p>
        </w:tc>
        <w:tc>
          <w:tcPr>
            <w:tcW w:w="65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подзаконске акте и јавне политике; извештаји Министарства правде о обезбеђивању стандарда доступности и судова и тужилаштва; независни извештаји, студије и евалуације института, ОЦД; извештаји Високог савета судства и Државног већа тужилаца.</w:t>
            </w:r>
          </w:p>
        </w:tc>
      </w:tr>
      <w:tr w:rsidR="00EF008E" w:rsidRPr="00EF008E" w:rsidTr="00455933">
        <w:trPr>
          <w:trHeight w:val="45"/>
          <w:tblCellSpacing w:w="0" w:type="auto"/>
        </w:trPr>
        <w:tc>
          <w:tcPr>
            <w:tcW w:w="78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2.1.6: Број обучених професионалаца/ки из области правосуђа и адвокатуре на теме остваривања и заштите људских права, антидискриминационог законодавства и родне равноправности, посебно права рањивих група, разврстано по полу, територијалној припадности, типу институције</w:t>
            </w:r>
          </w:p>
        </w:tc>
        <w:tc>
          <w:tcPr>
            <w:tcW w:w="65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евалуације ефеката различитих типова обука на теме остваривања и заштите људских права и родне равноправности; извештаји Правосудне академије и Адвокатске коморе Србије о реализованим обукама.</w:t>
            </w:r>
          </w:p>
        </w:tc>
      </w:tr>
      <w:tr w:rsidR="00EF008E" w:rsidRPr="00EF008E" w:rsidTr="00455933">
        <w:trPr>
          <w:trHeight w:val="45"/>
          <w:tblCellSpacing w:w="0" w:type="auto"/>
        </w:trPr>
        <w:tc>
          <w:tcPr>
            <w:tcW w:w="78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2.1.7: Проценат обучених професионалаца и професионалки који имају унапређена знања и вештине везане за заштиту људских права, посебно права рањивих група, антидискриминационо законодавство и родну равноправност</w:t>
            </w:r>
          </w:p>
        </w:tc>
        <w:tc>
          <w:tcPr>
            <w:tcW w:w="65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евалуације ефеката различитих врста обука на теме остваривања и заштите људских права и родне равноправности, улазни и излазни упитници.</w:t>
            </w:r>
          </w:p>
        </w:tc>
      </w:tr>
      <w:tr w:rsidR="00EF008E" w:rsidRPr="00EF008E" w:rsidTr="00455933">
        <w:trPr>
          <w:trHeight w:val="45"/>
          <w:tblCellSpacing w:w="0" w:type="auto"/>
        </w:trPr>
        <w:tc>
          <w:tcPr>
            <w:tcW w:w="78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2.1.8: Број информативних јавних кампања о остваривању и заштити људских права и родне равноправности као и заштити од дискриминације</w:t>
            </w:r>
          </w:p>
        </w:tc>
        <w:tc>
          <w:tcPr>
            <w:tcW w:w="65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Евалуације ефеката јавних кампања, информативни материјали (штампани, аудио, видео, дигитални), покривеност и утицај кампања на ширу јавност, резултати испитивања јавног мњења, медијски извештаји.</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Мера 2.2. Унапређена безбедност жена у миру, конфликту и постконфликтном опоравку друштва, кризним и ванредним ситуацијама, кроз интегралну примену Резолуције 1325 СБ УН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Жене, мир и безбедност у Републици Србији.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мере: Мера је усмерена на унапређивање институционалног и нормативног оквира којим се обезбеђује повећана заступљеност, укљученост и одлучивање жена у свим процесима који се тичу очувања мира и безбедности, развијање механизама превенције ради повећања безбедности жена у миру, конфликту и постконфликтном опоравку друштва, кризним и ванредним ситуацијама, доступну и делотворну заштиту жена, као и унапређен систем подршке опоравку жена, које су претрпеле било који облик угрожавања безбедности, у складу са Законом о родној равноправности (члан 39), CEDAW конвенцијом, Резолуција СБ УН 1325, као и релевантним документима ЕУ у овој области (АП за родну равноправност ЕУ III 2021</w:t>
      </w:r>
      <w:r>
        <w:rPr>
          <w:rFonts w:ascii="Arial" w:hAnsi="Arial" w:cs="Arial"/>
          <w:color w:val="000000"/>
          <w:sz w:val="22"/>
          <w:szCs w:val="22"/>
          <w:lang w:val="sr-Cyrl-RS"/>
        </w:rPr>
        <w:t>-</w:t>
      </w:r>
      <w:r w:rsidRPr="00EF008E">
        <w:rPr>
          <w:rFonts w:ascii="Arial" w:hAnsi="Arial" w:cs="Arial"/>
          <w:color w:val="000000"/>
          <w:sz w:val="22"/>
          <w:szCs w:val="22"/>
          <w:lang w:val="sr-Cyrl-RS"/>
        </w:rPr>
        <w:t>2025. и АП ЕУ Жене, мир и безбедност 2019</w:t>
      </w:r>
      <w:r>
        <w:rPr>
          <w:rFonts w:ascii="Arial" w:hAnsi="Arial" w:cs="Arial"/>
          <w:color w:val="000000"/>
          <w:sz w:val="22"/>
          <w:szCs w:val="22"/>
          <w:lang w:val="sr-Cyrl-RS"/>
        </w:rPr>
        <w:t>-</w:t>
      </w:r>
      <w:r w:rsidRPr="00EF008E">
        <w:rPr>
          <w:rFonts w:ascii="Arial" w:hAnsi="Arial" w:cs="Arial"/>
          <w:color w:val="000000"/>
          <w:sz w:val="22"/>
          <w:szCs w:val="22"/>
          <w:lang w:val="sr-Cyrl-RS"/>
        </w:rPr>
        <w:t>2024.). Ова мера подразумева процену утицаја другог НАП 1325 (2017</w:t>
      </w:r>
      <w:r>
        <w:rPr>
          <w:rFonts w:ascii="Arial" w:hAnsi="Arial" w:cs="Arial"/>
          <w:color w:val="000000"/>
          <w:sz w:val="22"/>
          <w:szCs w:val="22"/>
          <w:lang w:val="sr-Cyrl-RS"/>
        </w:rPr>
        <w:t>-</w:t>
      </w:r>
      <w:r w:rsidRPr="00EF008E">
        <w:rPr>
          <w:rFonts w:ascii="Arial" w:hAnsi="Arial" w:cs="Arial"/>
          <w:color w:val="000000"/>
          <w:sz w:val="22"/>
          <w:szCs w:val="22"/>
          <w:lang w:val="sr-Cyrl-RS"/>
        </w:rPr>
        <w:t>2020.) и услуга које се пружају женама и девојчицама жртвама насиља повезаног са сукобом, кризама и ванредним ситуацијама, као и израду и усвајање нових стратешких докумената у области безбедности (нови НАП 1325), имајући у виду Резолуција СБ УН 1325 (2000) о женама, миру и безбедности и накнадних повезаних резолуција, општу препоруку бр. 30 CEDAW комитета о женама у сукобу, превенцији сукоба и постконфликтним ситуацијама, као и закључна запажања CEDAW комитета у вези са Четвртим периодичним извештајем Републике Србије. Мера обухвата и усклађивање аката из области безбедности са обавезама које проистичу из примене Закона о родној равноправности (област 5. Родна равноправност у области одбране и безбедности, члан 39).</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 мере је обезбеђивање равноправног учествовања жена у свим областима везаним за мир и безбедност и свим активностима везаним за спречавање и решавање сукоба и у постконфликтном јавном животу, кризним и ванредним ситуацијама, уз остваривање потпуне безбедности жена и девојчица у јавној и приватној сфери живота, кроз елиминацију свих облика насиља, укључујући трговину људима, сексуалне и друге облике експлоатације, посебно у време криза и ванредних ситуација.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Ефекти мере огледају се у издвајању довољних средства за примену политике родне равноправности у области одбране и безбедности; успостављању механизама за ефикасно спровођење, праћење и процену утицаја НАП-а за спровођење Резолуције 1325, како на националном тако и на локалном нивоу; активно укључивање цивилног друштва, укључујући жене погођене сукобом и организације које раде са преживелима, у спровођење, праћење и процену утицаја НАП-а за спровођење Резолуције 1325, као и у развој било којег стратешког документа, мировних преговора, обнове и реконструкције након сукоба; у повећању заступљености и промоцији жена међу особљем за мировне преговоре и посредовање, укључујући и на вишим нивоима; у прикупљању података о учешћу жена у спровођењу НАП-а за спровођење Резолуције 1325 на законодавном, извршном и судском нивоу; у обезбеђивању процене потреба и ефикасном приступу правним, здравственим и психо социјалним услугама за све жене и девојке жртве насиља у вези са сукобом, укључујући жене и девојке из руралних подручја и жена и девојака из других друштвено осетљивих група; у предузимању мера за заштиту интерно расељених жена и девојака од присилног расељавања и насиља; и кроз унапређено стандардизовано прикупљање података о насиљу према женама и девојкама у вези са сукобом, кризним и ванредним ситуацијама.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Иако кризне ситуације различито утичу на мушкарце и жене, дечаке и девојчице, а сагледавање њихових родних димензија представља предуслов за потпуније разумевање изазова са којима се жене и мушкарци, а посебно рањиве групе суочавају, током епидемије болести COVID-19 није у довољној мери препозната родно условљена динамика кризе, чиме је ограничена превенција ескалације насиља и делотворност рада на безбедносним ризицима по жене и девојчице. Ефекти мере сагледавају се и кроз унапређење система заштите и подршке, који ће и током евентуалних будућих криза моћи адекватно да одговори на потребе жена и мушкараца.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Меру је потребно континуирано спроводити током целокупног периода за који се доноси ова стратегија.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одбране.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Координационо тело за родну равноправност, МУП, Министарство државне управе и локалне самоуправе, Министарство за људска и мањинска права и друштвени дијалог, механизми РР и механизми за безбедност на националном, покрајинском и локалном нивоу.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67"/>
        <w:gridCol w:w="4754"/>
      </w:tblGrid>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резултата 2.2</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2.2.1. Број усвојених или измењених прописа којима се регулише родна равноправност у области одбране и безбедности на свим нивоима власти</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усвојене или измењене прописе и њихову усклађеност са међународним стандардима (ЕУ, УН, СЕ), усвојен НАП 1325, ЛАП-ови за родну равноправност и ЛАП-ови за безбедност.</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2.2.2. Број/проценат жена које равноправно учествују у свим областима у вези са миром и безбедношћу, активностима у вези са спречавањем и решавањем сукоба, постконфликтним, кризним и ванредним ситуацијама на националном и локалном нивоу</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Политичког савета Владе, Оперативног тела Владе, Комисије за праћење спровођења НАП-а, Аналитичке групе МО о примени НАП 1325, Извештаји ресорних институција, КТРР.</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2.2.3. Број именованих особа од поверења, саветника/ца за спровођење НАП-а, саветника/ца за род у свим цивилним и војним мисијама УН и ЕУ</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Политичког савета Владе, Оперативног тела Владе, Комисије за праћење спровођења НАП-а, Аналитичке групе МО о примени НАП 1325, Извештаји о примени НАП 1325.</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2.2.4. Број одржаних обука и број обучених особа од поверења, саветника/ца за спровођење НАП-а, саветника/ца за род у свим цивилним и војним мисијама о родно заснованом насиљу и примени антидискриминационог законодавства</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са реализованих обука, евалуације ефеката обука на годишњем нивоу, евалуације дугорочних ефеката и примене знања и вештина са обука,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Аналитичке групе МО о примени НАП 1325; Извештаји ресорних институција, Извештаји о примени НАП 1325.</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2.2.5. Број обука и број представника из сектора правосуђа, одбране и безбедности који су похађали обуке за реформу сектора безбедности, разоружање и реинтеграцију, хуманитарну помоћ, добру управу, људска права и транзициону правду.</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са реализованих обука, евалуације ефеката обука на годишњем нивоу, евалуације дугорочних ефеката и примене знања и вештина са обука;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МО, Војске РС, МП, Извештаји о примени НАП 1325.</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2.2.6. Број именованих и обучених контакт особа за примену НАП 1325 у органима државне управе и локалне самоуправе на свим нивоима</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Подаци органа државне управе и локалне самоуправе,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примени НАП 1325, КТРР</w:t>
            </w:r>
            <w:r>
              <w:rPr>
                <w:rFonts w:ascii="Arial" w:hAnsi="Arial" w:cs="Arial"/>
                <w:color w:val="000000"/>
                <w:sz w:val="22"/>
                <w:szCs w:val="22"/>
                <w:lang w:val="sr-Cyrl-RS"/>
              </w:rPr>
              <w:t>.</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2.2.7. Број израђених и усвојених ЛАП-ова и уграђених мера које подржавају специфичне безбедносне потребе жена, девојака и девојчица у локалним заједницама посебно из вишеструко дискриминисаних и рањивих група</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ЛАП-ови за родну равноправност, ЛАП-ови за безбедност;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примени НАП 1325, КТРР.</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2.2.8. Број усвојених мера ради одузимања ватреног оружја или ограничења приступа ватреном оружју починиоцима насиља</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МУП и МО, Извештај о примени НАП 1325.</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2.2.9. Број услуга и број жена/девојака корисница свеобухватне правне заштите и психосоцијалне подршке жртвама родно заснованог насиља, склоништа, посебно припадницама вишеструко маргинализованих и дискриминисаних група у конфликту, кризним и ванредним ситуацијама, на свим нивоима власти</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о примени НАП 1325, КТРР,</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МУП-а, Извештаји пружалаца услуга (установе социјалне заштите и специјализоване женске организације које пружају услуге женама жртвама насиља).</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2.2.10. Износ/проценат средстава намењен финансирању примене НАП 1325 у буџетима на свим нивоима власти, као и проценат средстава који се издваја за финансирање услуга које пружају женске ОЦД</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Буџет РС, Буџети АПВ и локалних самоуправа, Извештаји о извршењу буџета.</w:t>
            </w:r>
          </w:p>
        </w:tc>
      </w:tr>
      <w:tr w:rsidR="00EF008E" w:rsidRPr="00EF008E" w:rsidTr="00455933">
        <w:trPr>
          <w:trHeight w:val="45"/>
          <w:tblCellSpacing w:w="0" w:type="auto"/>
        </w:trPr>
        <w:tc>
          <w:tcPr>
            <w:tcW w:w="801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2.2.11. Број ОЦД укључених у креирање и примену мера, праћење и извештавање о кршењу људских права над женама и девојкама у сукобима, укључујући сексуално искориштавање и злостављање, узнемиравање/сексуално узнемиравање и друге облике сексуалног и родно заснованог насиља, укључујући и насилни екстремизам.</w:t>
            </w:r>
          </w:p>
        </w:tc>
        <w:tc>
          <w:tcPr>
            <w:tcW w:w="63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о примени НАП 1325, КТРР, Извештаји ОЦД, Извештаји о браниоцима/бранитељкама људских права у Републици Србији, Извештаји о стању у области људских права у Републици Србији.</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2.3. Унапређена безбедност жена и девојчица у јавној и приватној сфери кроз елиминацију свих облика насиља, укључујући трговину људима, сексуалне и друге облике експлоатације, посебно у време криза и ванредних ситуација.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мере: Мера је усмерена на унапређење свеобухватног нормативног, политичког и институционалног оквира за спречавање и сузбијање свих облика родно заснованог насиља према женама и насиља у породици. Мером се обезбеђује унапређење правног оквира за спречавање и заштиту од родно заснованог насиља према женама, укључујући и његово инкриминисање и обештећење жртава, усаглашено са међународним стандардима утврђеним Истанбулском конвенцијом као и усклађивање законских дефиниција различитих облика насиља.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Овом мером доприноси се спровођењу Закона о родној равноправности, у делу 6. Спречавање и сузбијање родно заснованог насиља: забрана насиља на основу пола, полних карактеристика, односно рода и насиља према женама (члан 51), посебне мере и програми (члан 52), обавеза пријављивања насиља (члан 53), Опште и Специјализоване услуге подршке (чл. 54. и 55), реализација програма за лица која су извршила насиље (члан 56), спречавање насиља као и финансијска средства за организовање и спровођење специјализованих услуга (чл. 57. и 58). Поред овог, применом мере се унапређује спровођење постојећих политика и мера у оквиру свеобухватног и координисаног одговора надлежних институција у борби против родно заснованог насиља према женама и насиља у породици, предлаже усвајање подзаконских аката и успостављање механизама за ефикасно спровођење закона у овој области; обезбеђују се институционални поступци, стандарди и процедуре ради обезбеђивања задовољавајућег нивоа безбедности жена и мушкараца, девојчица и дечака. Такође, овом мером обезбеђује се транспарентно, стабилно и одрживо финансирање политика, мера и специјализованих услуга за подршку женама које пружају институције, установе и женске ОЦД, а којима се доприноси смањењу насиља према женама и унапређује приступ делотворној заштити и подршци за излазак из ситуације насиља, превазилажење трауме и оснаживању свих жена са искуством родно заснованог насиља, а нарочито када је реч о Ромкињама, женама са инвалидитетом, женама са села, старијим женама, женама хомосексуалне или бисексуалне оријентације и другачијег родног идентитета, женама жртвама трговине људима, азиланткињама/мигранткињама.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Мером се доприноси успостављању јединственог и стандардизованог система прикупљања, евидентирања, праћења и размене података о свим облицима насиља према женама и насиља у породици, укључујући и фемицид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родно засновано убиство жена, сексуално узнемиравање и сексуално уцењивање, који укључује све релевантне државне органе и институције, као и женске ОЦД које се баве сузбијањем насиља над женама и заштитом жртава и правовременом, објективном, редовном и на подацима заснованом информисању јавности о последицама и узроцима насиља над женама и ефектима примене мера превенције и заштите жртава у Републици Србији.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Сагледавање родних аспеката представља предуслов за потпуније разумевање изазова са којима се жене и мушкарци, девојчице и дечаци суочавају у насилним ситуацијама. Током епидемије болести COVID-19 није препозната родно условљена динамика насиља, чиме је ограничена превенција ескалације насиља и делотворност рада институција на безбедносним ризицима по жене, заштити и подршци жртвама насиља.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Мером се улажу додатни напори како би се унапредио систем заштите и подршке који ће и током других евентуалних кризних и ванредних ситуација, моћи адекватно да одговори на потребе жена и мушкараца, девојчица и дечака. Ризику од родно заснованог насиља током кризних и ванредних ситуација посебно су изложене жене из осетљивих друштвених група, као што су Ромкиње, жене са инвалидитетом, жене са села, самохране мајке, жене жртве трговине људима, азиланткиње/мигранткиње, жене хомосексуалне и бисексуалне оријентације и другачијег родног идентитета и др. Мером се доприноси спречавању ширења мизогиних и секстичких порука и сензационалистичком извештвању о насиљу према женама.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 мере је постизање пуне сигурности жена и мушкараца, девојчица и дечака, у приватној и јавној сфери живота, кроз спречавање и сузбијање свих облика родно заснованог насиља.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Ефекти мере огледају се у обезбеђивању заштите и санкционисању сваког облика насиља који је заснован на полу, полним карактеристикама, односно роду и родном идентитету и насиља према женама у приватној и јавној сфери, заштити других лица која су непосредно или посредно угрожена вршењем или последицама извршеног насиља, као ни лица која су пријавила акт насиља. Поред овога, ефекти мере се огледају у заштити жртава насиља у циљу спречавања насиља и остваривања права на живот без насиља, кроз обезбеђивање доступности општих услуга помоћи и подршке, подршци у становању и економском оснаживању жена, превентивним деловањем и програмима рада са учиниоцима насиља, као и утицајем на ширење мизогиних и сексистичких порука и сензационалистичко извештавање о насиљу према женама у медијима и о насиљу на интернету. Ефекти мере такође се сагледавају и кроз координисано деловање институција у циљу остваривања нулте толеранције на насиље.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Меру је потребно континуирано спроводити током целокупног периода за који се доноси Стратегија.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правде.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Координационо тело за родну равноправност, Министарство унутрашњих послова, Министарство за људска и мањинска права и друштвени дијалог и Министарство за рад, запошљавање, борачка и социјална питања.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89"/>
        <w:gridCol w:w="4632"/>
      </w:tblGrid>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резултата 2.3.</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2.3.1. Број усвојених или измењених прописа којима се унапређује ефикасност институција у спречавању и заштити жена и мушкараца, девојчица и дечака, у јавној и приватној сфери, од свих облика родно заснованог насиља.</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усвојене или измењене прописе и њихову усклађеност са међународним стандардима (ЕУ, УН, СЕ).</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2.3.2. Број усвојених или измењених прописа којима се обезбеђује усклађивање законских дефиниција различитих облика насиља.</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усвојене или измењене прописе и њихову усклађеност са међународним стандардима (ЕУ, УН, СЕ).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о примени ЦОР за циљ 5. индикатор 5.1.1,</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CEDAW комитета и извештај GREVIO групе.</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2.3.3. Број усвојених или измењених прописа којима се унапређује координисани одговор институција на све облике родно заснованог насиља.</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усвојене или измењене прописе и њихову усклађеност са међународним стандардима (ЕУ, УН, СЕ)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МП, група за координацију и сарадњу, извештај МУП, ЦСР.</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2.3.4. Број пријава свих облика родно заснованог насиља према женама и девојчицама, у јавној и приватној сфери, по врсти насиља, односу са насилником, и узрасту жртве, посебно насиља које је засновано на полу, полним карактеристикама, односно роду и родном идентитету.</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МУП и МП, извештаји специјализованих ОЦД.</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2.3.5. Број жртава трговине људима, разврстано према полу, узрасту, и облику експлоатације.</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МУП и МП, извештаји специјализованих ОЦД.</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2.3.6. Проценат/број кривичних пријава/оптужења и број правоснажних пресуда за кривичних дела са елементима насиља, посебно за кривична дела сексуалног насиља и трговине људима.</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МП.</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2.3.7. Број доступних општих и специјализованих услуга за жене жртве насиља и трговине људима, на локалном нивоу, посебно услуге становања и економског оснаживања, и број корисница ових услуга разврстано по врсти услуге, старосној доби корисница услуге и припадности корисница некој од рањивих група.</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МРЗБСП, CEDAW, комитета и GREVIO извештаји, Извештаји специјализованих ОЦД.</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2.3.8. Износ/проценат средстава намењен финансирању услуга за жене жртве насиља у буџетима на свим нивоима власти, као и проценат средстава који се издваја за финансирање ових услуга које пружају женске ОЦД</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Буџет Републике Србије, Буџети АПВ и локалних самоуправа, Извештаји о извршењу буџета.</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2.3.9. Број ОЦД које су пружају услуге жртвама насиља, активне су у заштити права жртава, које се залажу за измене дискриминаторних друштвених норми и родних стереотипа и надгледају примену међународних стандарда у заштити жртава родно заснованог насиља</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CEDAW и GREVIO извештаји, Извештаји ОЦД.</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2.3.10. Број превентивних програма/интервенција рада са учиниоцима насиља у циљу спречавања насиља.</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МРЗБСП, извештаји ЈЛС.</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2.3.11. Број истраживања преваленце насиља, јавних кампања за промену свести и ставова јавности о родно заснованом насиљу и родно сензитивних навода у медијима о случајевима родно заснованог насиља.</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Истраживање о преваленци насиља у Републици Србији, Извештај о ефектима јавних кампања, анализе о извештавању медија о случајевима родно заснованог насиља.</w:t>
            </w:r>
          </w:p>
        </w:tc>
      </w:tr>
      <w:tr w:rsidR="00EF008E" w:rsidRPr="00EF008E" w:rsidTr="00455933">
        <w:trPr>
          <w:trHeight w:val="45"/>
          <w:tblCellSpacing w:w="0" w:type="auto"/>
        </w:trPr>
        <w:tc>
          <w:tcPr>
            <w:tcW w:w="782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2.3.12. Број жена и мушкараца, девојчица и дечака, који разумеју да ни једна врста насиља није прихватљива.</w:t>
            </w:r>
          </w:p>
        </w:tc>
        <w:tc>
          <w:tcPr>
            <w:tcW w:w="657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спроведеним истраживањима и о евалуацији ефеката информативних кампања, заступљеност у медијима, увид у информативне материјале (штампане, видео, аудио, дигиталне), извештаји о партиципацији грађана и грађанки (покрети, удружења, неформалне групе) у прикупљању информација.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2.4.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мере: Мера је усмерена на унапређивање институционалног и нормативног оквира у коме се одвија политички живот и успостављају претпоставке за постизање родне равноправности у овој области, као и равноправно учешће жена и мушкараца, посебно рањивих група у одлучивању о јавним пословима у складу са Законом о родној равноправности (чл. 1, 3. и 7). Мера укључује израду и усвајање и/или измену прописа који регулишу политички живот, једнаке могућности учешћа жена и мушкараца и посебно рањивих група у политичком животу, актере који учествују у политичком животу као и учешће грађана и грађанки и посебно рањивих група у одлучивању о јавним пословима. Ова мера подразумева и усклађивање аката о унутрашњој организацији и уређењу органа јавне власти, аката политичких странака,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ЈЛС, месним заједницама, на изборним листама и у органима за спровођење избора, политичким странкама, синдикатима и удружењима грађана и како би се успоставиле претпоставке за равноправно учешће жена и мушкараца и, посебно, рањивих група у планирању, припреми, доношењу и спровођењу одлука које утичу на њихов положај, уз уважавање њихових интереса, потреба и приоритета приликом обликовања и одлучивања о јавним политикама, у складу са Законом о родној равноправности (чл. 7, 10, 26, 47. и 48), као и препорукама CEDAW комитета.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је усмерена и на континуирано унапређење знања и компетенција актера који учествују у политичком животу (институције јавне власти на свим нивоима, политичке странке, синдикати ОЦД и др.), везана за родну равноправност, родне стереотипе и предрасуде, посебно у односу на рањиве групе, кроз различите облике континуиране и систематске едукације која се организује у органима јавне власти, политичким странкама, синдикатима и ОЦД, о питањима значајним за родну равноправност, родним стереотипима и предрасудама и њиховом превазилажењу, посебно у односу на рањиве групе и интегрисању родне перспективе у политички живот и јавне политике, као и информисање најшире јавности, грађана/ки о питањима везаним за родну равноправност значајним за њихов свакодневни живот, као и праву на равноправно учешће грађана/ки у одлучивању о јавним пословима.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 мере је смањење родног јаза у политичком животу и превазилажење предрасуда и стереотипа који политички ангажман жена редукује само на области друштвеног живота које се традиционално сматрају женским пословима, посебно у политичким странкама, синдикатима, ОЦД и на руководећим местима у органима јавне власти, јавним установама, највишим позицијама у ЈЛС и месним заједницама, као и обезбеђивање равноправног учешћа жена и мушкараца, а посебно рањивих група у одлучивању о јавним пословима и питањима значајним за њихов свакодневни живот.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Ефекти ове мере огледаће се у успостављању системских, институционалних гаранција, подизању капацитета и компетенција актера који учествују у политичком животу, унапређеним знањима о родној равноправности и праву на равноправно учешће у одлучивању о јавним пословима и информисању најшире јавности грађана/ки као претпоставки за равноправно учешће жена и мушкараца, а посебно рањивих група у политичком животу и одлучивању о јавним пословима и питањима значајним за њихов свакодневни живот.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Меру је потребно континуирано спроводити током целокупног периода за који се доноси ова стратегија.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за људска и мањинска права и друштвени дијалог.</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Координационо тело за родну равноправност, Министарство културе и информисања, Министарство државне управе и локалне самоуправе, механизми РР на нивоу АПВ, као и на нивоу ЈЛС, политичке странке, синдикати, ОЦД, медији, НАЈУ, Правосудна академија.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02"/>
        <w:gridCol w:w="5019"/>
      </w:tblGrid>
      <w:tr w:rsidR="00EF008E" w:rsidRPr="00EF008E" w:rsidTr="00455933">
        <w:trPr>
          <w:trHeight w:val="45"/>
          <w:tblCellSpacing w:w="0" w:type="auto"/>
        </w:trPr>
        <w:tc>
          <w:tcPr>
            <w:tcW w:w="707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резултата 2.4</w:t>
            </w:r>
          </w:p>
        </w:tc>
        <w:tc>
          <w:tcPr>
            <w:tcW w:w="732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707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2.4.1. Број закона и подзаконских аката који су измењени или усвојени како би се остварила родна равноправност у политичком животу и одлучивање о јавним пословима.</w:t>
            </w:r>
          </w:p>
        </w:tc>
        <w:tc>
          <w:tcPr>
            <w:tcW w:w="732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Увиди у текстове закона и подзаконских аката, анализа садржаја.</w:t>
            </w:r>
          </w:p>
        </w:tc>
      </w:tr>
      <w:tr w:rsidR="00EF008E" w:rsidRPr="00EF008E" w:rsidTr="00455933">
        <w:trPr>
          <w:trHeight w:val="45"/>
          <w:tblCellSpacing w:w="0" w:type="auto"/>
        </w:trPr>
        <w:tc>
          <w:tcPr>
            <w:tcW w:w="707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2.4.2. Удео жена у јавном и политичком животу на националном, покрајинском и локалном нивоу, у органима законодавне, извршне и судске власти, као и на руководећим местима и у управљачким телима, разврстано по полу и припадности друштвеној осетљивој групи (Ромкиње, жене са инвалидитетом, старије жене, итд.).</w:t>
            </w:r>
          </w:p>
        </w:tc>
        <w:tc>
          <w:tcPr>
            <w:tcW w:w="732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Подаци и извештаји институција система на националном, покрајинском и локалном нивоу (Народна скупштина, Влада, Скупштина АПВ, Покрајинска влада, ЈЛС) о броју жена и мушкараца и припадности некој рањивој групи.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 равноправности за домен моћи.</w:t>
            </w:r>
          </w:p>
        </w:tc>
      </w:tr>
      <w:tr w:rsidR="00EF008E" w:rsidRPr="00EF008E" w:rsidTr="00455933">
        <w:trPr>
          <w:trHeight w:val="45"/>
          <w:tblCellSpacing w:w="0" w:type="auto"/>
        </w:trPr>
        <w:tc>
          <w:tcPr>
            <w:tcW w:w="707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2.4.3. Удео жена у синдикатима, политичким странкама и покретима, удружењима, разврстано по лидерским и извршилачким позицијама, областима, припадности друштвено осетљивим групама (Ромкиње, жене са инвалидитетом, старије жене, итд.)</w:t>
            </w:r>
          </w:p>
        </w:tc>
        <w:tc>
          <w:tcPr>
            <w:tcW w:w="732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Доступни подаци и извештаји синдиката, политичких странака и покрета, удружења о чланству.</w:t>
            </w:r>
          </w:p>
        </w:tc>
      </w:tr>
      <w:tr w:rsidR="00EF008E" w:rsidRPr="00EF008E" w:rsidTr="00455933">
        <w:trPr>
          <w:trHeight w:val="45"/>
          <w:tblCellSpacing w:w="0" w:type="auto"/>
        </w:trPr>
        <w:tc>
          <w:tcPr>
            <w:tcW w:w="707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2.4.4. Број реализованих обука о родној равноправности, смањењу родних стереотипа и равноправном учешћу жена и мушкараца у јавном и политичком животу за представнике/це институција јавне власти</w:t>
            </w:r>
          </w:p>
        </w:tc>
        <w:tc>
          <w:tcPr>
            <w:tcW w:w="732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евалуације ефеката обука о родној равноправности, смањењу родних стереотипа и равноправном учешћу у јавном и политичком животу, на годишњем нивоу; извештаји и евалуације НАЈУ.</w:t>
            </w:r>
          </w:p>
        </w:tc>
      </w:tr>
      <w:tr w:rsidR="00EF008E" w:rsidRPr="00EF008E" w:rsidTr="00455933">
        <w:trPr>
          <w:trHeight w:val="45"/>
          <w:tblCellSpacing w:w="0" w:type="auto"/>
        </w:trPr>
        <w:tc>
          <w:tcPr>
            <w:tcW w:w="707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2.4.5. Број обучених представника/ца институција јавне власти о родној равноправности, смањењу родних стереотипа и равноправном учешћу жена и мушкараца у јавном и политичком животу, разврстано по полу, институцији јавне власти, региону.</w:t>
            </w:r>
          </w:p>
        </w:tc>
        <w:tc>
          <w:tcPr>
            <w:tcW w:w="732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евалуације ефеката обука о родној равноправности, смањењу родних стереотипа и равноправном учешћу у јавном и политичком животу, на годишњем нивоу; извештаји и евалуације НАЈУ.</w:t>
            </w:r>
          </w:p>
        </w:tc>
      </w:tr>
      <w:tr w:rsidR="00EF008E" w:rsidRPr="00EF008E" w:rsidTr="00455933">
        <w:trPr>
          <w:trHeight w:val="45"/>
          <w:tblCellSpacing w:w="0" w:type="auto"/>
        </w:trPr>
        <w:tc>
          <w:tcPr>
            <w:tcW w:w="707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2.4.6. Број обучених представника/ца синдиката, политичких странака и покрета, удружења о родној равноправности, смањењу родних стереотипа и равноправном учешћу жена и мушкараца у јавном и политичком животу, разврстано по полу, афилијацији и нивоима организације власти.</w:t>
            </w:r>
          </w:p>
        </w:tc>
        <w:tc>
          <w:tcPr>
            <w:tcW w:w="732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са реализованих обука, евалуације ефеката обука на годишњем нивоу, евалуације дугорочних ефеката и примене знања и вештина са обука.</w:t>
            </w:r>
          </w:p>
        </w:tc>
      </w:tr>
      <w:tr w:rsidR="00EF008E" w:rsidRPr="00EF008E" w:rsidTr="00455933">
        <w:trPr>
          <w:trHeight w:val="45"/>
          <w:tblCellSpacing w:w="0" w:type="auto"/>
        </w:trPr>
        <w:tc>
          <w:tcPr>
            <w:tcW w:w="707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2.4.7. Број јавних кампања за равноправно учешће жена у јавном и политичком животу, разврстано по нивоима власти, носиоцима кампања, региону/територијалном обухвату, изворима финансирања.</w:t>
            </w:r>
          </w:p>
        </w:tc>
        <w:tc>
          <w:tcPr>
            <w:tcW w:w="732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Евалуације ефеката јавних кампања, произведени материјали (штампани, видео, аудио, дигитални); медијски извештаји о обухвату и заступљености на телевизијама и радио програмима са националном и/или локалном фреквенцијом; испитивање јавног мњења (повратне информације на ефекте кампање); извештаји Координационог тела за родну равноправност, Министарства за људска и мањинска права и друштвени дијалог и Министарства културе и информисања.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Посебaн циљ 3. Успостављена приступачна и свеобухватна здравствена заштита и обезбеђена социјална сигурност.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Остваривањем овог посебног циља обезбеђује се здравствена заштита и социјална сигурност за све жене и мушкарце у складу са принципом социјалне правде као једним од темељних принципа на којима почива Устав, кроз реализацију мера и активности које омогућавају приступачну и свеобухватну здравствену заштиту свим женама и мушкарцима као претпоставку за унапређење здравља, смањење неједнакости жена и мушкараца, њиховој социјалној сигурности и прерасподели неплаћених послова старања.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37"/>
        <w:gridCol w:w="1502"/>
        <w:gridCol w:w="2341"/>
        <w:gridCol w:w="2412"/>
        <w:gridCol w:w="1929"/>
      </w:tblGrid>
      <w:tr w:rsidR="00EF008E" w:rsidRPr="00EF008E" w:rsidTr="00455933">
        <w:trPr>
          <w:trHeight w:val="45"/>
          <w:tblCellSpacing w:w="0" w:type="auto"/>
        </w:trPr>
        <w:tc>
          <w:tcPr>
            <w:tcW w:w="242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исхода</w:t>
            </w:r>
          </w:p>
        </w:tc>
        <w:tc>
          <w:tcPr>
            <w:tcW w:w="10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Јединица мере</w:t>
            </w:r>
          </w:p>
        </w:tc>
        <w:tc>
          <w:tcPr>
            <w:tcW w:w="440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Почетна вредност</w:t>
            </w:r>
          </w:p>
        </w:tc>
        <w:tc>
          <w:tcPr>
            <w:tcW w:w="44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Циљана вредност</w:t>
            </w:r>
          </w:p>
        </w:tc>
        <w:tc>
          <w:tcPr>
            <w:tcW w:w="205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242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 равноправности у домену здравља (здравствени статус, понашање, приступ здравственој заштити).</w:t>
            </w:r>
          </w:p>
        </w:tc>
        <w:tc>
          <w:tcPr>
            <w:tcW w:w="10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Вредност индекса</w:t>
            </w:r>
          </w:p>
        </w:tc>
        <w:tc>
          <w:tcPr>
            <w:tcW w:w="440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 84,1, (88,3, 72,3, 93,1)</w:t>
            </w:r>
          </w:p>
        </w:tc>
        <w:tc>
          <w:tcPr>
            <w:tcW w:w="44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87,8; (92,0, 74,8, 98,3).</w:t>
            </w:r>
          </w:p>
        </w:tc>
        <w:tc>
          <w:tcPr>
            <w:tcW w:w="205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 равноправности</w:t>
            </w:r>
          </w:p>
        </w:tc>
      </w:tr>
      <w:tr w:rsidR="00EF008E" w:rsidRPr="00EF008E" w:rsidTr="00455933">
        <w:trPr>
          <w:trHeight w:val="45"/>
          <w:tblCellSpacing w:w="0" w:type="auto"/>
        </w:trPr>
        <w:tc>
          <w:tcPr>
            <w:tcW w:w="242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Обухват жена старијих од 15 година превентивним гинеколошким прегледима.</w:t>
            </w:r>
          </w:p>
        </w:tc>
        <w:tc>
          <w:tcPr>
            <w:tcW w:w="10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w:t>
            </w:r>
          </w:p>
        </w:tc>
        <w:tc>
          <w:tcPr>
            <w:tcW w:w="440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2019: 9%</w:t>
            </w:r>
          </w:p>
        </w:tc>
        <w:tc>
          <w:tcPr>
            <w:tcW w:w="44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60%</w:t>
            </w:r>
          </w:p>
        </w:tc>
        <w:tc>
          <w:tcPr>
            <w:tcW w:w="205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Подаци и извештаји Института за јавно здравље, извештаји Министарства здравља</w:t>
            </w:r>
          </w:p>
        </w:tc>
      </w:tr>
      <w:tr w:rsidR="00EF008E" w:rsidRPr="00EF008E" w:rsidTr="00455933">
        <w:trPr>
          <w:trHeight w:val="45"/>
          <w:tblCellSpacing w:w="0" w:type="auto"/>
        </w:trPr>
        <w:tc>
          <w:tcPr>
            <w:tcW w:w="242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Удео жена у ризику од сиромаштва и социјалне искључености.</w:t>
            </w:r>
          </w:p>
        </w:tc>
        <w:tc>
          <w:tcPr>
            <w:tcW w:w="10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w:t>
            </w:r>
          </w:p>
        </w:tc>
        <w:tc>
          <w:tcPr>
            <w:tcW w:w="440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2019: 31,7%</w:t>
            </w:r>
          </w:p>
        </w:tc>
        <w:tc>
          <w:tcPr>
            <w:tcW w:w="44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30%</w:t>
            </w:r>
          </w:p>
        </w:tc>
        <w:tc>
          <w:tcPr>
            <w:tcW w:w="205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Анкета о приходима и условима живота (SILC)</w:t>
            </w:r>
          </w:p>
        </w:tc>
      </w:tr>
      <w:tr w:rsidR="00EF008E" w:rsidRPr="00EF008E" w:rsidTr="00455933">
        <w:trPr>
          <w:trHeight w:val="45"/>
          <w:tblCellSpacing w:w="0" w:type="auto"/>
        </w:trPr>
        <w:tc>
          <w:tcPr>
            <w:tcW w:w="242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Доступност и приступачност услуга социјалне заштите за грађане и грађанке, разврстано по корисницима и полу, пружаоцима услуга, јавним расходима, територијалној покривености.</w:t>
            </w:r>
          </w:p>
        </w:tc>
        <w:tc>
          <w:tcPr>
            <w:tcW w:w="10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Недовољно/ делимично /потпуно доступне и приступачне услуге социјалне заштите</w:t>
            </w:r>
          </w:p>
        </w:tc>
        <w:tc>
          <w:tcPr>
            <w:tcW w:w="440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 Недовољно доступне и приступачне услуге социјалне заштите</w:t>
            </w:r>
          </w:p>
        </w:tc>
        <w:tc>
          <w:tcPr>
            <w:tcW w:w="44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Потпуно доступне, и приступачне, услуге социјалне заштите</w:t>
            </w:r>
          </w:p>
        </w:tc>
        <w:tc>
          <w:tcPr>
            <w:tcW w:w="205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за рад, запошљавање, борачка и социјална питања, извештај о буџетским издвајањима, увид у годишње планирање буџета</w:t>
            </w:r>
          </w:p>
        </w:tc>
      </w:tr>
      <w:tr w:rsidR="00EF008E" w:rsidRPr="00EF008E" w:rsidTr="00455933">
        <w:trPr>
          <w:trHeight w:val="45"/>
          <w:tblCellSpacing w:w="0" w:type="auto"/>
        </w:trPr>
        <w:tc>
          <w:tcPr>
            <w:tcW w:w="242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 равноправности у домену времена (брига о домаћинству, друштвене активности)</w:t>
            </w:r>
          </w:p>
        </w:tc>
        <w:tc>
          <w:tcPr>
            <w:tcW w:w="10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Вредност индекса</w:t>
            </w:r>
          </w:p>
        </w:tc>
        <w:tc>
          <w:tcPr>
            <w:tcW w:w="440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2018: 65,7 (56, 41,9)</w:t>
            </w:r>
          </w:p>
        </w:tc>
        <w:tc>
          <w:tcPr>
            <w:tcW w:w="44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64,9 (69,1, 61,0).</w:t>
            </w:r>
          </w:p>
        </w:tc>
        <w:tc>
          <w:tcPr>
            <w:tcW w:w="2051"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Индекс родне равноправности</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3.1. Унапређење доступности и квалитета здравствене заштите без дискриминације, укључујући програме ране превенције сексуалног и репродуктивног здравља, рака дојке и рака грлића материце, као и подизање свести о савременим облицима контрацепције и побољшање приступа услугама за планирање породице.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мере: Мера је усмерена на унапређење доступности и квалитета услуга здравствене заштите, раног откривања болести и лечења жена и мушкараца, посебно од кардиоваскуларних и малигних болести, депресије, деменције, као и остеопорозе, анемије, те обољења и стања у вези са трудноћом и порођајем који су водећи узроци оболевања у репродуктивном периоду живота жена. Мера укључује израду и/или измену прописа који регулишу здравствену заштиту, као и повећање расположивих финансијских, техничких и људских ресурса у овој области који треба да допринесу повећању доступности и приступачности здравствене заштите, посебно вишеструко дискриминисаним групама жена и девојчица. Поред тога, мера се односи на унапређење спровођења организованих превентивних прегледа (скрининга) за рано откривање рака дојке и рака грлића материце, на подизање свести о савременим облицима контрацепције и побољшање приступа контрацепцији, укључујући обезбеђивање универзалног покривања повезаних трошкова у оквиру обавезног здравственог осигурања, као и на повећање броја саветовалишта за репродуктивно здравље. Мера укључује организовање едукација и медијских кампања према младима, ромској популацији и старијим женама, такође, укључује информисање и образовање становништва о значају заштите здравља, спречавања болести и побољшања квалитета живота упражњавањем здравих стилова живота, спорта и рекреације. Мера укључује праћење последица загађења изазваних факторима ризика из животне средине на здравље жена и мушкараца и организовање превентивних прегледа у најугроженијим деловима Републике Србије. Мера укључује и активности континуираног унапређивања знања здравствених радника о родној равноправности, правима рањивих група и дискриминацији.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 ове мере је стварање претпоставки за унапређење здравља и смањивање неједнакости у здрављу повећањем доступности и квалитета услуга здравствене заштите ради смањивања водећих здравствених ризика по здравље, спречавања и сузбијања болести, као и унапређења репродуктивног здравља жена и мушкараца.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треба да унапреди спровођење организованих превентивних прегледа, информисаност жена и мушкараца о заштити здравља, значају превенције и здравим стиловима живота, који подразумева упражњавање спортских и рекреативних активности, а укључује и подизање нивоа знања здравствених радника о родној равноправности, родним стереотипима, предрасудама и дискриминацији ради унапређења односа према пацијентима/кињама, посебно рањивим групама становништва.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Ефекти примене ове мере огледаће се у побољшању здравља жена и мушкараца захваљујући унапређењу доступности и квалитета здравствене заштите, организованих превентивних прегледа, повећања финансијских, техничких и људских ресурса у установама здравствене заштите на примарном, секундарном и терцијарном нивоу, као важних претпоставки за унапређење доступности и квалитета услуга здравствене заштите. Меру је потребно континуирано спроводити током целокупног периода за који се доноси ова стратегија.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здравља.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Институције учесници у спровођењу мере: Координационо тело за родну равноправност, Министарство за рад, запошљавање, борачка и социјална питања, здравствене установе на примарном, секундарном и терцијарном нивоу здравствене заштите (из Плана мреже здравствених установа, и у приватном власништву), Здравствени савет Србије, Лекарска комора Србије, Комора медицинских сестара и техничара Србије, Институт за јавно здравље Србије </w:t>
      </w:r>
      <w:r>
        <w:rPr>
          <w:rFonts w:ascii="Arial" w:hAnsi="Arial" w:cs="Arial"/>
          <w:color w:val="000000"/>
          <w:sz w:val="22"/>
          <w:szCs w:val="22"/>
          <w:lang w:val="sr-Cyrl-RS"/>
        </w:rPr>
        <w:t>"</w:t>
      </w:r>
      <w:r w:rsidRPr="00EF008E">
        <w:rPr>
          <w:rFonts w:ascii="Arial" w:hAnsi="Arial" w:cs="Arial"/>
          <w:color w:val="000000"/>
          <w:sz w:val="22"/>
          <w:szCs w:val="22"/>
          <w:lang w:val="sr-Cyrl-RS"/>
        </w:rPr>
        <w:t>Др Милан Јовановић Батут</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(Институт за јавно здравље Војводине и заводи за јавно здравље), установе социјалне заштите, образовне и научне установе, стручњаци, ОЦД и женске организације, међународни донатори, Министарство просвете, науке и технолошког развоја, Министарство омладине и спорта, Министарство културе и информисања, ЈМУ (Јавне медијске установе РТС и РТВ), медијске куће и новинарска удружења.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895"/>
        <w:gridCol w:w="4326"/>
      </w:tblGrid>
      <w:tr w:rsidR="00EF008E" w:rsidRPr="00EF008E" w:rsidTr="00455933">
        <w:trPr>
          <w:trHeight w:val="45"/>
          <w:tblCellSpacing w:w="0" w:type="auto"/>
        </w:trPr>
        <w:tc>
          <w:tcPr>
            <w:tcW w:w="83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резултата 3.1</w:t>
            </w:r>
          </w:p>
        </w:tc>
        <w:tc>
          <w:tcPr>
            <w:tcW w:w="60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83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3.1.1: Број здравствених услуга које су у потпуности доступне и приступачне свим грађанима и грађанкама, посебно особама из вишеструко дискриминисаних група.</w:t>
            </w:r>
          </w:p>
        </w:tc>
        <w:tc>
          <w:tcPr>
            <w:tcW w:w="60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здравља о доступности и приступачности здравствених услуга; SILC, Национални извештај о социјалном укључивању и смањењу сиромаштва у Републици Србији, ЕHIS,</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независни извештаји, евалуације и студије; извештаји ОЦД.</w:t>
            </w:r>
          </w:p>
        </w:tc>
      </w:tr>
      <w:tr w:rsidR="00EF008E" w:rsidRPr="00EF008E" w:rsidTr="00455933">
        <w:trPr>
          <w:trHeight w:val="45"/>
          <w:tblCellSpacing w:w="0" w:type="auto"/>
        </w:trPr>
        <w:tc>
          <w:tcPr>
            <w:tcW w:w="83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3.1.2: Број грађана и грађанки који користе превентивне прегледе и рано лечење, посебно од кардиоваскуларних и малигних болести, депресије, деменције, као и остеопорозе, анемије, болести изазваних факторима ризика из животне средине, разврстано по полу, узрасту, територијалној припадности.</w:t>
            </w:r>
          </w:p>
        </w:tc>
        <w:tc>
          <w:tcPr>
            <w:tcW w:w="60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здравља, Института за јавно здравље о коришћењу здравствених услуга и здравственог стања становништва.</w:t>
            </w:r>
          </w:p>
        </w:tc>
      </w:tr>
      <w:tr w:rsidR="00EF008E" w:rsidRPr="00EF008E" w:rsidTr="00455933">
        <w:trPr>
          <w:trHeight w:val="45"/>
          <w:tblCellSpacing w:w="0" w:type="auto"/>
        </w:trPr>
        <w:tc>
          <w:tcPr>
            <w:tcW w:w="83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3.1.3: Број жена у репродуктивном периоду које користе превентивне гинеколошке прегледе, редовне прегледе у вези са трудноћом и порођајем, разврстано по узрасту, територијалној припадности, припадности некој друштвено осетљивој групи.</w:t>
            </w:r>
          </w:p>
        </w:tc>
        <w:tc>
          <w:tcPr>
            <w:tcW w:w="60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здравља, Института за јавно здравље о коришћењу здравствених услуга и здравственог стања становништва.</w:t>
            </w:r>
          </w:p>
        </w:tc>
      </w:tr>
      <w:tr w:rsidR="00EF008E" w:rsidRPr="00EF008E" w:rsidTr="00455933">
        <w:trPr>
          <w:trHeight w:val="45"/>
          <w:tblCellSpacing w:w="0" w:type="auto"/>
        </w:trPr>
        <w:tc>
          <w:tcPr>
            <w:tcW w:w="83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3.1.4: Број жена обухваћених обавезним организованим превентивним прегледима (скрининг).</w:t>
            </w:r>
          </w:p>
        </w:tc>
        <w:tc>
          <w:tcPr>
            <w:tcW w:w="60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здравља, Институти за јавно здравље (Канцеларије за скрининг) о организовању и одзиву на организоване превентивне прегледе</w:t>
            </w:r>
          </w:p>
        </w:tc>
      </w:tr>
      <w:tr w:rsidR="00EF008E" w:rsidRPr="00EF008E" w:rsidTr="00455933">
        <w:trPr>
          <w:trHeight w:val="45"/>
          <w:tblCellSpacing w:w="0" w:type="auto"/>
        </w:trPr>
        <w:tc>
          <w:tcPr>
            <w:tcW w:w="83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3.1.5: Број измењених и усвојених законских и подзаконских аката који обезбеђују приступ и квалитет здравственим услугама.</w:t>
            </w:r>
          </w:p>
        </w:tc>
        <w:tc>
          <w:tcPr>
            <w:tcW w:w="60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законских и подзаконских аката, анализе ефеката јавних политика; Извештаји о унапређењу квалитета здравствене заштите</w:t>
            </w:r>
          </w:p>
        </w:tc>
      </w:tr>
      <w:tr w:rsidR="00EF008E" w:rsidRPr="00EF008E" w:rsidTr="00455933">
        <w:trPr>
          <w:trHeight w:val="45"/>
          <w:tblCellSpacing w:w="0" w:type="auto"/>
        </w:trPr>
        <w:tc>
          <w:tcPr>
            <w:tcW w:w="83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3.1.6: Број здравствених радника/ца који су похађали обавезне обуке о родној равноправности, правима особа из вишеструко дискриминисаних група.</w:t>
            </w:r>
          </w:p>
        </w:tc>
        <w:tc>
          <w:tcPr>
            <w:tcW w:w="60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евалуације ефеката обука</w:t>
            </w:r>
          </w:p>
        </w:tc>
      </w:tr>
      <w:tr w:rsidR="00EF008E" w:rsidRPr="00EF008E" w:rsidTr="00455933">
        <w:trPr>
          <w:trHeight w:val="45"/>
          <w:tblCellSpacing w:w="0" w:type="auto"/>
        </w:trPr>
        <w:tc>
          <w:tcPr>
            <w:tcW w:w="83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3.1.7: Удео буџета који се обезбеђује за здравствену заштиту у Републици Србији, укључујући и обезбеђивање адекватних техничких, материјалних и људских ресурса.</w:t>
            </w:r>
          </w:p>
        </w:tc>
        <w:tc>
          <w:tcPr>
            <w:tcW w:w="60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праћењу буџетских издвајања</w:t>
            </w:r>
          </w:p>
        </w:tc>
      </w:tr>
      <w:tr w:rsidR="00EF008E" w:rsidRPr="00EF008E" w:rsidTr="00455933">
        <w:trPr>
          <w:trHeight w:val="45"/>
          <w:tblCellSpacing w:w="0" w:type="auto"/>
        </w:trPr>
        <w:tc>
          <w:tcPr>
            <w:tcW w:w="83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3.1.8: Број јавних кампања за ширу јавност о значају заштите здравља, спречавања болести и побољшања квалитета живота, упражњавањем здравих стилова живота, спорта и рекреације.</w:t>
            </w:r>
          </w:p>
        </w:tc>
        <w:tc>
          <w:tcPr>
            <w:tcW w:w="60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реализованим јавним кампањама, извештаји о медијској покривености јавних кампања; увид у информативни материјал; испитивања јавног мњења</w:t>
            </w:r>
          </w:p>
        </w:tc>
      </w:tr>
      <w:tr w:rsidR="00EF008E" w:rsidRPr="00EF008E" w:rsidTr="00455933">
        <w:trPr>
          <w:trHeight w:val="45"/>
          <w:tblCellSpacing w:w="0" w:type="auto"/>
        </w:trPr>
        <w:tc>
          <w:tcPr>
            <w:tcW w:w="839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3.1.9: Број информативних кампања за информисање грађана и грађанки о предностима ране превенције, савременим облицима контрацепције, важности репродуктивног здравља.</w:t>
            </w:r>
          </w:p>
        </w:tc>
        <w:tc>
          <w:tcPr>
            <w:tcW w:w="600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ефектима информативних кампања, увид у информативни материјал; испитивање јавног мњења; извештаји о коришћењу услуга превентивних прегледа и контрацепције; извештаји Института за јавно здравље о коришћењу савремених облика контрацепције.</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3.2. Обезбеђење социјалне сигурности, смањење сиромаштва, социјалне искључености и унапређење доступности услуга социјалне заштите ради очувања и повећања квалитета живота, благостања жена и мушкараца из рањивих група, као и подршке породицама у задовољењу животних потреба.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Опис мере: Мера је усмерена на смањење броја жена, мушкараца и деце који живе у сиромаштву, на унапређење приступа ресурсима и услугама подршке, под једнаким условима за најугроженије групе становништва. Мера подразумева спровођење свеобухватне анализе потреба и аспирација угрожених група жена, прикупљање података о проценту жена и мушкараца без личних прихода и без приступа социјалним услугама на локалном нивоу. Мера је усмерена на унапређење и доступност постојећих и развијање нових услуга подршке у заједници и њихово прилагођавање потребама жена и мушкараца, девојчица и дечака из осетљивих група (са инвалидитетом, из ромске заједнице, из сеоских и депривираних крајева, сиромашне старије жене). Мера се односи и на процену потреба за новчаном социјалном помоћи, повећање њеног износа, нарочито за породице са децом, затим, на унапређење подршке једнородитељским породицама типа мајка са децом које су у већем ризику од сиромаштва. Мера укључује повећање расположивих финансијских, техничких и људских ресурса ради задовољења потреба корисника/ца услуга социјалне заштите. Такође, мера је усмерена на системско подстицање прерасподеле неплаћеног рада у домаћинству и послова неге и старања између жена и мушкараца, на развијање различитих услуга старања, повећање њихове доступности и обухвата корисника/ца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деце, старијих и болесних чланова/чланица домаћинства, особа са сметњама у развоју и др., узимајући у обзир положај и потребе сиромашних жена и других рањивих група. Мера подразумева јачање капацитета свих релевантних актера и институција, као и унапређење сарадње социјалне заштите са другим секторима.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 ове мере је стварање претпоставки за обезбеђење социјалне сигурности, смањење сиромаштва и развијање и унапређивање услуга за очување и побољшање квалитета живота и благостања рањивих/осетљивих група и појединаца. Исто тако, циљ мере је стварање једнаких могућности за самосталан живот и независност појединаца/појединки и укључивање у заједницу. Циљ је пружање подршке породицама у задовољавању животних потреба, као и пружање подршке и различитих услуга које утичу на смањење неплаћеног рада и прерасподелу послова неге и старања. Уродњавање јавних политика и законодавног оквира у социјалној заштити је континуирани процес који треба да допринесе унапређењу социјалне заштите, јавних политика и правног оквира, јачање капацитета свих релевантних актера и институција ради развоја интегралне социјалне заштите.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Ефекти ове мере огледаће се у успостављању претпоставки за обезбеђење социјалне сигурности, смањење сиромаштва, социјалне искључености и равноправну расподелу финансијских и свих других ресурса у систему социјалне заштите на жене и мушкарце, девојчице и дечаке из осетљивих група, ради задовољења животних потреба, као и претпоставки за прерасподелу неплаћених послова старања између жена и мушкараца кроз унапређење постојећих и увођења нових услуга подршке.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за рад, запошљавање, борачка и социјална питања.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Координационо тело за родну равноправност, Министарство здравља, Министарство за бригу о породици и демографију, установе социјалне заштите, Републички завод за социјалну заштиту, Комора социјалне заштите, здравствене, образовне и научне установе, стручњаци, ОЦД и женске организације, међународни донатори, Министарство просвете, науке и технолошког развоја, Министарство омладине и спорта и Министарство културе и информисања, ЈМУ (Јавне медијске установе РТС и РТВ), медијске куће и новинарска удружења.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03"/>
        <w:gridCol w:w="5418"/>
      </w:tblGrid>
      <w:tr w:rsidR="00EF008E" w:rsidRPr="00EF008E" w:rsidTr="00455933">
        <w:trPr>
          <w:trHeight w:val="45"/>
          <w:tblCellSpacing w:w="0" w:type="auto"/>
        </w:trPr>
        <w:tc>
          <w:tcPr>
            <w:tcW w:w="657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резултата 3.2</w:t>
            </w:r>
          </w:p>
        </w:tc>
        <w:tc>
          <w:tcPr>
            <w:tcW w:w="782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657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3.2.1: Смањена стопа сиромаштва жена, мушкараца и деце, посебно деце из једнородитељских породица.</w:t>
            </w:r>
          </w:p>
        </w:tc>
        <w:tc>
          <w:tcPr>
            <w:tcW w:w="782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SILC, Национални извештај о социјалном укључивању и смањењу сиромаштва у Републици Србији, жене и мушкарци у Републици Србији, извештај РЗС за 2020. годину.</w:t>
            </w:r>
          </w:p>
        </w:tc>
      </w:tr>
      <w:tr w:rsidR="00EF008E" w:rsidRPr="00EF008E" w:rsidTr="00455933">
        <w:trPr>
          <w:trHeight w:val="45"/>
          <w:tblCellSpacing w:w="0" w:type="auto"/>
        </w:trPr>
        <w:tc>
          <w:tcPr>
            <w:tcW w:w="657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3.2.2: Број општина/градова у којима су уведене и финансиране нове услуге социјалне заштите, разврстано по полу корисника, општини, врсти услуге, врсти пружалаца услуге (државно, приватно, ОЦД).</w:t>
            </w:r>
          </w:p>
        </w:tc>
        <w:tc>
          <w:tcPr>
            <w:tcW w:w="782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ЈЛС, извештаји Министарства за рад, запошљавање, борачка и социјална питања и Министарства државне управе и локалне самоуправе; мапирање услуга социјалне заштите и подршке у надлежности ЈЛС; анализе и истраживања.</w:t>
            </w:r>
          </w:p>
        </w:tc>
      </w:tr>
      <w:tr w:rsidR="00EF008E" w:rsidRPr="00EF008E" w:rsidTr="00455933">
        <w:trPr>
          <w:trHeight w:val="45"/>
          <w:tblCellSpacing w:w="0" w:type="auto"/>
        </w:trPr>
        <w:tc>
          <w:tcPr>
            <w:tcW w:w="657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3.2.3: Број општина/градова које су обезбедиле потпуну приступачност и доступност услуга социјалне заштите свих грађанима и грађанкама, посебно онима из вишеструко дискриминисаних група.</w:t>
            </w:r>
          </w:p>
        </w:tc>
        <w:tc>
          <w:tcPr>
            <w:tcW w:w="782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ЈЛС, извештаји Министарства за рад, запошљавање, борачка и социјална питања; независни извештаји, студије и евалуације услуга из система социјалне заштите, увиди удружења грађана у остваривање приступачних и доступних услуга социјалне заштите.</w:t>
            </w:r>
          </w:p>
        </w:tc>
      </w:tr>
      <w:tr w:rsidR="00EF008E" w:rsidRPr="00EF008E" w:rsidTr="00455933">
        <w:trPr>
          <w:trHeight w:val="45"/>
          <w:tblCellSpacing w:w="0" w:type="auto"/>
        </w:trPr>
        <w:tc>
          <w:tcPr>
            <w:tcW w:w="657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3.2.4: Број корисника/ца услуга социјалне заштите, разврстано по полу, општини/граду, припадности друштвено осетљивој групи, узрасту.</w:t>
            </w:r>
          </w:p>
        </w:tc>
        <w:tc>
          <w:tcPr>
            <w:tcW w:w="782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Годишњи извештаји ЦСР и других установа и услуга из система социјалне заштите, извештаји Завода за социјалну заштиту и Покрајинског завода за социјалну заштиту; извештаји о буџетским издвајањима за социјалну заштиту; независни извештаји, студије и евалуације услуга из система социјалне заштите; Анкете о задовољству корисника/ца услугама социјалне заштите.</w:t>
            </w:r>
          </w:p>
        </w:tc>
      </w:tr>
      <w:tr w:rsidR="00EF008E" w:rsidRPr="00EF008E" w:rsidTr="00455933">
        <w:trPr>
          <w:trHeight w:val="45"/>
          <w:tblCellSpacing w:w="0" w:type="auto"/>
        </w:trPr>
        <w:tc>
          <w:tcPr>
            <w:tcW w:w="657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3.2.5: Број сати које жене проводе у неплаћеном раду.</w:t>
            </w:r>
          </w:p>
        </w:tc>
        <w:tc>
          <w:tcPr>
            <w:tcW w:w="782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Истраживања потрошње времена.</w:t>
            </w:r>
          </w:p>
        </w:tc>
      </w:tr>
      <w:tr w:rsidR="00EF008E" w:rsidRPr="00EF008E" w:rsidTr="00455933">
        <w:trPr>
          <w:trHeight w:val="45"/>
          <w:tblCellSpacing w:w="0" w:type="auto"/>
        </w:trPr>
        <w:tc>
          <w:tcPr>
            <w:tcW w:w="657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3.2.6: Проценат времена које очеви користе у односу на мајке за бригу о децу.</w:t>
            </w:r>
          </w:p>
        </w:tc>
        <w:tc>
          <w:tcPr>
            <w:tcW w:w="782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Истраживања потрошње времена.</w:t>
            </w:r>
          </w:p>
        </w:tc>
      </w:tr>
      <w:tr w:rsidR="00EF008E" w:rsidRPr="00EF008E" w:rsidTr="00455933">
        <w:trPr>
          <w:trHeight w:val="45"/>
          <w:tblCellSpacing w:w="0" w:type="auto"/>
        </w:trPr>
        <w:tc>
          <w:tcPr>
            <w:tcW w:w="657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3.2.7: Број обука за раднике/це у систему социјалне заштите о родној равноправности, правима особа из вишеструко дискриминисаних група, разврстане по професији, територијалној припадности.</w:t>
            </w:r>
          </w:p>
        </w:tc>
        <w:tc>
          <w:tcPr>
            <w:tcW w:w="782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евалуације ефеката обука, извештаји Коморе социјалне заштите.</w:t>
            </w:r>
          </w:p>
        </w:tc>
      </w:tr>
      <w:tr w:rsidR="00EF008E" w:rsidRPr="00EF008E" w:rsidTr="00455933">
        <w:trPr>
          <w:trHeight w:val="45"/>
          <w:tblCellSpacing w:w="0" w:type="auto"/>
        </w:trPr>
        <w:tc>
          <w:tcPr>
            <w:tcW w:w="657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3.2.8: Издвајања из буџета за социјалну заштиту на националном, покрајинском и локалном нивоу у односу на потребе социјалне заштите.</w:t>
            </w:r>
          </w:p>
        </w:tc>
        <w:tc>
          <w:tcPr>
            <w:tcW w:w="782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планирању и потрошњи буџета.</w:t>
            </w:r>
          </w:p>
        </w:tc>
      </w:tr>
      <w:tr w:rsidR="00EF008E" w:rsidRPr="00EF008E" w:rsidTr="00455933">
        <w:trPr>
          <w:trHeight w:val="45"/>
          <w:tblCellSpacing w:w="0" w:type="auto"/>
        </w:trPr>
        <w:tc>
          <w:tcPr>
            <w:tcW w:w="657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3.2.9: Износ социјалне помоћу, посебно особама из вишеструко дискриминисаних група.</w:t>
            </w:r>
          </w:p>
        </w:tc>
        <w:tc>
          <w:tcPr>
            <w:tcW w:w="7822"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Издвајања и извештаји Министарства за рад, запошљавање, борачка и социјална питања.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Посебни циљ 4. Успостављен целовит и функционалан систем за креирање и спровођење родно одговорних јавних политика и буџета.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Остваривањем овог посебног циља биће створене нормативне и друштвене претпоставке за институционализацију и успостављање целовитог и функционалног система за креирање и спровођење родно одговорних јавних политика и буџета, који обезбеђује координацију програма, активности и деловања свих актера који суделују у реализацији ове стратегије, а посебно механизама РР, што је изузетно значајно за остваривање родне равноправности имајући у виду мултисекторску природу ове области. Поред тога, овај посебни циљ укључује и родно одговорну статистику, родно одговорно планирање и родно одговорно буџетирање као алате који су неопходни за креирање и спровођење родно одговорних јавних политика и буџета.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30"/>
        <w:gridCol w:w="1543"/>
        <w:gridCol w:w="1422"/>
        <w:gridCol w:w="1568"/>
        <w:gridCol w:w="2958"/>
      </w:tblGrid>
      <w:tr w:rsidR="00EF008E" w:rsidRPr="00EF008E" w:rsidTr="00455933">
        <w:trPr>
          <w:trHeight w:val="45"/>
          <w:tblCellSpacing w:w="0" w:type="auto"/>
        </w:trPr>
        <w:tc>
          <w:tcPr>
            <w:tcW w:w="354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исхода</w:t>
            </w:r>
          </w:p>
        </w:tc>
        <w:tc>
          <w:tcPr>
            <w:tcW w:w="5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Јединица мере</w:t>
            </w:r>
          </w:p>
        </w:tc>
        <w:tc>
          <w:tcPr>
            <w:tcW w:w="164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Почетна вредност</w:t>
            </w:r>
          </w:p>
        </w:tc>
        <w:tc>
          <w:tcPr>
            <w:tcW w:w="248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Циљана вредност</w:t>
            </w:r>
          </w:p>
        </w:tc>
        <w:tc>
          <w:tcPr>
            <w:tcW w:w="61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354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Успостављени механизми за РР на свим нивоима и у свим органима јавне власти</w:t>
            </w:r>
          </w:p>
        </w:tc>
        <w:tc>
          <w:tcPr>
            <w:tcW w:w="5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Делимично/у потпуности</w:t>
            </w:r>
          </w:p>
        </w:tc>
        <w:tc>
          <w:tcPr>
            <w:tcW w:w="164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 Делимично</w:t>
            </w:r>
          </w:p>
        </w:tc>
        <w:tc>
          <w:tcPr>
            <w:tcW w:w="248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У потпуности</w:t>
            </w:r>
          </w:p>
        </w:tc>
        <w:tc>
          <w:tcPr>
            <w:tcW w:w="61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Јавно доступни подаци о броју и саставу механизама РР на свим нивоима власти, извештаји механизама за родну равноправност, извештаји и студије независних институција, института, истраживачких центара, удружења; годишњи извештаји/прегледи Министарства за људска и мањинска права и друштвени дијалог</w:t>
            </w:r>
          </w:p>
        </w:tc>
      </w:tr>
      <w:tr w:rsidR="00EF008E" w:rsidRPr="00EF008E" w:rsidTr="00455933">
        <w:trPr>
          <w:trHeight w:val="45"/>
          <w:tblCellSpacing w:w="0" w:type="auto"/>
        </w:trPr>
        <w:tc>
          <w:tcPr>
            <w:tcW w:w="354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Удео механизама за родну равноправност за чије функционисање су обезбеђена средства из буџета на свим нивоима власти.</w:t>
            </w:r>
          </w:p>
        </w:tc>
        <w:tc>
          <w:tcPr>
            <w:tcW w:w="5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w:t>
            </w:r>
          </w:p>
        </w:tc>
        <w:tc>
          <w:tcPr>
            <w:tcW w:w="164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 непознати подаци</w:t>
            </w:r>
          </w:p>
        </w:tc>
        <w:tc>
          <w:tcPr>
            <w:tcW w:w="248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45%</w:t>
            </w:r>
          </w:p>
        </w:tc>
        <w:tc>
          <w:tcPr>
            <w:tcW w:w="61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буџетска одвајања на свим нивоима власти, годишњи буџетски извештаји, годишњи извештаји Министарства за људска и мањинска права и друштвени дијалог.</w:t>
            </w:r>
          </w:p>
        </w:tc>
      </w:tr>
      <w:tr w:rsidR="00EF008E" w:rsidRPr="00EF008E" w:rsidTr="00455933">
        <w:trPr>
          <w:trHeight w:val="45"/>
          <w:tblCellSpacing w:w="0" w:type="auto"/>
        </w:trPr>
        <w:tc>
          <w:tcPr>
            <w:tcW w:w="354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Усклађена методологија доступних база родне статистике у свим областима, као и подаци о положају жена и мушкараца, девојчица и дечака из друштвено осетљивих група</w:t>
            </w:r>
          </w:p>
        </w:tc>
        <w:tc>
          <w:tcPr>
            <w:tcW w:w="5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Делимично/у потпуности</w:t>
            </w:r>
          </w:p>
        </w:tc>
        <w:tc>
          <w:tcPr>
            <w:tcW w:w="164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 Делимично</w:t>
            </w:r>
          </w:p>
        </w:tc>
        <w:tc>
          <w:tcPr>
            <w:tcW w:w="248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У потпуности</w:t>
            </w:r>
          </w:p>
        </w:tc>
        <w:tc>
          <w:tcPr>
            <w:tcW w:w="61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базе података појединачних институција на свим нивоима, студије и подаци РЗС, методологије и подаци којима координира Координационо тело за родну равноправност</w:t>
            </w:r>
          </w:p>
        </w:tc>
      </w:tr>
      <w:tr w:rsidR="00EF008E" w:rsidRPr="00EF008E" w:rsidTr="00455933">
        <w:trPr>
          <w:trHeight w:val="45"/>
          <w:tblCellSpacing w:w="0" w:type="auto"/>
        </w:trPr>
        <w:tc>
          <w:tcPr>
            <w:tcW w:w="3548"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Институционализација родно одговорног буџетирања на свим нивоима власти</w:t>
            </w:r>
          </w:p>
        </w:tc>
        <w:tc>
          <w:tcPr>
            <w:tcW w:w="58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Делимично/у потпуности</w:t>
            </w:r>
          </w:p>
        </w:tc>
        <w:tc>
          <w:tcPr>
            <w:tcW w:w="164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2021: Делимично</w:t>
            </w:r>
          </w:p>
        </w:tc>
        <w:tc>
          <w:tcPr>
            <w:tcW w:w="2489"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2030: У потпуности</w:t>
            </w:r>
          </w:p>
        </w:tc>
        <w:tc>
          <w:tcPr>
            <w:tcW w:w="6130"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анализе примене РОБ-а у Министарству финансија, Покрајинском секретаријату за финансије, Координационом телу за родну равноправност, покрајинским и локалним механизмима,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државне ревизорске институције и фискалног савета, Извештаји ОЦД</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4.1: Унапређени капацитети, институционални и нормативни оквир који обликују амбијент у коме се унапређује родна равноправност са акцентом на институционалне механизме родне равноправности као део целовитог и функционалног система и механизама за креирање родно одговорних јавних политика.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мере: Мера је усмерена на унапређење институционалног и нормативног оквира који обликује амбијент у коме се одвија процес унапређења родне равноправности и подижу капацитети за креирање родно одговорних јавних политика у свим областима друштвеног живота уз акценат на механизме РР на свим нивоима власти и јачање њихових капацитета. Мера укључује израду и усвајање и/или измену прописа који регулишу механизме РР на свим нивоима организације власти у складу са Законом о родној равноправности, њихов статус, надлежности и процедуре и тиме ће створити услове за системско повезивање и координирање рада и активности ових механизама као важног дела целовитог и функционалног система и механизама за креирање родно одговорних јавних политика, као и усклађивање аката о унутрашњој организацији и уређењу органа јавне власти који обезбеђују стабилан положај механизама РР у структури органа јавне власти на свим нивоима и стварање услова који обезбеђују несметани рад и реализацију планираних активности механизама РР у креирању и спровођењу родно одговорних јавних политика у свим областима друштвеног живота. Мера је усмерена и на континуирано унапређење знања и компетенција актера на свим нивоима власти који раде у овој области, везаних за родну равноправност и уродњавање јавних политика и закона као и институционалну родну процену, посебно када се ради о рањивим групама, родним стереотипима и предрасудама, кроз различите облике систематске едукације о питањима значајним за родну равноправност и интегрисању родне перспективе у јавне политике, као и информисање грађана/ки о питањима везаним за родну равноправност значајним за њихов свакодневни живот.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Циљ ове мере јесте стварање нормативних и институционалних претпоставки за формирање, стабилан статус, рад и активности механизама РР у оквиру система организације власти на свим нивоима и усклађивање са Законом о родној равноправности, као и унапређење и подизање нивоа знања и стицање компетенција свих актера који раде у овој области за креирање родно одговорних јавних политика.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Ефекти примене ове мере огледаће се у нормативно утемељеном стабилном статусу, јасно регулисаним надлежностима и одговорностима за њихово обављање, хоризонталној и вертикалној координацији рада и активности механизама РР, формирању механизама РР на свим нивоима у складу са Законом о родној равноправности, као и унапређењу знања и компетенција не само чланова/ца механизама РР већ и свих актера који суделују у креирању и спровођењу родно одговорних јавних политика.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Меру је потребно континуирано спроводити током целокупног периода за који се доноси ова стратегија.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за људска и мањинска права и друштвени дијалог.</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Координационо тело за родну равноправност, Министарство за људска и мањинска права и друштвени дијалог, Министарство државне управе и локалне самоуправе, министарства, органи државне управе и други органи јавне власти у којима се формирају механизми РР, Савет за родну равноправност, механизми РР на нивоу АПВ, механизми РР у ЈЛС и СКГО.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84"/>
        <w:gridCol w:w="4537"/>
      </w:tblGrid>
      <w:tr w:rsidR="00EF008E" w:rsidRPr="00EF008E" w:rsidTr="00455933">
        <w:trPr>
          <w:trHeight w:val="45"/>
          <w:tblCellSpacing w:w="0" w:type="auto"/>
        </w:trPr>
        <w:tc>
          <w:tcPr>
            <w:tcW w:w="78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 резултата 4.1</w:t>
            </w:r>
          </w:p>
        </w:tc>
        <w:tc>
          <w:tcPr>
            <w:tcW w:w="65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78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4.1.1: Број прописа који регулишу механизме РР на свим нивоима организације власти у складу са Законом о родној равноправности, њихов статус, надлежности и процедуре, и који дефинишу процедуре учешћа у креирању родно одговорних јавних политика</w:t>
            </w:r>
          </w:p>
        </w:tc>
        <w:tc>
          <w:tcPr>
            <w:tcW w:w="65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прописа.</w:t>
            </w:r>
          </w:p>
        </w:tc>
      </w:tr>
      <w:tr w:rsidR="00EF008E" w:rsidRPr="00EF008E" w:rsidTr="00455933">
        <w:trPr>
          <w:trHeight w:val="45"/>
          <w:tblCellSpacing w:w="0" w:type="auto"/>
        </w:trPr>
        <w:tc>
          <w:tcPr>
            <w:tcW w:w="78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4.1.2: Број механизама РР на националном покрајинском и локалном нивоу власти и свим нивоима унутрашње организације које имају обезбеђене људске, финансијске и материјалне услове за функционисање, разврстано по нивоима организације рада, регионима/територијалној припадности</w:t>
            </w:r>
          </w:p>
        </w:tc>
        <w:tc>
          <w:tcPr>
            <w:tcW w:w="65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локалних, покрајинских и националних институција система, извештаји механизама РР (подаци доступни на интернет презентацијама) о функционисању и активностима, увид у буџетска одвајања за одрживост механизама за родну равноправност на свим нивоима.</w:t>
            </w:r>
          </w:p>
        </w:tc>
      </w:tr>
      <w:tr w:rsidR="00EF008E" w:rsidRPr="00EF008E" w:rsidTr="00455933">
        <w:trPr>
          <w:trHeight w:val="45"/>
          <w:tblCellSpacing w:w="0" w:type="auto"/>
        </w:trPr>
        <w:tc>
          <w:tcPr>
            <w:tcW w:w="78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4.1.3: Број родно одговорних јавних политика и области на које се односе на свим нивоима у којима активно учествују механизми РР</w:t>
            </w:r>
          </w:p>
        </w:tc>
        <w:tc>
          <w:tcPr>
            <w:tcW w:w="65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број и садржај јавних политика на свим нивоима, праћење укључености представника/ца механизама РР.</w:t>
            </w:r>
          </w:p>
        </w:tc>
      </w:tr>
      <w:tr w:rsidR="00EF008E" w:rsidRPr="00EF008E" w:rsidTr="00455933">
        <w:trPr>
          <w:trHeight w:val="45"/>
          <w:tblCellSpacing w:w="0" w:type="auto"/>
        </w:trPr>
        <w:tc>
          <w:tcPr>
            <w:tcW w:w="78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4.1.4: Број обучених представника/ца јавне власти и чланова/чланица механизама РР о родно заснованим стереотипима, родној равноправности, и родно заснованој дискриминацији, уродњавање јавних политика и закона, посебно жена из друштвено осетљивих група, разврстано по полу, институцији, и нивоима организације на којима су образовани</w:t>
            </w:r>
          </w:p>
        </w:tc>
        <w:tc>
          <w:tcPr>
            <w:tcW w:w="65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евалуације ефеката обука за представнике/це јавне власти и чланова/чланица механизама РР.</w:t>
            </w:r>
          </w:p>
        </w:tc>
      </w:tr>
      <w:tr w:rsidR="00EF008E" w:rsidRPr="00EF008E" w:rsidTr="00455933">
        <w:trPr>
          <w:trHeight w:val="45"/>
          <w:tblCellSpacing w:w="0" w:type="auto"/>
        </w:trPr>
        <w:tc>
          <w:tcPr>
            <w:tcW w:w="78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4.1.5: Степен укључености женских организација и релевантних ОЦД у планирање и реализацију родно одговорних јавних политика на свим нивоима</w:t>
            </w:r>
          </w:p>
        </w:tc>
        <w:tc>
          <w:tcPr>
            <w:tcW w:w="65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механизама РР на свим нивоима, годишњи извештаји Министарства за људска и мањинска права и друштвени дијалог, повратне информације од женских организација.</w:t>
            </w:r>
          </w:p>
        </w:tc>
      </w:tr>
      <w:tr w:rsidR="00EF008E" w:rsidRPr="00EF008E" w:rsidTr="00455933">
        <w:trPr>
          <w:trHeight w:val="45"/>
          <w:tblCellSpacing w:w="0" w:type="auto"/>
        </w:trPr>
        <w:tc>
          <w:tcPr>
            <w:tcW w:w="786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4.1.6: Број информативних јавних кампања о улози, важности и начину функционисања механизама РР на свим нивоима и учешћу грађана и грађанки у процесима планирања и реализације родно одговорних јавних политика на свим нивоима.</w:t>
            </w:r>
          </w:p>
        </w:tc>
        <w:tc>
          <w:tcPr>
            <w:tcW w:w="653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и евалуације ефеката информативних кампања, заступљеност у медијима, увид у информативне материјале (штампане, видео, аудио, дигиталне), извештаји о партиципацији грађана и грађанки (покрети, удружења, неформалне групе) у изради родно одговорних јавних политика на свим нивоима.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4.2. Развој и унапређење родне статистике, повећање доступности података и информација као и коришћење података који одражавају стварност живота жена и мушкараца, девојчица и дечака за креирање политика.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и ефекти мере: Ова мера има за циљ да повећа доступност родно одговорних података у свим областима од значаја за свакодневни живот и да изгради капацитете за коришћење тих података код креирања политика и мера. Ова мера укључује: анализу постојеће статистике и идентификацију недостајућих података информација, и родно одговорних индикатора које су значајне за креирање родно одговорних политика и праћење стања родне равноправности у свим областима, повећање броја индикатора доступних по полу и укрштање са другим факторима, као и израду мапе пута за унапређење родне статистике. Ова мера такође укључује измене и допуне прописа и свих подзаконских аката који се односе на статистику и евиденције, на начин да се уреди прикупљање, обрада и објављивање родно одговорних података. Даље, ова мера предвиђа јачање капацитета РЗС и успостављање одељења за родну статистику, које ће континуирано радити на унапређењу система за прикупљање и обраду, а нарочито за објављивање родно одговорних података на начин који је прилагођен за различите циљне групе, уз коришћење модерних комуникацијских алата. Додатно, РЗС ће јачати капацитете, а кроз РОБ обезбедиће средства за праћење стања у области родне равноправности, развијајући домаће индексе за праћење и алате као допуну праћења стања у области родне равноправности, у складу са међународним праксама. У сарадњи са институцијама РСЗ ће развијати систем за обраду података по полу и другим карактеристикама о корисницима мера и услуга које се финансирају из буџета. Даље, ова мера подразумева и повећање знања у овој области, повезивање са универзитетима и факултетима са циљем препознавања значаја родне статистике за креирање политика и анализе, као и даљи развој знања и подстицања истраживања у овој области. Ова мера такође укључује и јачање капацитета институција на свим нивоима, али и других актера, попут ОЦД за коришћење родне статистике код аналитичких послова и за креирање политика. Ефекат ове мере биће унапређење прикупљања и обраде родно релевантних података који, поред разврставања по полу, укључују и сагледавање и праћење разлике у потребама као и проблемима са којима се жене и мушкарци сусрећу, идентификовање недостајућих података информација, и родно одговорних индикатора значајних за креирање родно одговорних политика и праћење стања родне равноправности у свим областима, повећање броја индикатора доступних по полу и укрштање са другим факторима, као и израду мапе пута за унапређење родне статистике.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Републички завод за статистику.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Универзитети и институти, ЈЛС, националне и покрајинске институције, Народна банка Србије, Министарство финансија, Агенција за привредне регистре и друге релевантне институције које одреди РЗС, а које прикупљају и/или обрађују статистичке податке.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369"/>
        <w:gridCol w:w="1852"/>
      </w:tblGrid>
      <w:tr w:rsidR="00EF008E" w:rsidRPr="00EF008E" w:rsidTr="00455933">
        <w:trPr>
          <w:trHeight w:val="45"/>
          <w:tblCellSpacing w:w="0" w:type="auto"/>
        </w:trPr>
        <w:tc>
          <w:tcPr>
            <w:tcW w:w="124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Показатељи резултата 4.2</w:t>
            </w:r>
          </w:p>
        </w:tc>
        <w:tc>
          <w:tcPr>
            <w:tcW w:w="198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124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4.2.1. Степен унапређења родне статистике у свим областима које прати РСЗ у односу на план за унапређење родне статистике</w:t>
            </w:r>
          </w:p>
        </w:tc>
        <w:tc>
          <w:tcPr>
            <w:tcW w:w="198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РЗС</w:t>
            </w:r>
          </w:p>
        </w:tc>
      </w:tr>
      <w:tr w:rsidR="00EF008E" w:rsidRPr="00EF008E" w:rsidTr="00455933">
        <w:trPr>
          <w:trHeight w:val="45"/>
          <w:tblCellSpacing w:w="0" w:type="auto"/>
        </w:trPr>
        <w:tc>
          <w:tcPr>
            <w:tcW w:w="124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4.2.2. Повећан број доступних родно одговорних индикатора у свим статистичким областима од укупног броја индикатора у области у односу на базну годину (базна година 2021)</w:t>
            </w:r>
          </w:p>
        </w:tc>
        <w:tc>
          <w:tcPr>
            <w:tcW w:w="198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РЗС</w:t>
            </w:r>
          </w:p>
        </w:tc>
      </w:tr>
      <w:tr w:rsidR="00EF008E" w:rsidRPr="00EF008E" w:rsidTr="00455933">
        <w:trPr>
          <w:trHeight w:val="45"/>
          <w:tblCellSpacing w:w="0" w:type="auto"/>
        </w:trPr>
        <w:tc>
          <w:tcPr>
            <w:tcW w:w="124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4.2.3. Изграђен капацитет РЗС за родну статистику: унапређена унутрашња акта организацији и систематизацији, планови прикупљања, обраде и објављивање података, све статистичке области имају одређену особу за родну статистику,</w:t>
            </w:r>
          </w:p>
        </w:tc>
        <w:tc>
          <w:tcPr>
            <w:tcW w:w="198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РЗС</w:t>
            </w:r>
          </w:p>
        </w:tc>
      </w:tr>
      <w:tr w:rsidR="00EF008E" w:rsidRPr="00EF008E" w:rsidTr="00455933">
        <w:trPr>
          <w:trHeight w:val="45"/>
          <w:tblCellSpacing w:w="0" w:type="auto"/>
        </w:trPr>
        <w:tc>
          <w:tcPr>
            <w:tcW w:w="124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4.2.4. Износ средстава из буџета Републике Србије усмерен ка развоју и унапређењу родне статистике као и % од укупних средстава опредељених за РЗС</w:t>
            </w:r>
          </w:p>
        </w:tc>
        <w:tc>
          <w:tcPr>
            <w:tcW w:w="198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РЗС, Буџет Републике Србије</w:t>
            </w:r>
          </w:p>
        </w:tc>
      </w:tr>
      <w:tr w:rsidR="00EF008E" w:rsidRPr="00EF008E" w:rsidTr="00455933">
        <w:trPr>
          <w:trHeight w:val="45"/>
          <w:tblCellSpacing w:w="0" w:type="auto"/>
        </w:trPr>
        <w:tc>
          <w:tcPr>
            <w:tcW w:w="124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4.2.5. Број и врста објављених специјализованих родно одговорних статистичких извештаја, или публикација</w:t>
            </w:r>
          </w:p>
        </w:tc>
        <w:tc>
          <w:tcPr>
            <w:tcW w:w="198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РЗС, и интернет страница РЗС</w:t>
            </w:r>
          </w:p>
        </w:tc>
      </w:tr>
      <w:tr w:rsidR="00EF008E" w:rsidRPr="00EF008E" w:rsidTr="00455933">
        <w:trPr>
          <w:trHeight w:val="45"/>
          <w:tblCellSpacing w:w="0" w:type="auto"/>
        </w:trPr>
        <w:tc>
          <w:tcPr>
            <w:tcW w:w="1241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4.2.6. Број институција које имају изграђен капацитет за родну статистику у области у којој прикупљају податке: унапређена унутрашња акта организацији и систематизацији, планови прикупљања, обраде и објављивање података</w:t>
            </w:r>
          </w:p>
        </w:tc>
        <w:tc>
          <w:tcPr>
            <w:tcW w:w="198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релевантних институција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4.3. Континуирана и појачана примена родно одговорног буџетирања на националном, покрајинском и локалном нивоу у поступку планирања и извршења буџета, институционализација РОБ-а у буџетском систему РС, и повећање улагања у родну равноправност.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Опис и ефекти мере: Ова мера има за циљ да РОБ постане одржив и заокружен део система управљања јавним финансијама и буџетског система Републике Србије, као и да се повећају улагања у родну равноправност кроз артикулацију родно трансформативних РОБ циљева и индикатора. Ова мера укључује више кластера активности, даље јачање координације и капацитета у вези примене РОБ-а у Министарству финансија, Покрајинском секретаријату за финансије и органима ЈЛС, изградња и јачање капацитета за техничко праћење процеса, једноставну и брзу консолидацију РОБ предлога у буџету и анализу примене из техничког угла кроз одговарајући софтвер, јачање капацитета за родно одговорно планирање буџета код буџетских корисника и повезивање секторских приоритета са родном агендом, јачање капацитета институционалних механизама за РР у вези са РОБ-ом а посебно за припрему извештаја о напретку и учинку, јачање капацитета за надзор над применом у Државној ревизорској институцији и фискалном савету, јачање улоге парламента и ОЦД као и повећање транспарентности улагања у родну равноправност и промоцију примера добре праксе. Даље, ова мера укључује унапређење процедура рада на РОБ-у код самих буџетских корисника, повећање капацитета за родне анализе прихода и расхода, систематично укључивање РОБ-а на почетку у процесу планирања (у Фискалној стратегији и ПОФ-у), као и у све друге фазе буџетског процеса (планирање, спровођење и извештавање). Ова мера предвиђа и улагања у адекватан информациони систем како би се олакшала консолидација РОБ-а у предлозима буџета, усвојеном буџету и у извештајима о учинку, на свим нивоима. Даље, мера подразумева ревидирање упутства за израду програмског буџета и предвиђање унапређења родне равноправности и као програма и/или програмске активности, имајући у виду да су сви буџетски корисници у обавези да примене РОБ, у складу са Законом о буџетском систему, као и унапређење и стандардизовање образаца за исказивање РОБ-а у буџетима. Даље, ова мера укључује изградњу капацитета и јачање знања у овој области у институцијама, међу експерткињама и експертима за родну равноправност, у академској заједници и ОЦД. Ова мера подразумева и унапређење система примене РОБ-а у складу са препорукама датим кроз годишње извештаје о напретку РОБ-а у Републици Србији, али и у складу са међународном добром праксом и препорукама PEFAи оквира за РОБ.</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финансија.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Покрајински секретаријат за финансије, одељења ЈЛС за финансије, СКГО, Државна ревизорска институција, РЗС, Институционални механизми РР, Одбори за финансије у скупштинама, Фискални савет, ОЦД, академска заједница.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134"/>
        <w:gridCol w:w="3087"/>
      </w:tblGrid>
      <w:tr w:rsidR="00EF008E" w:rsidRPr="00EF008E" w:rsidTr="00455933">
        <w:trPr>
          <w:trHeight w:val="45"/>
          <w:tblCellSpacing w:w="0" w:type="auto"/>
        </w:trPr>
        <w:tc>
          <w:tcPr>
            <w:tcW w:w="109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Показатељи резултата 4.3</w:t>
            </w:r>
          </w:p>
        </w:tc>
        <w:tc>
          <w:tcPr>
            <w:tcW w:w="34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109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4.3.1. Сви директни и индиректни буџетски корисници на свим нивоима примењују РОБ код планирања и извршења буџета (број буџетских корисника који су у ПОФ и предлог буџета уврстили РОБ по годинама и нивоима)</w:t>
            </w:r>
          </w:p>
        </w:tc>
        <w:tc>
          <w:tcPr>
            <w:tcW w:w="34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Приоритетне области финансирања буџетских корисника садрже РОБ циљеве и индикаторе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Годишњи извештај о напретку РОБ-а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Годишњи извештај о учинку РОБ-а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Софтвер за планирање и извештавање/извештај</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Консолидовани годишњи извештај за ЈЛС</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Државне ревизорске институције</w:t>
            </w:r>
          </w:p>
        </w:tc>
      </w:tr>
      <w:tr w:rsidR="00EF008E" w:rsidRPr="00EF008E" w:rsidTr="00455933">
        <w:trPr>
          <w:trHeight w:val="45"/>
          <w:tblCellSpacing w:w="0" w:type="auto"/>
        </w:trPr>
        <w:tc>
          <w:tcPr>
            <w:tcW w:w="109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4.3.2. Број родно трансформативних РОБ циљева и индикатора у односу на укупан број РОБ циљева и индикатора</w:t>
            </w:r>
          </w:p>
        </w:tc>
        <w:tc>
          <w:tcPr>
            <w:tcW w:w="34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Годишњи извештај о напретку РОБ-а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Годишњи извештај о учинку РОБ-а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Софтвер за планирање и извештавање/извештај</w:t>
            </w:r>
          </w:p>
        </w:tc>
      </w:tr>
      <w:tr w:rsidR="00EF008E" w:rsidRPr="00EF008E" w:rsidTr="00455933">
        <w:trPr>
          <w:trHeight w:val="45"/>
          <w:tblCellSpacing w:w="0" w:type="auto"/>
        </w:trPr>
        <w:tc>
          <w:tcPr>
            <w:tcW w:w="109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4.3.3. Број програма у којима је примењен РОБ од укупног броја програма</w:t>
            </w:r>
          </w:p>
        </w:tc>
        <w:tc>
          <w:tcPr>
            <w:tcW w:w="34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Годишњи извештај о напретку РОБ-а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Годишњи извештај о учинку РОБ-а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Софтвер за планирање и извештавање/извештај</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 државне ревизорске институције</w:t>
            </w:r>
          </w:p>
        </w:tc>
      </w:tr>
      <w:tr w:rsidR="00EF008E" w:rsidRPr="00EF008E" w:rsidTr="00455933">
        <w:trPr>
          <w:trHeight w:val="45"/>
          <w:tblCellSpacing w:w="0" w:type="auto"/>
        </w:trPr>
        <w:tc>
          <w:tcPr>
            <w:tcW w:w="109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4.3.4. Проценат улагања у родну равноправност у односу на укупан буџет појединачног директног буџетског корисника</w:t>
            </w:r>
          </w:p>
        </w:tc>
        <w:tc>
          <w:tcPr>
            <w:tcW w:w="34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Годишњи извештај о учинку РОБ-а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Софтвер за планирање и извештавање/извештај</w:t>
            </w:r>
          </w:p>
        </w:tc>
      </w:tr>
      <w:tr w:rsidR="00EF008E" w:rsidRPr="00EF008E" w:rsidTr="00455933">
        <w:trPr>
          <w:trHeight w:val="45"/>
          <w:tblCellSpacing w:w="0" w:type="auto"/>
        </w:trPr>
        <w:tc>
          <w:tcPr>
            <w:tcW w:w="109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4.3.5. Број и врста активности из ове стратегије и АП за родну равноправност које су финансиране кроз примену РОБ-а</w:t>
            </w:r>
          </w:p>
        </w:tc>
        <w:tc>
          <w:tcPr>
            <w:tcW w:w="34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Годишњи извештај о учинку РОБ-а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реализацији активности из АП</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Софтвер за планирање и извештавање/извештај</w:t>
            </w:r>
          </w:p>
        </w:tc>
      </w:tr>
      <w:tr w:rsidR="00EF008E" w:rsidRPr="00EF008E" w:rsidTr="00455933">
        <w:trPr>
          <w:trHeight w:val="45"/>
          <w:tblCellSpacing w:w="0" w:type="auto"/>
        </w:trPr>
        <w:tc>
          <w:tcPr>
            <w:tcW w:w="109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4.3.6. Развијено одговарајуће софтверско решење за планирање, праћење и извештавање о примени РОБ-у, буџетске класификације омогућавају лаку консолидацију алоцираних средстава за улагања у родну равноправност, упутства за програмско буџетирање и припрему буџета садрже упутства, и формуларе за планирање и извештавање, а који олакшавају консолидацију података</w:t>
            </w:r>
          </w:p>
        </w:tc>
        <w:tc>
          <w:tcPr>
            <w:tcW w:w="34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министарства финансија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Упутство за припрему ПОФ-а, и за припрему буџета,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формулари за припрему буџета и извештаје, правилници, класификације и евидентирања трошкова садрже РОБ и омогућавају консолидацију информација</w:t>
            </w:r>
          </w:p>
        </w:tc>
      </w:tr>
      <w:tr w:rsidR="00EF008E" w:rsidRPr="00EF008E" w:rsidTr="00455933">
        <w:trPr>
          <w:trHeight w:val="45"/>
          <w:tblCellSpacing w:w="0" w:type="auto"/>
        </w:trPr>
        <w:tc>
          <w:tcPr>
            <w:tcW w:w="10933"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4.3.7. Број процедура, упутстава, интерних аката буџетских корисника, а којима се олакшава планирање, праћење и извештавање о РОБ-у</w:t>
            </w:r>
          </w:p>
        </w:tc>
        <w:tc>
          <w:tcPr>
            <w:tcW w:w="3467"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буџетских корисника,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увид у садржај донетих аката</w:t>
            </w:r>
          </w:p>
        </w:tc>
      </w:tr>
    </w:tbl>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Мера 4.4. Унапређени капацитети за креирање родно одговорних ресорних јавних политика, анализу и праћење ефеката јавних политика на остваривање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Опис мере: Ова мера има за циљ да осигура препознавање и описивање родног јаза у свим ресорним политикама и родне аспекте у надлежностима органа јавне власти, те створи претпоставке за креирање родно одговорних мера у тим ресорима. Ова мера укључује родно осетљиве анализе потреба, </w:t>
      </w:r>
      <w:r w:rsidRPr="00EF008E">
        <w:rPr>
          <w:rFonts w:ascii="Arial" w:hAnsi="Arial" w:cs="Arial"/>
          <w:i/>
          <w:color w:val="000000"/>
          <w:sz w:val="22"/>
          <w:szCs w:val="22"/>
          <w:lang w:val="sr-Cyrl-RS"/>
        </w:rPr>
        <w:t>еx-post</w:t>
      </w:r>
      <w:r w:rsidRPr="00EF008E">
        <w:rPr>
          <w:rFonts w:ascii="Arial" w:hAnsi="Arial" w:cs="Arial"/>
          <w:color w:val="000000"/>
          <w:sz w:val="22"/>
          <w:szCs w:val="22"/>
          <w:lang w:val="sr-Cyrl-RS"/>
        </w:rPr>
        <w:t xml:space="preserve"> и </w:t>
      </w:r>
      <w:r w:rsidRPr="00EF008E">
        <w:rPr>
          <w:rFonts w:ascii="Arial" w:hAnsi="Arial" w:cs="Arial"/>
          <w:i/>
          <w:color w:val="000000"/>
          <w:sz w:val="22"/>
          <w:szCs w:val="22"/>
          <w:lang w:val="sr-Cyrl-RS"/>
        </w:rPr>
        <w:t>ex-ante</w:t>
      </w:r>
      <w:r w:rsidRPr="00EF008E">
        <w:rPr>
          <w:rFonts w:ascii="Arial" w:hAnsi="Arial" w:cs="Arial"/>
          <w:color w:val="000000"/>
          <w:sz w:val="22"/>
          <w:szCs w:val="22"/>
          <w:lang w:val="sr-Cyrl-RS"/>
        </w:rPr>
        <w:t xml:space="preserve"> родне анализе мера, активности, политика и/или надлежности органа јавне власти. Ова мера, даље, укључује обуке за израду </w:t>
      </w:r>
      <w:r w:rsidRPr="00EF008E">
        <w:rPr>
          <w:rFonts w:ascii="Arial" w:hAnsi="Arial" w:cs="Arial"/>
          <w:i/>
          <w:color w:val="000000"/>
          <w:sz w:val="22"/>
          <w:szCs w:val="22"/>
          <w:lang w:val="sr-Cyrl-RS"/>
        </w:rPr>
        <w:t>еx-post</w:t>
      </w:r>
      <w:r w:rsidRPr="00EF008E">
        <w:rPr>
          <w:rFonts w:ascii="Arial" w:hAnsi="Arial" w:cs="Arial"/>
          <w:color w:val="000000"/>
          <w:sz w:val="22"/>
          <w:szCs w:val="22"/>
          <w:lang w:val="sr-Cyrl-RS"/>
        </w:rPr>
        <w:t xml:space="preserve"> и </w:t>
      </w:r>
      <w:r w:rsidRPr="00EF008E">
        <w:rPr>
          <w:rFonts w:ascii="Arial" w:hAnsi="Arial" w:cs="Arial"/>
          <w:i/>
          <w:color w:val="000000"/>
          <w:sz w:val="22"/>
          <w:szCs w:val="22"/>
          <w:lang w:val="sr-Cyrl-RS"/>
        </w:rPr>
        <w:t>ex-ante</w:t>
      </w:r>
      <w:r w:rsidRPr="00EF008E">
        <w:rPr>
          <w:rFonts w:ascii="Arial" w:hAnsi="Arial" w:cs="Arial"/>
          <w:color w:val="000000"/>
          <w:sz w:val="22"/>
          <w:szCs w:val="22"/>
          <w:lang w:val="sr-Cyrl-RS"/>
        </w:rPr>
        <w:t xml:space="preserve"> родне анализе, израде приручника и смерница за све органе јавне власти. Ова мера укључује и израду родно одговорних докумената јавних политика у свим ресорним политикама, а нарочито у онима које нису обухваћене овом стратегијом, или где постоји потреба за посебном јавном политиком, као што су, на пример, следеће области: спорт, култура и информисање, младе жене и мушкарци, рударство и енергетика, информационе технологије, заштита животне средине, пољопривреда, и све остале области.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Ефекти мере: Ова мера допринеће препознавању и документовању родног јаза у ресорним политикама и допринети креирању родно одговорних мера у ресорним политикама, те родно одговорном планирању приоритета за финансирање. Ова мера допринеће јачању родних компетенција код извршилаца који раде у одељењима/секторима за планирање јавних политика, праћење, и извештавање. Ова мера допринеће јачању родних компетенција свих запослених у органима јавне власти на свим нивоима.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Институција надлежна за спровођење мере: Министарство за људска и мањинска права и друштвени дијалог.</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Институције учесници у спровођењу мере: Координационо тело за родну равноправност, Републички секретаријат за јавне политике, директни буџетски корисници, органи јавне власти, НАЈУ, ЈЛС, покрајинске институције, академија, институти, ОЦД.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577"/>
        <w:gridCol w:w="1644"/>
      </w:tblGrid>
      <w:tr w:rsidR="00EF008E" w:rsidRPr="00EF008E" w:rsidTr="00455933">
        <w:trPr>
          <w:trHeight w:val="45"/>
          <w:tblCellSpacing w:w="0" w:type="auto"/>
        </w:trPr>
        <w:tc>
          <w:tcPr>
            <w:tcW w:w="1308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Показатељи резултата 4.4</w:t>
            </w:r>
          </w:p>
        </w:tc>
        <w:tc>
          <w:tcPr>
            <w:tcW w:w="131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Извори верификације</w:t>
            </w:r>
          </w:p>
        </w:tc>
      </w:tr>
      <w:tr w:rsidR="00EF008E" w:rsidRPr="00EF008E" w:rsidTr="00455933">
        <w:trPr>
          <w:trHeight w:val="45"/>
          <w:tblCellSpacing w:w="0" w:type="auto"/>
        </w:trPr>
        <w:tc>
          <w:tcPr>
            <w:tcW w:w="1308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4.4.1. Број донетих родно одговорних докумената јавних политика (нпр. планова)</w:t>
            </w:r>
          </w:p>
        </w:tc>
        <w:tc>
          <w:tcPr>
            <w:tcW w:w="131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учинку буџетских корисника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раду органа јавне власти</w:t>
            </w:r>
          </w:p>
        </w:tc>
      </w:tr>
      <w:tr w:rsidR="00EF008E" w:rsidRPr="00EF008E" w:rsidTr="00455933">
        <w:trPr>
          <w:trHeight w:val="45"/>
          <w:tblCellSpacing w:w="0" w:type="auto"/>
        </w:trPr>
        <w:tc>
          <w:tcPr>
            <w:tcW w:w="1308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4.4.2. Број спроведених родно осетљивих анализа потреба, </w:t>
            </w:r>
            <w:r w:rsidRPr="00EF008E">
              <w:rPr>
                <w:rFonts w:ascii="Arial" w:hAnsi="Arial" w:cs="Arial"/>
                <w:i/>
                <w:color w:val="000000"/>
                <w:sz w:val="22"/>
                <w:szCs w:val="22"/>
                <w:lang w:val="sr-Cyrl-RS"/>
              </w:rPr>
              <w:t>еx-post</w:t>
            </w:r>
            <w:r w:rsidRPr="00EF008E">
              <w:rPr>
                <w:rFonts w:ascii="Arial" w:hAnsi="Arial" w:cs="Arial"/>
                <w:color w:val="000000"/>
                <w:sz w:val="22"/>
                <w:szCs w:val="22"/>
                <w:lang w:val="sr-Cyrl-RS"/>
              </w:rPr>
              <w:t xml:space="preserve"> и </w:t>
            </w:r>
            <w:r w:rsidRPr="00EF008E">
              <w:rPr>
                <w:rFonts w:ascii="Arial" w:hAnsi="Arial" w:cs="Arial"/>
                <w:i/>
                <w:color w:val="000000"/>
                <w:sz w:val="22"/>
                <w:szCs w:val="22"/>
                <w:lang w:val="sr-Cyrl-RS"/>
              </w:rPr>
              <w:t>ex-ante</w:t>
            </w:r>
            <w:r w:rsidRPr="00EF008E">
              <w:rPr>
                <w:rFonts w:ascii="Arial" w:hAnsi="Arial" w:cs="Arial"/>
                <w:color w:val="000000"/>
                <w:sz w:val="22"/>
                <w:szCs w:val="22"/>
                <w:lang w:val="sr-Cyrl-RS"/>
              </w:rPr>
              <w:t xml:space="preserve"> родних анализа мера, активности, политика и/или надлежности органа јавне власти по ресорима и врстама јавне политике</w:t>
            </w:r>
          </w:p>
        </w:tc>
        <w:tc>
          <w:tcPr>
            <w:tcW w:w="131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учинку буџетских корисника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раду органа јавне власти</w:t>
            </w:r>
          </w:p>
        </w:tc>
      </w:tr>
      <w:tr w:rsidR="00EF008E" w:rsidRPr="00EF008E" w:rsidTr="00455933">
        <w:trPr>
          <w:trHeight w:val="45"/>
          <w:tblCellSpacing w:w="0" w:type="auto"/>
        </w:trPr>
        <w:tc>
          <w:tcPr>
            <w:tcW w:w="1308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4.4.3. Број ресорних јавних политика које садрже родно одговорне мере</w:t>
            </w:r>
          </w:p>
        </w:tc>
        <w:tc>
          <w:tcPr>
            <w:tcW w:w="131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учинку буџетских корисника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раду органа јавне власти</w:t>
            </w:r>
          </w:p>
        </w:tc>
      </w:tr>
      <w:tr w:rsidR="00EF008E" w:rsidRPr="00EF008E" w:rsidTr="00455933">
        <w:trPr>
          <w:trHeight w:val="45"/>
          <w:tblCellSpacing w:w="0" w:type="auto"/>
        </w:trPr>
        <w:tc>
          <w:tcPr>
            <w:tcW w:w="1308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4.4.4. Број обука и обучених за родно одговорно планирање ресорних политика</w:t>
            </w:r>
          </w:p>
        </w:tc>
        <w:tc>
          <w:tcPr>
            <w:tcW w:w="131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учинку буџетских корисника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раду органа јавне власти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НАЈУ</w:t>
            </w:r>
          </w:p>
        </w:tc>
      </w:tr>
      <w:tr w:rsidR="00EF008E" w:rsidRPr="00EF008E" w:rsidTr="00455933">
        <w:trPr>
          <w:trHeight w:val="45"/>
          <w:tblCellSpacing w:w="0" w:type="auto"/>
        </w:trPr>
        <w:tc>
          <w:tcPr>
            <w:tcW w:w="13084"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4.4.5. Број упутстава, смерница и водича за спровођење родно одговорних </w:t>
            </w:r>
            <w:r w:rsidRPr="00EF008E">
              <w:rPr>
                <w:rFonts w:ascii="Arial" w:hAnsi="Arial" w:cs="Arial"/>
                <w:i/>
                <w:color w:val="000000"/>
                <w:sz w:val="22"/>
                <w:szCs w:val="22"/>
                <w:lang w:val="sr-Cyrl-RS"/>
              </w:rPr>
              <w:t>еx-post</w:t>
            </w:r>
            <w:r w:rsidRPr="00EF008E">
              <w:rPr>
                <w:rFonts w:ascii="Arial" w:hAnsi="Arial" w:cs="Arial"/>
                <w:color w:val="000000"/>
                <w:sz w:val="22"/>
                <w:szCs w:val="22"/>
                <w:lang w:val="sr-Cyrl-RS"/>
              </w:rPr>
              <w:t xml:space="preserve"> и </w:t>
            </w:r>
            <w:r w:rsidRPr="00EF008E">
              <w:rPr>
                <w:rFonts w:ascii="Arial" w:hAnsi="Arial" w:cs="Arial"/>
                <w:i/>
                <w:color w:val="000000"/>
                <w:sz w:val="22"/>
                <w:szCs w:val="22"/>
                <w:lang w:val="sr-Cyrl-RS"/>
              </w:rPr>
              <w:t>ex-ante</w:t>
            </w:r>
            <w:r w:rsidRPr="00EF008E">
              <w:rPr>
                <w:rFonts w:ascii="Arial" w:hAnsi="Arial" w:cs="Arial"/>
                <w:color w:val="000000"/>
                <w:sz w:val="22"/>
                <w:szCs w:val="22"/>
                <w:lang w:val="sr-Cyrl-RS"/>
              </w:rPr>
              <w:t xml:space="preserve"> родне анализе мера</w:t>
            </w:r>
          </w:p>
        </w:tc>
        <w:tc>
          <w:tcPr>
            <w:tcW w:w="1316" w:type="dxa"/>
            <w:tcBorders>
              <w:top w:val="single" w:sz="8" w:space="0" w:color="000000"/>
              <w:left w:val="single" w:sz="8" w:space="0" w:color="000000"/>
              <w:bottom w:val="single" w:sz="8" w:space="0" w:color="000000"/>
              <w:right w:val="single" w:sz="8" w:space="0" w:color="000000"/>
            </w:tcBorders>
            <w:vAlign w:val="center"/>
          </w:tcPr>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учинку буџетских корисника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Извештаји о раду органа јавне власти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НАЈУ</w:t>
            </w:r>
          </w:p>
        </w:tc>
      </w:tr>
    </w:tbl>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894 Базна вредност за идикатор и детаљан начин израчунавања ће се разрадити у оквиру првог акционог плана.</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895 Секторима који расту по вишој стопи од просека економије (број привредних субјеката у претежној делатности, број запослених, стопа профитабилности.</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8. МЕХАНИЗАМ ЗА ПРАЋЕЊЕ И ЕВАЛУАЦИЈУ СПРОВОЂЕЊА СТРАТЕГИЈЕ ЗА РОДНУ РАВНОПРАВНОСТ И АКЦИОНИМ ПЛАНОВИМА ЗА ЊЕНО СПРОВОЂЕЊЕ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Праћење активности предвиђених овом стратегијом поверено 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Влади, која у складу са својим надлежностима, развија и води активну политику једнаких могућности у свим сферама друштвеног живота, којом се обезбеђује равноправно учешће жена и мушкараца у свим фазама планирања, припреме и спровођења одлука које утичу на положај жена и мушкараца, одређује мере које томе доприносе и води рачуна о усаглашености политика и мера које се предузимају у области родне равноправности са међународним обавезама Републике Србије.</w:t>
      </w:r>
      <w:r w:rsidRPr="00EF008E">
        <w:rPr>
          <w:rFonts w:ascii="Arial" w:hAnsi="Arial" w:cs="Arial"/>
          <w:color w:val="000000"/>
          <w:sz w:val="22"/>
          <w:szCs w:val="22"/>
          <w:vertAlign w:val="superscript"/>
          <w:lang w:val="sr-Cyrl-RS"/>
        </w:rPr>
        <w:t>896</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оквиру Владе ове активности обављају: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Координационо тело за родну равноправност</w:t>
      </w:r>
      <w:r w:rsidRPr="00EF008E">
        <w:rPr>
          <w:rFonts w:ascii="Arial" w:hAnsi="Arial" w:cs="Arial"/>
          <w:color w:val="000000"/>
          <w:sz w:val="22"/>
          <w:szCs w:val="22"/>
          <w:vertAlign w:val="superscript"/>
          <w:lang w:val="sr-Cyrl-RS"/>
        </w:rPr>
        <w:t>897</w:t>
      </w:r>
      <w:r w:rsidRPr="00EF008E">
        <w:rPr>
          <w:rFonts w:ascii="Arial" w:hAnsi="Arial" w:cs="Arial"/>
          <w:color w:val="000000"/>
          <w:sz w:val="22"/>
          <w:szCs w:val="22"/>
          <w:lang w:val="sr-Cyrl-RS"/>
        </w:rPr>
        <w:t xml:space="preserve"> као стално радно тело Владе које координира рад органа државне управе у вези са родном равноправношћу (хоризонтална координација), рад и активности институционалних механизама РР на различитим нивоима организације власти (вертикална координација), као и све активности у вези са праћењем примене и извештавањем о реализацији ове стратегије.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Савет за родну равноправност као саветодавно тело Владе.</w:t>
      </w:r>
      <w:r w:rsidRPr="00EF008E">
        <w:rPr>
          <w:rFonts w:ascii="Arial" w:hAnsi="Arial" w:cs="Arial"/>
          <w:color w:val="000000"/>
          <w:sz w:val="22"/>
          <w:szCs w:val="22"/>
          <w:vertAlign w:val="superscript"/>
          <w:lang w:val="sr-Cyrl-RS"/>
        </w:rPr>
        <w:t>898</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Министарство за људска и мањинска права и друштвени дијалог</w:t>
      </w:r>
      <w:r w:rsidRPr="00EF008E">
        <w:rPr>
          <w:rFonts w:ascii="Arial" w:hAnsi="Arial" w:cs="Arial"/>
          <w:color w:val="000000"/>
          <w:sz w:val="22"/>
          <w:szCs w:val="22"/>
          <w:vertAlign w:val="superscript"/>
          <w:lang w:val="sr-Cyrl-RS"/>
        </w:rPr>
        <w:t>899</w:t>
      </w:r>
      <w:r w:rsidRPr="00EF008E">
        <w:rPr>
          <w:rFonts w:ascii="Arial" w:hAnsi="Arial" w:cs="Arial"/>
          <w:color w:val="000000"/>
          <w:sz w:val="22"/>
          <w:szCs w:val="22"/>
          <w:lang w:val="sr-Cyrl-RS"/>
        </w:rPr>
        <w:t xml:space="preserve"> (односно министарство или други орган у оквиру извршне власти надлежан за родну равноправност) као посебан ресор у Влади у чијој надлежности је родна равноправност и дискриминација, које располаже инструментима праћења и надзора над применом прописа и стратегија релевантних за ову област, извештава о стању у овој области и одговорно је за стање у овој области. Ове активности поверавају се организационим јединицама које формира Министарство својим актом о унутрашњој организацији.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У реализацији, праћењу примене, као и извештавању о овој стратегији и АП-у за њено спровођење суделују и други механизми РР:</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Радна тела у скупштинама на свим нивоима власти (одбори на републичком и покрајинском нивоу и комисије на локалном нивоу).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Министарства, органи државне управе и други органи јавне власти који, у областима за које су надлежни, укључују родну равноправност у секторске политике, буџет, законе и друге прописе и предузимају активности а посебно у областима у којима спроводе посебне мере за унапређење родне равноправности.</w:t>
      </w:r>
      <w:r w:rsidRPr="00EF008E">
        <w:rPr>
          <w:rFonts w:ascii="Arial" w:hAnsi="Arial" w:cs="Arial"/>
          <w:color w:val="000000"/>
          <w:sz w:val="22"/>
          <w:szCs w:val="22"/>
          <w:vertAlign w:val="superscript"/>
          <w:lang w:val="sr-Cyrl-RS"/>
        </w:rPr>
        <w:t>900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Координационо тело за родну равноправност Покрајинске владе</w:t>
      </w:r>
      <w:r w:rsidRPr="00EF008E">
        <w:rPr>
          <w:rFonts w:ascii="Arial" w:hAnsi="Arial" w:cs="Arial"/>
          <w:color w:val="000000"/>
          <w:sz w:val="22"/>
          <w:szCs w:val="22"/>
          <w:vertAlign w:val="superscript"/>
          <w:lang w:val="sr-Cyrl-RS"/>
        </w:rPr>
        <w:t>901</w:t>
      </w:r>
      <w:r w:rsidRPr="00EF008E">
        <w:rPr>
          <w:rFonts w:ascii="Arial" w:hAnsi="Arial" w:cs="Arial"/>
          <w:color w:val="000000"/>
          <w:sz w:val="22"/>
          <w:szCs w:val="22"/>
          <w:lang w:val="sr-Cyrl-RS"/>
        </w:rPr>
        <w:t xml:space="preserve"> које, у оквиру надлежности АПВ, координише активности везане за родну равноправност, као и Савет за родну равноправност као саветодавно тело Покрајинске владе.</w:t>
      </w:r>
      <w:r w:rsidRPr="00EF008E">
        <w:rPr>
          <w:rFonts w:ascii="Arial" w:hAnsi="Arial" w:cs="Arial"/>
          <w:color w:val="000000"/>
          <w:sz w:val="22"/>
          <w:szCs w:val="22"/>
          <w:vertAlign w:val="superscript"/>
          <w:lang w:val="sr-Cyrl-RS"/>
        </w:rPr>
        <w:t>902</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Савети за родну равноправност који се формирају у органима управе у ЈЛС.</w:t>
      </w:r>
      <w:r w:rsidRPr="00EF008E">
        <w:rPr>
          <w:rFonts w:ascii="Arial" w:hAnsi="Arial" w:cs="Arial"/>
          <w:color w:val="000000"/>
          <w:sz w:val="22"/>
          <w:szCs w:val="22"/>
          <w:vertAlign w:val="superscript"/>
          <w:lang w:val="sr-Cyrl-RS"/>
        </w:rPr>
        <w:t>903</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Лица задужена за родну равноправност у органима јавне власти који имају више од 50 запослених и радно ангажованих лица, која прате стање у области родне равноправности, иницирају и предлажу мере за унапређење родне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Независни механизми заштите људских права и заштите од дискриминације укључују Повереника за заштиту равноправности</w:t>
      </w:r>
      <w:r w:rsidRPr="00EF008E">
        <w:rPr>
          <w:rFonts w:ascii="Arial" w:hAnsi="Arial" w:cs="Arial"/>
          <w:color w:val="000000"/>
          <w:sz w:val="22"/>
          <w:szCs w:val="22"/>
          <w:vertAlign w:val="superscript"/>
          <w:lang w:val="sr-Cyrl-RS"/>
        </w:rPr>
        <w:t>904</w:t>
      </w:r>
      <w:r w:rsidRPr="00EF008E">
        <w:rPr>
          <w:rFonts w:ascii="Arial" w:hAnsi="Arial" w:cs="Arial"/>
          <w:color w:val="000000"/>
          <w:sz w:val="22"/>
          <w:szCs w:val="22"/>
          <w:lang w:val="sr-Cyrl-RS"/>
        </w:rPr>
        <w:t xml:space="preserve"> који пружа заштиту од дискриминације укључујући и родно засновану дискриминацију и Заштитника грађана</w:t>
      </w:r>
      <w:r w:rsidRPr="00EF008E">
        <w:rPr>
          <w:rFonts w:ascii="Arial" w:hAnsi="Arial" w:cs="Arial"/>
          <w:color w:val="000000"/>
          <w:sz w:val="22"/>
          <w:szCs w:val="22"/>
          <w:vertAlign w:val="superscript"/>
          <w:lang w:val="sr-Cyrl-RS"/>
        </w:rPr>
        <w:t>905</w:t>
      </w:r>
      <w:r w:rsidRPr="00EF008E">
        <w:rPr>
          <w:rFonts w:ascii="Arial" w:hAnsi="Arial" w:cs="Arial"/>
          <w:color w:val="000000"/>
          <w:sz w:val="22"/>
          <w:szCs w:val="22"/>
          <w:lang w:val="sr-Cyrl-RS"/>
        </w:rPr>
        <w:t>, који штити права грађана/ки, контролише рад органа управе и стара се о заштити и унапређењу људских и мањинских слобода и права, Покрајинског заштитника грађана</w:t>
      </w:r>
      <w:r>
        <w:rPr>
          <w:rFonts w:ascii="Arial" w:hAnsi="Arial" w:cs="Arial"/>
          <w:color w:val="000000"/>
          <w:sz w:val="22"/>
          <w:szCs w:val="22"/>
          <w:lang w:val="sr-Cyrl-RS"/>
        </w:rPr>
        <w:t>-</w:t>
      </w:r>
      <w:r w:rsidRPr="00EF008E">
        <w:rPr>
          <w:rFonts w:ascii="Arial" w:hAnsi="Arial" w:cs="Arial"/>
          <w:color w:val="000000"/>
          <w:sz w:val="22"/>
          <w:szCs w:val="22"/>
          <w:lang w:val="sr-Cyrl-RS"/>
        </w:rPr>
        <w:t>омбудсмана као и омбудсмане у ЈЛС.</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Поред тога, у примени и праћењу реал</w:t>
      </w:r>
      <w:bookmarkStart w:id="0" w:name="_GoBack"/>
      <w:bookmarkEnd w:id="0"/>
      <w:r w:rsidRPr="00EF008E">
        <w:rPr>
          <w:rFonts w:ascii="Arial" w:hAnsi="Arial" w:cs="Arial"/>
          <w:color w:val="000000"/>
          <w:sz w:val="22"/>
          <w:szCs w:val="22"/>
          <w:lang w:val="sr-Cyrl-RS"/>
        </w:rPr>
        <w:t>изације активности утврђених у овој стратегији и АП за њено спровођење учествују и ОЦД у складу са својом мисијом.</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896 Чланови 122. и 123. Устава РС, Члан 1. Закона о Влади,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55/05, 71/05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101/07, 65/08, 16/11, 68/12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72/12, 7/14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и 30/18, Члан 60.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897 Члан 60. став 1. тачка 5.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898 Члан 60. став 1. тачка 5.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899 Министарство за људска и мањинска права и друштвени дијалог је у моменту усвајања ове Стратегије надлежно за област родне равноправности. Ова стратегија доноси се за наредних 10 година. У том периоду могуће је да надлежност коју сада обавља Министарство за људска и мањинска права и друштвени дијалог буду поверена неком другом министарству односно органу праве. У свим деловима стратегије у којима се експлицитно помиње Министарство за људска и мањинска права и друштвени дијалог треба имати у виду да те надлежности прелазе на односно министарство или други орган у оквиру извршне власти надлежан за родну равноправност.</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900 Члан 61.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901 Члан 62. став 3. тачка 1.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902 Члан 62. став 3. тачка 2.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903 Члан 63. Закона о родној равноправности.</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904 Чланови 122. и 123. Устава РС, члан 1. Закона о Влади,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бр. 55/05, 71/05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исправка, 101/07, 65/08, 16/11, 68/12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72/12, 7/14 </w:t>
      </w:r>
      <w:r>
        <w:rPr>
          <w:rFonts w:ascii="Arial" w:hAnsi="Arial" w:cs="Arial"/>
          <w:i/>
          <w:color w:val="000000"/>
          <w:sz w:val="22"/>
          <w:szCs w:val="22"/>
          <w:lang w:val="sr-Cyrl-RS"/>
        </w:rPr>
        <w:t>-</w:t>
      </w:r>
      <w:r w:rsidRPr="00EF008E">
        <w:rPr>
          <w:rFonts w:ascii="Arial" w:hAnsi="Arial" w:cs="Arial"/>
          <w:i/>
          <w:color w:val="000000"/>
          <w:sz w:val="22"/>
          <w:szCs w:val="22"/>
          <w:lang w:val="sr-Cyrl-RS"/>
        </w:rPr>
        <w:t xml:space="preserve"> УС и 30/18.</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Члан 1. став 2. Закона о родној равноправности,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број 22/09.</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 xml:space="preserve">905 Члан 1. ст. 1. и 2. Закона, </w:t>
      </w:r>
      <w:r>
        <w:rPr>
          <w:rFonts w:ascii="Arial" w:hAnsi="Arial" w:cs="Arial"/>
          <w:i/>
          <w:color w:val="000000"/>
          <w:sz w:val="22"/>
          <w:szCs w:val="22"/>
          <w:lang w:val="sr-Cyrl-RS"/>
        </w:rPr>
        <w:t>"</w:t>
      </w:r>
      <w:r w:rsidRPr="00EF008E">
        <w:rPr>
          <w:rFonts w:ascii="Arial" w:hAnsi="Arial" w:cs="Arial"/>
          <w:i/>
          <w:color w:val="000000"/>
          <w:sz w:val="22"/>
          <w:szCs w:val="22"/>
          <w:lang w:val="sr-Cyrl-RS"/>
        </w:rPr>
        <w:t>Службени гласник РС</w:t>
      </w:r>
      <w:r>
        <w:rPr>
          <w:rFonts w:ascii="Arial" w:hAnsi="Arial" w:cs="Arial"/>
          <w:i/>
          <w:color w:val="000000"/>
          <w:sz w:val="22"/>
          <w:szCs w:val="22"/>
          <w:lang w:val="sr-Cyrl-RS"/>
        </w:rPr>
        <w:t>"</w:t>
      </w:r>
      <w:r w:rsidRPr="00EF008E">
        <w:rPr>
          <w:rFonts w:ascii="Arial" w:hAnsi="Arial" w:cs="Arial"/>
          <w:i/>
          <w:color w:val="000000"/>
          <w:sz w:val="22"/>
          <w:szCs w:val="22"/>
          <w:lang w:val="sr-Cyrl-RS"/>
        </w:rPr>
        <w:t>, бр. 79/05 и 54/07. </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9. ПРАЋЕЊЕ И ЕВАЛУАЦИЈА СПРОВОЂЕЊА СТРАТЕГИЈЕ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Координисање, праћење и евалуацију планираних мера и активности на унапређењу родне равноправности треба поверити Координацином телу за родну равноправност. Ово тело делује у оквиру Владе као стално радно тело, што омогућује мултисекторску координацију међу различитим министарствима, што је у овој мултисекторској области изузетно значајно (хоризонтална координација) као и координацију активности механизама РР на другим нивоима власти (вертикална координација). КТРР сарађује и са Саветом за родну равноправност као саветодавним телом Владе, у чији састав улазе и представници ОЦД.</w:t>
      </w:r>
      <w:r w:rsidRPr="00EF008E">
        <w:rPr>
          <w:rFonts w:ascii="Arial" w:hAnsi="Arial" w:cs="Arial"/>
          <w:color w:val="000000"/>
          <w:sz w:val="22"/>
          <w:szCs w:val="22"/>
          <w:vertAlign w:val="superscript"/>
          <w:lang w:val="sr-Cyrl-RS"/>
        </w:rPr>
        <w:t>906</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Као облике деловања, КТРР формираће посебну групу за праћење примене ове стратегије и АП-а за њено спровођење. Поред тога, треба предвидети могућност формирања посебних група (одбор, секција, оперативна/експертска радна група) које образује КТРР за поједине области за које је потребно добро познавање области за коју се група формира, које би својим стручним и експертским знањем помагале КТРР у остваривању координације и евалуацији ове стратегије.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Динамика остваривања мера биће дефинисана кроз акционе планове. Први АП за спровођење Стратегије биће донет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2023. године. У складу са чланом 43. Закона о планском систему, Министарство за људска и мањинска права и друштвени дијалог припремиће </w:t>
      </w:r>
      <w:r w:rsidRPr="00EF008E">
        <w:rPr>
          <w:rFonts w:ascii="Arial" w:hAnsi="Arial" w:cs="Arial"/>
          <w:i/>
          <w:color w:val="000000"/>
          <w:sz w:val="22"/>
          <w:szCs w:val="22"/>
          <w:lang w:val="sr-Cyrl-RS"/>
        </w:rPr>
        <w:t>ex-post</w:t>
      </w:r>
      <w:r w:rsidRPr="00EF008E">
        <w:rPr>
          <w:rFonts w:ascii="Arial" w:hAnsi="Arial" w:cs="Arial"/>
          <w:color w:val="000000"/>
          <w:sz w:val="22"/>
          <w:szCs w:val="22"/>
          <w:lang w:val="sr-Cyrl-RS"/>
        </w:rPr>
        <w:t xml:space="preserve"> анализу и извештај о резултатима спровођења Акционог плана за период 2021</w:t>
      </w:r>
      <w:r>
        <w:rPr>
          <w:rFonts w:ascii="Arial" w:hAnsi="Arial" w:cs="Arial"/>
          <w:color w:val="000000"/>
          <w:sz w:val="22"/>
          <w:szCs w:val="22"/>
          <w:lang w:val="sr-Cyrl-RS"/>
        </w:rPr>
        <w:t>-</w:t>
      </w:r>
      <w:r w:rsidRPr="00EF008E">
        <w:rPr>
          <w:rFonts w:ascii="Arial" w:hAnsi="Arial" w:cs="Arial"/>
          <w:color w:val="000000"/>
          <w:sz w:val="22"/>
          <w:szCs w:val="22"/>
          <w:lang w:val="sr-Cyrl-RS"/>
        </w:rPr>
        <w:t>2023. године у року од 60 дана по истеку сваке календарске године. За сваки од АП који ће бити усвојени у току целокупног периода за који се у доноси ова стратегија (2021</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2030), Министарство, односно орган управе надлежан за родну равноправност, припремиће </w:t>
      </w:r>
      <w:r w:rsidRPr="00EF008E">
        <w:rPr>
          <w:rFonts w:ascii="Arial" w:hAnsi="Arial" w:cs="Arial"/>
          <w:i/>
          <w:color w:val="000000"/>
          <w:sz w:val="22"/>
          <w:szCs w:val="22"/>
          <w:lang w:val="sr-Cyrl-RS"/>
        </w:rPr>
        <w:t>ex-post</w:t>
      </w:r>
      <w:r w:rsidRPr="00EF008E">
        <w:rPr>
          <w:rFonts w:ascii="Arial" w:hAnsi="Arial" w:cs="Arial"/>
          <w:color w:val="000000"/>
          <w:sz w:val="22"/>
          <w:szCs w:val="22"/>
          <w:lang w:val="sr-Cyrl-RS"/>
        </w:rPr>
        <w:t xml:space="preserve"> анализу и извештај о резултатима спровођења сваког од наредних АП-ова, у року од 60 дана по истеку сваке календарске године од дана усвајања АП. Рад на припреми сваког наредног АП треба започети благовремено, а најкасније шест месеци пре истека текућег АП, а годишњи извештаји о спровођењу АП служе као ослонац за припрему наредног АП. Након четири године (2025. године) од усвајања првог АП, Министарство, односно орган управе надлежан за родну равноправност, припремиће и посебну </w:t>
      </w:r>
      <w:r w:rsidRPr="00EF008E">
        <w:rPr>
          <w:rFonts w:ascii="Arial" w:hAnsi="Arial" w:cs="Arial"/>
          <w:i/>
          <w:color w:val="000000"/>
          <w:sz w:val="22"/>
          <w:szCs w:val="22"/>
          <w:lang w:val="sr-Cyrl-RS"/>
        </w:rPr>
        <w:t>ex-post</w:t>
      </w:r>
      <w:r w:rsidRPr="00EF008E">
        <w:rPr>
          <w:rFonts w:ascii="Arial" w:hAnsi="Arial" w:cs="Arial"/>
          <w:color w:val="000000"/>
          <w:sz w:val="22"/>
          <w:szCs w:val="22"/>
          <w:lang w:val="sr-Cyrl-RS"/>
        </w:rPr>
        <w:t xml:space="preserve"> анализу и евалуацију примене до тада усвојених АП-ова како би се сагледало стање у области родне равноправности и ефекти примене АП. Министарство, односно орган управе надлежан за родну равноправност, припремиће финалну </w:t>
      </w:r>
      <w:r w:rsidRPr="00EF008E">
        <w:rPr>
          <w:rFonts w:ascii="Arial" w:hAnsi="Arial" w:cs="Arial"/>
          <w:i/>
          <w:color w:val="000000"/>
          <w:sz w:val="22"/>
          <w:szCs w:val="22"/>
          <w:lang w:val="sr-Cyrl-RS"/>
        </w:rPr>
        <w:t>ex-post</w:t>
      </w:r>
      <w:r w:rsidRPr="00EF008E">
        <w:rPr>
          <w:rFonts w:ascii="Arial" w:hAnsi="Arial" w:cs="Arial"/>
          <w:color w:val="000000"/>
          <w:sz w:val="22"/>
          <w:szCs w:val="22"/>
          <w:lang w:val="sr-Cyrl-RS"/>
        </w:rPr>
        <w:t xml:space="preserve"> анализу, извештај и евалуацију ове стратегије, и АП-ова за њену примену најкасније шест месеци након истека периода за који акциони планови за њену примену доносе.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Министарство финансија, Покрајински секретаријат за финансије и орган ЈЛС надлежан за финансије одговорни су за припрему консолидованих информација о свим средствима издвојеним за родну равноправност и спровођење ове стратегије и акционих планова за њено спровођење, на транспарентан и лако доступан начин.</w:t>
      </w:r>
    </w:p>
    <w:p w:rsidR="00EF008E" w:rsidRPr="00EF008E" w:rsidRDefault="00EF008E" w:rsidP="00EF008E">
      <w:pPr>
        <w:spacing w:after="150" w:line="276" w:lineRule="auto"/>
        <w:contextualSpacing w:val="0"/>
        <w:jc w:val="both"/>
        <w:rPr>
          <w:rFonts w:ascii="Arial" w:hAnsi="Arial" w:cs="Arial"/>
          <w:sz w:val="22"/>
          <w:szCs w:val="22"/>
          <w:lang w:val="sr-Cyrl-RS"/>
        </w:rPr>
      </w:pPr>
      <w:r>
        <w:rPr>
          <w:rFonts w:ascii="Arial" w:hAnsi="Arial" w:cs="Arial"/>
          <w:i/>
          <w:color w:val="000000"/>
          <w:sz w:val="22"/>
          <w:szCs w:val="22"/>
          <w:lang w:val="sr-Cyrl-RS"/>
        </w:rPr>
        <w:t>--------</w:t>
      </w:r>
    </w:p>
    <w:p w:rsidR="00EF008E" w:rsidRPr="00EF008E" w:rsidRDefault="00EF008E" w:rsidP="00EF008E">
      <w:pPr>
        <w:spacing w:after="150" w:line="276" w:lineRule="auto"/>
        <w:contextualSpacing w:val="0"/>
        <w:jc w:val="both"/>
        <w:rPr>
          <w:rFonts w:ascii="Arial" w:hAnsi="Arial" w:cs="Arial"/>
          <w:sz w:val="22"/>
          <w:szCs w:val="22"/>
          <w:lang w:val="sr-Cyrl-RS"/>
        </w:rPr>
      </w:pPr>
      <w:r w:rsidRPr="00EF008E">
        <w:rPr>
          <w:rFonts w:ascii="Arial" w:hAnsi="Arial" w:cs="Arial"/>
          <w:i/>
          <w:color w:val="000000"/>
          <w:sz w:val="22"/>
          <w:szCs w:val="22"/>
          <w:lang w:val="sr-Cyrl-RS"/>
        </w:rPr>
        <w:t>906 Члан 60. став 1. тачка 5. Закона о родној равноправности.</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10. ПРОЦЕНА ФИНАНСИЈСКИХ СРЕДСТАВА ПОТРЕБНИХ ЗА СПРОВОЂЕЊЕ СТРАТЕГИЈЕ И АНАЛИЗА ФИНАНСИЈСКИХ ЕФЕКАТА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Средства за спровођење ове стратегије обезбеђиваће се из различитих извора, и то: из националног буџета, из средстава намењених унапређењу родне равноправности опредељених у буџету АПВ и буџета ЈЛС, из средстава донатора, односно путем програма и пројеката који ће се усвојити и реализовати на основу ове стратегије и њеног акционог плана.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Сва средства предвиђена за реализацију активности у пратећем акционом плану за 2021. и 2023. годину, као и онима који ће бити припремљени за период до 2030. године, планирана су у оквиру буџета релевантних и надлежних министарстава, буџетских корисника, у националном буџету, као и у буџетима АПВ и локалних самоуправа.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За одређени број мера за које су трошкови процењени, али средства нису јасно опредељена, те ће се након усвајања ове стратегије и припадајућег АП приступити даљем планирању извора финансирања ових мера. У спровођењу овог документа држава ће се у потпуности ослонити на сопствена средства, у циљу прихватања финансијске одговорности и власништва над овим документом јавне политике.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Имплементација мера предвиђених овом стратегијом и првим двогодишњим акционим планом неће имати утицаја на међународне финансијске обавезе државе, зато што никакво задуживање није планирано.</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11. АКЦИОНИ ПЛАН</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Први акциони план за спровођење Стратегије за период од 2021. до 2023. године донеће се у року од 90 дана од дана усвајања ове стратегије.</w:t>
      </w:r>
    </w:p>
    <w:p w:rsidR="00EF008E" w:rsidRPr="00EF008E" w:rsidRDefault="00EF008E" w:rsidP="00EF008E">
      <w:pPr>
        <w:spacing w:after="120" w:line="276" w:lineRule="auto"/>
        <w:contextualSpacing w:val="0"/>
        <w:jc w:val="center"/>
        <w:rPr>
          <w:rFonts w:ascii="Arial" w:hAnsi="Arial" w:cs="Arial"/>
          <w:sz w:val="22"/>
          <w:szCs w:val="22"/>
          <w:lang w:val="sr-Cyrl-RS"/>
        </w:rPr>
      </w:pPr>
      <w:r w:rsidRPr="00EF008E">
        <w:rPr>
          <w:rFonts w:ascii="Arial" w:hAnsi="Arial" w:cs="Arial"/>
          <w:color w:val="000000"/>
          <w:sz w:val="22"/>
          <w:szCs w:val="22"/>
          <w:lang w:val="sr-Cyrl-RS"/>
        </w:rPr>
        <w:t>12. ЗАВРШНЕ ОДРЕДБЕ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Ову стратегију објавити на интернет страници Владе, интернет страници Министарства за људска и мањинска права и друштвени дијалог и порталу еУправа, у року од седам радних дана од дана усвајања.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Ову стратегију објавити у </w:t>
      </w:r>
      <w:r>
        <w:rPr>
          <w:rFonts w:ascii="Arial" w:hAnsi="Arial" w:cs="Arial"/>
          <w:color w:val="000000"/>
          <w:sz w:val="22"/>
          <w:szCs w:val="22"/>
          <w:lang w:val="sr-Cyrl-RS"/>
        </w:rPr>
        <w:t>"</w:t>
      </w:r>
      <w:r w:rsidRPr="00EF008E">
        <w:rPr>
          <w:rFonts w:ascii="Arial" w:hAnsi="Arial" w:cs="Arial"/>
          <w:color w:val="000000"/>
          <w:sz w:val="22"/>
          <w:szCs w:val="22"/>
          <w:lang w:val="sr-Cyrl-RS"/>
        </w:rPr>
        <w:t>Службеном гласнику Републике Србије</w:t>
      </w:r>
      <w:r>
        <w:rPr>
          <w:rFonts w:ascii="Arial" w:hAnsi="Arial" w:cs="Arial"/>
          <w:color w:val="000000"/>
          <w:sz w:val="22"/>
          <w:szCs w:val="22"/>
          <w:lang w:val="sr-Cyrl-RS"/>
        </w:rPr>
        <w:t>"</w:t>
      </w:r>
      <w:r w:rsidRPr="00EF008E">
        <w:rPr>
          <w:rFonts w:ascii="Arial" w:hAnsi="Arial" w:cs="Arial"/>
          <w:color w:val="000000"/>
          <w:sz w:val="22"/>
          <w:szCs w:val="22"/>
          <w:lang w:val="sr-Cyrl-RS"/>
        </w:rPr>
        <w:t>.</w:t>
      </w:r>
    </w:p>
    <w:p w:rsidR="00EF008E" w:rsidRDefault="00EF008E" w:rsidP="00EF008E">
      <w:pPr>
        <w:spacing w:after="150" w:line="276" w:lineRule="auto"/>
        <w:contextualSpacing w:val="0"/>
        <w:rPr>
          <w:rFonts w:ascii="Arial" w:hAnsi="Arial" w:cs="Arial"/>
          <w:color w:val="000000"/>
          <w:sz w:val="22"/>
          <w:szCs w:val="22"/>
          <w:lang w:val="sr-Cyrl-RS"/>
        </w:rPr>
      </w:pPr>
    </w:p>
    <w:p w:rsidR="00EF008E" w:rsidRDefault="00EF008E" w:rsidP="00EF008E">
      <w:pPr>
        <w:spacing w:after="150" w:line="276" w:lineRule="auto"/>
        <w:contextualSpacing w:val="0"/>
        <w:rPr>
          <w:rFonts w:ascii="Arial" w:hAnsi="Arial" w:cs="Arial"/>
          <w:color w:val="000000"/>
          <w:sz w:val="22"/>
          <w:szCs w:val="22"/>
          <w:lang w:val="sr-Cyrl-RS"/>
        </w:rPr>
      </w:pPr>
    </w:p>
    <w:p w:rsidR="00EF008E" w:rsidRPr="00EF008E" w:rsidRDefault="00EF008E" w:rsidP="00EF008E">
      <w:pPr>
        <w:spacing w:after="150" w:line="276" w:lineRule="auto"/>
        <w:contextualSpacing w:val="0"/>
        <w:rPr>
          <w:rFonts w:ascii="Arial" w:hAnsi="Arial" w:cs="Arial"/>
          <w:b/>
          <w:sz w:val="22"/>
          <w:szCs w:val="22"/>
          <w:lang w:val="sr-Cyrl-RS"/>
        </w:rPr>
      </w:pPr>
      <w:r w:rsidRPr="00EF008E">
        <w:rPr>
          <w:rFonts w:ascii="Arial" w:hAnsi="Arial" w:cs="Arial"/>
          <w:b/>
          <w:color w:val="000000"/>
          <w:sz w:val="22"/>
          <w:szCs w:val="22"/>
          <w:lang w:val="sr-Cyrl-RS"/>
        </w:rPr>
        <w:t>Скраћенице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А11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Иницијатива за социјална и економска права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Агенда 2030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Агенда Уједињених нација за одрживи развој до 2030. године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АЖЦ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Аутономни женски центар</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AMITY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Удружење грађана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Снага пријатељства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AMITY</w:t>
      </w:r>
      <w:r>
        <w:rPr>
          <w:rFonts w:ascii="Arial" w:hAnsi="Arial" w:cs="Arial"/>
          <w:color w:val="000000"/>
          <w:sz w:val="22"/>
          <w:szCs w:val="22"/>
          <w:lang w:val="sr-Cyrl-RS"/>
        </w:rPr>
        <w:t>"</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АП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акциони план</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АПВ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Аутономна покрајина Војводина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АПР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Агенција за привредне регистре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БДП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Бруто домаћи производ</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БИБИЈА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Удружење грађана </w:t>
      </w:r>
      <w:r>
        <w:rPr>
          <w:rFonts w:ascii="Arial" w:hAnsi="Arial" w:cs="Arial"/>
          <w:color w:val="000000"/>
          <w:sz w:val="22"/>
          <w:szCs w:val="22"/>
          <w:lang w:val="sr-Cyrl-RS"/>
        </w:rPr>
        <w:t>"</w:t>
      </w:r>
      <w:r w:rsidRPr="00EF008E">
        <w:rPr>
          <w:rFonts w:ascii="Arial" w:hAnsi="Arial" w:cs="Arial"/>
          <w:color w:val="000000"/>
          <w:sz w:val="22"/>
          <w:szCs w:val="22"/>
          <w:lang w:val="sr-Cyrl-RS"/>
        </w:rPr>
        <w:t>БИБИЈА Ромски женски центар</w:t>
      </w:r>
      <w:r>
        <w:rPr>
          <w:rFonts w:ascii="Arial" w:hAnsi="Arial" w:cs="Arial"/>
          <w:color w:val="000000"/>
          <w:sz w:val="22"/>
          <w:szCs w:val="22"/>
          <w:lang w:val="sr-Cyrl-RS"/>
        </w:rPr>
        <w:t>"</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БМПО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Биомедицински потпомогнута оплодња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ВС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Војска Србије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ГСУН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Генерални секретаријат Уједињених нација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ДКП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дипломатско-конзуларно представништво</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ЕК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Европска комисија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ЕП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Европски парламент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ЕСЉП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Европски суд за људска права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ЕУ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Европска унија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EHIS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Истраживање здравља становништва Србије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EIGE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Европски институт за родну равноправност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ЖПМ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Женска парламентарна мрежа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ЖПРС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Женска платформа за развој Србије 2014</w:t>
      </w:r>
      <w:r>
        <w:rPr>
          <w:rFonts w:ascii="Arial" w:hAnsi="Arial" w:cs="Arial"/>
          <w:color w:val="000000"/>
          <w:sz w:val="22"/>
          <w:szCs w:val="22"/>
          <w:lang w:val="sr-Cyrl-RS"/>
        </w:rPr>
        <w:t>-</w:t>
      </w:r>
      <w:r w:rsidRPr="00EF008E">
        <w:rPr>
          <w:rFonts w:ascii="Arial" w:hAnsi="Arial" w:cs="Arial"/>
          <w:color w:val="000000"/>
          <w:sz w:val="22"/>
          <w:szCs w:val="22"/>
          <w:lang w:val="sr-Cyrl-RS"/>
        </w:rPr>
        <w:t>2020.</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ЗБС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Закон о буџетском систему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ЗИД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Закон о иновационој делатности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ЗПС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Закон о планском систему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ЗРР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Закон о родној равноправности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ИКТ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информационо-комуникационе технологије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ЈЛС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Јединица локалне самоуправе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КЈН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Канцеларија за јавне набавке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КТРР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Координационо тело за родну равноправност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ЛАП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Локални акциони план</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Механизми РР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институционални механизми РР</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ММСП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Микро, мала и средња предузећа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ММФ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Међународни монетарни фонд</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МО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Министарство одбране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МОДС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Мрежа организација за децу Србије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Министарство правде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МРЗБСП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Министарство за рад, запошљавање, борачка и социјална питања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МУП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Министарство унутрашњих послова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НАЈУ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Национална академија за јавну управу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НАЛЕД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Национална алијанса за локални економски развој</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НАП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Национални акциони план</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НСЗ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Национална служба за запошљавање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ОЕБС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Организација за европску безбедност и сарадњу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OECD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Организација за економску сарадњу и развој</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ОСИ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особе са инвалидитетом</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ОЦД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организација цивилног друштва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п.п.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процентни поени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ПА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педагошки асистенти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ПГПП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Међународни пакт о грађанским и политичким правима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ПЕСП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Међународни пакт о економским и социјалним правима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PEFA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Процена јавних расхода и јавних финансија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ПОФ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приоритетне области финансирања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ПССЕ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Парламентарна скупштина Савета Европе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ПУ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Полицијска управа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РАС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Развојна агенција Србије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РГЗ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Републички геодетски завод</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РЕМ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Регулаторно тело за електронске медије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РЗС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Републички завод за статистику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РИК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Републичка изборна комисија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РОБ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Родно одговорно буџетирање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РС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Република Србија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РФПИО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Републички фонд за пензијско и инвалидско осигурање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САНУ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Српска академија наука и уметности</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СБ УН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Савет безбедности Уједињених нација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СЕ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Савет Европе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SeConS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Група за развојну иницијативу</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СЗЗ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Стратегија за запошљавање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SILC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Анкета о приходима и условима живота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СИПРУ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Тим за социјално укључивање и смањење сиромаштва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СКГО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Стална конференција градова и општина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УН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Уједињене нације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UNDP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програм Уједињених нација за развој</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ФИД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Фонд за иновациону делатност</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CEDAW комитет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Комитет за елиминисање свих облика дискриминације жена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CEDAW конвенција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Конвенција о елиминисању свих облика дискриминације жена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ЦОР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циљеви одрживог развоја</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ЦСЖ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Центар за самостални живот особа са инвалидитетом Србије</w:t>
      </w:r>
    </w:p>
    <w:p w:rsidR="00EF008E" w:rsidRP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ЦСР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Центар за социјални рад</w:t>
      </w:r>
    </w:p>
    <w:p w:rsidR="00EF008E" w:rsidRDefault="00EF008E" w:rsidP="00EF008E">
      <w:pPr>
        <w:spacing w:after="150" w:line="276" w:lineRule="auto"/>
        <w:contextualSpacing w:val="0"/>
        <w:rPr>
          <w:rFonts w:ascii="Arial" w:hAnsi="Arial" w:cs="Arial"/>
          <w:sz w:val="22"/>
          <w:szCs w:val="22"/>
          <w:lang w:val="sr-Cyrl-RS"/>
        </w:rPr>
      </w:pPr>
      <w:r w:rsidRPr="00EF008E">
        <w:rPr>
          <w:rFonts w:ascii="Arial" w:hAnsi="Arial" w:cs="Arial"/>
          <w:color w:val="000000"/>
          <w:sz w:val="22"/>
          <w:szCs w:val="22"/>
          <w:lang w:val="sr-Cyrl-RS"/>
        </w:rPr>
        <w:t xml:space="preserve">YUCOM </w:t>
      </w:r>
      <w:r>
        <w:rPr>
          <w:rFonts w:ascii="Arial" w:hAnsi="Arial" w:cs="Arial"/>
          <w:color w:val="000000"/>
          <w:sz w:val="22"/>
          <w:szCs w:val="22"/>
          <w:lang w:val="sr-Cyrl-RS"/>
        </w:rPr>
        <w:t>-</w:t>
      </w:r>
      <w:r w:rsidRPr="00EF008E">
        <w:rPr>
          <w:rFonts w:ascii="Arial" w:hAnsi="Arial" w:cs="Arial"/>
          <w:color w:val="000000"/>
          <w:sz w:val="22"/>
          <w:szCs w:val="22"/>
          <w:lang w:val="sr-Cyrl-RS"/>
        </w:rPr>
        <w:t xml:space="preserve"> Комитет правника за људска права</w:t>
      </w:r>
    </w:p>
    <w:p w:rsidR="00EF008E" w:rsidRPr="00EF008E" w:rsidRDefault="00EF008E" w:rsidP="00EF008E">
      <w:pPr>
        <w:rPr>
          <w:rFonts w:ascii="Arial" w:hAnsi="Arial" w:cs="Arial"/>
          <w:lang w:val="sr-Cyrl-RS"/>
        </w:rPr>
      </w:pPr>
    </w:p>
    <w:sectPr w:rsidR="00EF008E" w:rsidRPr="00EF008E" w:rsidSect="00EF008E">
      <w:footerReference w:type="default" r:id="rId7"/>
      <w:pgSz w:w="12480" w:h="15740"/>
      <w:pgMar w:top="380" w:right="1180" w:bottom="280" w:left="1180" w:header="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D8" w:rsidRDefault="003216D8" w:rsidP="007A5A6D">
      <w:r>
        <w:separator/>
      </w:r>
    </w:p>
  </w:endnote>
  <w:endnote w:type="continuationSeparator" w:id="0">
    <w:p w:rsidR="003216D8" w:rsidRDefault="003216D8" w:rsidP="007A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8E" w:rsidRPr="00EF008E" w:rsidRDefault="00EF008E">
    <w:pPr>
      <w:pStyle w:val="Footer"/>
      <w:jc w:val="center"/>
      <w:rPr>
        <w:caps/>
        <w:color w:val="5B9BD5"/>
      </w:rPr>
    </w:pPr>
    <w:r w:rsidRPr="00EF008E">
      <w:rPr>
        <w:caps/>
        <w:noProof w:val="0"/>
        <w:color w:val="5B9BD5"/>
      </w:rPr>
      <w:fldChar w:fldCharType="begin"/>
    </w:r>
    <w:r w:rsidRPr="00EF008E">
      <w:rPr>
        <w:caps/>
        <w:color w:val="5B9BD5"/>
      </w:rPr>
      <w:instrText xml:space="preserve"> PAGE   \* MERGEFORMAT </w:instrText>
    </w:r>
    <w:r w:rsidRPr="00EF008E">
      <w:rPr>
        <w:caps/>
        <w:noProof w:val="0"/>
        <w:color w:val="5B9BD5"/>
      </w:rPr>
      <w:fldChar w:fldCharType="separate"/>
    </w:r>
    <w:r w:rsidR="003216D8">
      <w:rPr>
        <w:caps/>
        <w:color w:val="5B9BD5"/>
      </w:rPr>
      <w:t>1</w:t>
    </w:r>
    <w:r w:rsidRPr="00EF008E">
      <w:rPr>
        <w:caps/>
        <w:color w:val="5B9BD5"/>
      </w:rPr>
      <w:fldChar w:fldCharType="end"/>
    </w:r>
  </w:p>
  <w:p w:rsidR="00EF008E" w:rsidRDefault="00EF0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D8" w:rsidRDefault="003216D8" w:rsidP="007A5A6D">
      <w:r>
        <w:separator/>
      </w:r>
    </w:p>
  </w:footnote>
  <w:footnote w:type="continuationSeparator" w:id="0">
    <w:p w:rsidR="003216D8" w:rsidRDefault="003216D8" w:rsidP="007A5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GrammaticalErrors/>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43E6B"/>
    <w:rsid w:val="00251BA3"/>
    <w:rsid w:val="002A61CA"/>
    <w:rsid w:val="003216D8"/>
    <w:rsid w:val="00497C37"/>
    <w:rsid w:val="004F5E00"/>
    <w:rsid w:val="005F0760"/>
    <w:rsid w:val="0077193D"/>
    <w:rsid w:val="00783CC4"/>
    <w:rsid w:val="007A5A6D"/>
    <w:rsid w:val="00806E64"/>
    <w:rsid w:val="00894F6A"/>
    <w:rsid w:val="00944E3C"/>
    <w:rsid w:val="009C5050"/>
    <w:rsid w:val="00A31AF5"/>
    <w:rsid w:val="00D13326"/>
    <w:rsid w:val="00EF008E"/>
    <w:rsid w:val="00F5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D210A"/>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EF008E"/>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EF008E"/>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EF008E"/>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EF008E"/>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7A5A6D"/>
    <w:pPr>
      <w:tabs>
        <w:tab w:val="center" w:pos="4536"/>
        <w:tab w:val="right" w:pos="9072"/>
      </w:tabs>
    </w:pPr>
  </w:style>
  <w:style w:type="character" w:customStyle="1" w:styleId="HeaderChar">
    <w:name w:val="Header Char"/>
    <w:link w:val="Header"/>
    <w:uiPriority w:val="99"/>
    <w:rsid w:val="007A5A6D"/>
    <w:rPr>
      <w:rFonts w:ascii="Times New Roman" w:hAnsi="Times New Roman"/>
      <w:noProof/>
      <w:sz w:val="18"/>
      <w:szCs w:val="18"/>
      <w:lang w:eastAsia="en-US"/>
    </w:rPr>
  </w:style>
  <w:style w:type="paragraph" w:styleId="Footer">
    <w:name w:val="footer"/>
    <w:basedOn w:val="Normal"/>
    <w:link w:val="FooterChar"/>
    <w:uiPriority w:val="99"/>
    <w:unhideWhenUsed/>
    <w:rsid w:val="007A5A6D"/>
    <w:pPr>
      <w:tabs>
        <w:tab w:val="center" w:pos="4536"/>
        <w:tab w:val="right" w:pos="9072"/>
      </w:tabs>
    </w:pPr>
  </w:style>
  <w:style w:type="character" w:customStyle="1" w:styleId="FooterChar">
    <w:name w:val="Footer Char"/>
    <w:link w:val="Footer"/>
    <w:uiPriority w:val="99"/>
    <w:rsid w:val="007A5A6D"/>
    <w:rPr>
      <w:rFonts w:ascii="Times New Roman" w:hAnsi="Times New Roman"/>
      <w:noProof/>
      <w:sz w:val="18"/>
      <w:szCs w:val="18"/>
      <w:lang w:eastAsia="en-US"/>
    </w:rPr>
  </w:style>
  <w:style w:type="character" w:customStyle="1" w:styleId="Heading1Char">
    <w:name w:val="Heading 1 Char"/>
    <w:link w:val="Heading1"/>
    <w:uiPriority w:val="9"/>
    <w:rsid w:val="00EF008E"/>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EF008E"/>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EF008E"/>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EF008E"/>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EF008E"/>
  </w:style>
  <w:style w:type="paragraph" w:styleId="NormalIndent">
    <w:name w:val="Normal Indent"/>
    <w:basedOn w:val="Normal"/>
    <w:uiPriority w:val="99"/>
    <w:unhideWhenUsed/>
    <w:rsid w:val="00EF008E"/>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EF008E"/>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EF008E"/>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EF008E"/>
    <w:rPr>
      <w:i/>
      <w:iCs/>
    </w:rPr>
  </w:style>
  <w:style w:type="character" w:styleId="Hyperlink">
    <w:name w:val="Hyperlink"/>
    <w:uiPriority w:val="99"/>
    <w:unhideWhenUsed/>
    <w:rsid w:val="00EF008E"/>
    <w:rPr>
      <w:color w:val="0563C1"/>
      <w:u w:val="single"/>
    </w:rPr>
  </w:style>
  <w:style w:type="table" w:styleId="TableGrid">
    <w:name w:val="Table Grid"/>
    <w:basedOn w:val="TableNormal"/>
    <w:uiPriority w:val="59"/>
    <w:rsid w:val="00EF008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F008E"/>
    <w:pPr>
      <w:spacing w:after="200"/>
      <w:contextualSpacing w:val="0"/>
    </w:pPr>
    <w:rPr>
      <w:rFonts w:ascii="Verdana" w:hAnsi="Verdana" w:cs="Verdana"/>
      <w:b/>
      <w:bCs/>
      <w:noProof w:val="0"/>
      <w:color w:val="5B9BD5"/>
      <w:lang w:val="en-US"/>
    </w:rPr>
  </w:style>
  <w:style w:type="paragraph" w:customStyle="1" w:styleId="DocDefaults">
    <w:name w:val="DocDefaults"/>
    <w:rsid w:val="00EF008E"/>
    <w:pPr>
      <w:spacing w:after="200" w:line="276" w:lineRule="auto"/>
    </w:pPr>
    <w:rPr>
      <w:sz w:val="22"/>
      <w:szCs w:val="22"/>
      <w:lang w:val="en-US" w:eastAsia="en-US"/>
    </w:rPr>
  </w:style>
  <w:style w:type="character" w:styleId="FollowedHyperlink">
    <w:name w:val="FollowedHyperlink"/>
    <w:uiPriority w:val="99"/>
    <w:semiHidden/>
    <w:unhideWhenUsed/>
    <w:rsid w:val="00EF008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174</Pages>
  <Words>85274</Words>
  <Characters>486065</Characters>
  <Application>Microsoft Office Word</Application>
  <DocSecurity>0</DocSecurity>
  <Lines>4050</Lines>
  <Paragraphs>1140</Paragraphs>
  <ScaleCrop>false</ScaleCrop>
  <Company/>
  <LinksUpToDate>false</LinksUpToDate>
  <CharactersWithSpaces>570199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2024-01-27T08:42:00Z</dcterms:created>
  <dcterms:modified xsi:type="dcterms:W3CDTF">2024-01-27T08:46:00Z</dcterms:modified>
</cp:coreProperties>
</file>