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D13326" w:rsidRPr="008455B7" w:rsidTr="0041610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13326" w:rsidRPr="008455B7" w:rsidRDefault="00806E64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4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806E64" w:rsidRPr="00806E64" w:rsidRDefault="00806E64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806E64">
              <w:rPr>
                <w:color w:val="FFE599"/>
              </w:rPr>
              <w:t>ПРОГРАМ</w:t>
            </w:r>
          </w:p>
          <w:p w:rsidR="00D13326" w:rsidRPr="009536D1" w:rsidRDefault="00806E64" w:rsidP="00806E64">
            <w:pPr>
              <w:pStyle w:val="NASLOVBELO"/>
            </w:pPr>
            <w:r>
              <w:t>САРАДЊЕ У ОБЛАСТИ ОБРАЗОВАЊА ИЗМЕЂУ ВЛАДЕ РЕПУБЛИКЕ СРБИЈЕ И ВЛАДЕ РЕПУБ</w:t>
            </w:r>
            <w:r>
              <w:t>ЛИКЕ БЕЛОРУСИЈЕ ДО 2020. ГОДИНЕ</w:t>
            </w:r>
          </w:p>
          <w:p w:rsidR="00D13326" w:rsidRPr="008B2FAA" w:rsidRDefault="00806E64" w:rsidP="004F5E00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 - Међународни уговори", бр. 16/2019)</w:t>
            </w:r>
          </w:p>
        </w:tc>
      </w:tr>
    </w:tbl>
    <w:p w:rsidR="00806E64" w:rsidRDefault="00806E64">
      <w:pPr>
        <w:sectPr w:rsidR="00806E64" w:rsidSect="00806E64">
          <w:pgSz w:w="11910" w:h="15780"/>
          <w:pgMar w:top="100" w:right="560" w:bottom="280" w:left="580" w:header="720" w:footer="720" w:gutter="0"/>
          <w:cols w:space="142"/>
        </w:sectPr>
      </w:pPr>
    </w:p>
    <w:p w:rsidR="00806E64" w:rsidRDefault="00806E64">
      <w:pPr>
        <w:sectPr w:rsidR="00806E64" w:rsidSect="00806E64">
          <w:type w:val="continuous"/>
          <w:pgSz w:w="11910" w:h="15780"/>
          <w:pgMar w:top="100" w:right="560" w:bottom="280" w:left="580" w:header="720" w:footer="720" w:gutter="0"/>
          <w:cols w:space="142"/>
        </w:sectPr>
      </w:pPr>
    </w:p>
    <w:p w:rsidR="00806E64" w:rsidRPr="00806E64" w:rsidRDefault="00806E64" w:rsidP="00806E64">
      <w:pPr>
        <w:spacing w:before="225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b/>
          <w:bCs/>
          <w:noProof w:val="0"/>
          <w:color w:val="000000"/>
          <w:lang w:val="be-BY" w:eastAsia="sr-Latn-RS"/>
        </w:rPr>
        <w:t>ПРАГРАМА</w:t>
      </w:r>
    </w:p>
    <w:p w:rsidR="00806E64" w:rsidRDefault="00806E64" w:rsidP="00806E64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val="be-BY" w:eastAsia="sr-Latn-RS"/>
        </w:rPr>
      </w:pPr>
      <w:r w:rsidRPr="00806E64">
        <w:rPr>
          <w:rFonts w:ascii="Verdana" w:eastAsia="Times New Roman" w:hAnsi="Verdana" w:cs="Arial"/>
          <w:b/>
          <w:bCs/>
          <w:noProof w:val="0"/>
          <w:color w:val="000000"/>
          <w:lang w:val="be-BY" w:eastAsia="sr-Latn-RS"/>
        </w:rPr>
        <w:t>СУПРАЦОЎНІЦТВА Ў СФЕРЫ АДУКАЦЫІ ПАМІЖ УРАДАМ РЭСПУБЛІКІ СЕРБІЯ І УРАДАМ РЭСПУБЛІКІ БЕЛАРУСЬ ДА 2020 ГОДА</w:t>
      </w:r>
    </w:p>
    <w:p w:rsidR="00806E64" w:rsidRPr="00806E64" w:rsidRDefault="00806E64" w:rsidP="00806E64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Урад Рэспублікі Сербія і Урад Рэспублікі Беларусь (далей называюцца Бакамі),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кіруючыся ўзаемным інтарэсам ва ўдасканаленні супрацоўніцтва ў сферы адукацыі,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у адпаведнасці з Пагадненнем паміж Саюзным Урадам Саюзнай Рэспублікі Югаславія і Урадам Рэспублікі Беларусь аб супрацоўніцтве ў галіне адукацыі, культуры і спорту, падпісаным 6 сакавіка 1996 года ў г. Мінску,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дамовіліся аб наступным: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1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падтрымліваюць прамое супрацоўніцтва паміж установамі вышэйшай адукацыі і іншымі ўстановамі адукацыі дзвюх краін і абменьваюцца інфармацыяй і вопытам па наступных напрамках: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вопытам па рэформах сістэмы адукацыі і метадах ацэнкі дзейнасці ўстаноў адукацыі;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інфармацыяй па пытаннях атрымання адукацыі адоранымі і таленавітымі навучэнцамі і дадатковай адукацыі дарослых;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інфармацыяй аб педагагічных і метадычных аспектах адукацыйнага працэсу;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інфармацыяй і публікацыямі па напрамках асноўнай адукацыі /фармальнай  і дадатковай адукацыі дарослых, дадатковай адукацыі дзяцей і моладзі /нефармальнай адукацыі;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спецыялістамі, педагагічнымі работнікамі, студэнтамі, магістрантамі і аспірантамі;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вопытам у сферы прафесійна-тэхнічнай адукацыі;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абмен вопытам па прымяненні новых тэхналогій у адукацыі;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развіццё партнёрскіх сувязей паміж установамі адукацыі ў рамках выканання сумесных праграм і мерапрыемстваў;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узаемадзеянне ў галіне дыстанцыйнага навучання і развіццё электронных навучальных матэрыялаў;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іншыя формы супрацоўніцтва, якія ўяўляюць сабой узаемны інтарэс.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2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ўмацоўваюць кантакты паміж пачатковымі і сярэднімі школамі Рэспублікі Сербія і ўстановамі агульнай сярэдняй адукацыі Рэспублікі Беларусь у рамках партнёрскіх адносін і міжнароднага сецевага ўзаемадзеяння.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3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ўстанаўліваюць супрацоўніцтва ў галіне інклюзіўнай адукацыі дзяцей з асаблівасцямі псіха-фізічнага развіцця шляхам абмену інфармацыяй, вопытам, тэхнічнымі дакументамі і падтрымкі развіцця партнёрскіх адносін паміж школамі. У гэтых мэтах Бакі забяспечаць абмен сістэмамі экспертных ацэнак для ўзаемадзеяння па падрыхтоўцы і рэалізацыі сумесных праектаў і праграм навучання для педагагічных работнікаў.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4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штогод будуць абменьвацца студэнтамі, магістрантамі і аспірантамі (далей ‒ удзельнікі абмену) на парытэтных умовах і на аснове конкурснай заяўкі.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Агульная колькасць удзельнікаў абмену ў кожным навучальным годзе для навучання ў дзяржаве другога Боку складае да 10 чалавек з тэрмінам навучання па 5 месяцаў кожны.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прадастаўляюць на ўзаемнай аснове ўдзельнікам абмену: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бясплатнае навучанне;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магчымасць карыстання вучэбнымі выданнямі, навукова-тэхнічнай дакументацыяй, даследчым абсталяваннем на тых жа ўмовах, што і для грамадзян дзяржавы прымаючага Боку;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медыцынскае абслугоўванне ў рамках нацыянальнага заканадаўства прымаючага Боку;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выплату стыпендыі для ўдзельнікаў абмену ў памеры, устаноўленым нацыянальным заканадаўствам прымаючага Боку.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Аплата транспартных расходаў і пражывання ажыццяўляецца за кошт саміх удзельнікаў абмену ці іншых крыніц, не забароненых заканадаўствам накіроўваючага Боку.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5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прытрымліваюцца прынцыпу ўзаемнасці і спрыяюць на ўзаемнай аснове вывучэнню нацыянальнай мовы і літаратуры. У гэтых мэтах Бакі разглядаюць магчымасць абмену выкладчыкамі, матэрыяламі і інфармацыяй, а таксама магчымасць арганізацыі адпаведных курсаў і семінараў.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lastRenderedPageBreak/>
        <w:t>Артыкул 6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Прызнанне афіцыйных дакументаў аб адукацыі, у тым ліку дыпломаў аб вышэйшай адукацыі, ажыццяўляецца ў адпаведнасці з нацыянальным заканадаўствам кожнага Боку.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7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Бакі на працягу ўсяго тэрміну дзеяння Праграмы інфармуюць адзін аднаго аб правядзенні міжнародных канферэнцый у галіне адукацыі і заахвочваюць да ўдзелу ў іх сваіх спецыялістаў.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bookmarkStart w:id="0" w:name="_GoBack"/>
      <w:bookmarkEnd w:id="0"/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8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Органамі Бакоў, адказнымі за рэалізацыю палажэнняў дадзенай Праграмы, з</w:t>
      </w:r>
      <w:r w:rsidRPr="00806E64">
        <w:rPr>
          <w:rFonts w:ascii="Arial" w:eastAsia="Times New Roman" w:hAnsi="Arial" w:cs="Arial"/>
          <w:noProof w:val="0"/>
          <w:color w:val="000000"/>
          <w:lang w:val="be-BY" w:eastAsia="sr-Latn-RS"/>
        </w:rPr>
        <w:t>ʼ</w:t>
      </w:r>
      <w:r w:rsidRPr="00806E64">
        <w:rPr>
          <w:rFonts w:ascii="Verdana" w:eastAsia="Times New Roman" w:hAnsi="Verdana" w:cs="Verdana"/>
          <w:noProof w:val="0"/>
          <w:color w:val="000000"/>
          <w:lang w:val="be-BY" w:eastAsia="sr-Latn-RS"/>
        </w:rPr>
        <w:t>яўляюцца</w:t>
      </w: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: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за Урад Рэспублікі Сербія ‒ Міністэрства асветы, навукі і тэхналагічнага развіцця;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за Урад Рэспублікі Беларусь ‒ Міністэрства адукацыі.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9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У мэтах больш эфектыўнага выканання Праграмы, а таксама для вырашэння праблем, якія могуць узнікнуць у сувязі з гэтым, Бакі ствараюць Сумесную камісію, якая складаецца з упаўнаважаных прадстаўнікоў кожнага Боку. Сумесная камісія будзе праводзіць пасяджэнні папераменна ў абедзвюх краінах, а месца і час іх правядзення будуць узгадняцца па дыпламатычных каналах.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10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Супрацоўніцтва ў рамках дадзенай Праграмы ажыццяўляецца ў адпаведнасці з нацыянальным заканадаўствам дзвюх краін, а таксама міжнароднымі канвенцыямі і двухбаковымі пагадненнямі ў гэтай сфер.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11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Выкананне ўзгодненых мерапрыемстваў у рамках дадзенай Праграмы забяспечваецца пры наяўнасці крыніц фінансавання і ў адпаведнасці з нацыянальным заканадаўствам Бакоў.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12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Любыя непаразуменні, якія могуць узнікнуць пры рэалізацыі і (або) тлумачэнні дадзенай Праграмы, будуць вырашацца шляхам правядзення кансультацый або перагавораў паміж Бакамі.</w:t>
      </w:r>
    </w:p>
    <w:p w:rsidR="00806E64" w:rsidRPr="00806E64" w:rsidRDefault="00806E64" w:rsidP="00806E64">
      <w:pPr>
        <w:spacing w:before="330"/>
        <w:ind w:firstLine="480"/>
        <w:contextualSpacing w:val="0"/>
        <w:jc w:val="center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Артыкул 13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Дадзеная Праграма ўступае ў сілу з даты атрымання апошняга пісьмовага паведамлення аб выкананні Бакамі ўнутрыдзяржаўных працэдур, неабходных для яе ўступлення ў сілу, і застаецца ў сіле да 31 снежня 2020 года.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Дадзеная Праграма можа быць зменена па ўзаемнай пісьмовай згодзе Бакоў. Змены, што ўносяцца ў Праграму, альбо спыненне яе дзеяння не аказвае ўплыву на выкананне сумесных праектаў, якія ўжо пачаты і не завершаны ў рамках дзеяння Праграмы.</w:t>
      </w: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Падпісана ў горадзе Белградзе 3 снежня 2019 года ў двух экзэмплярах, кожны на сербскай, беларускай і англійскай мовах, прычым усе тэксты з</w:t>
      </w:r>
      <w:r w:rsidRPr="00806E64">
        <w:rPr>
          <w:rFonts w:ascii="Arial" w:eastAsia="Times New Roman" w:hAnsi="Arial" w:cs="Arial"/>
          <w:noProof w:val="0"/>
          <w:color w:val="000000"/>
          <w:lang w:val="be-BY" w:eastAsia="sr-Latn-RS"/>
        </w:rPr>
        <w:t>ʼ</w:t>
      </w:r>
      <w:r w:rsidRPr="00806E64">
        <w:rPr>
          <w:rFonts w:ascii="Verdana" w:eastAsia="Times New Roman" w:hAnsi="Verdana" w:cs="Verdana"/>
          <w:noProof w:val="0"/>
          <w:color w:val="000000"/>
          <w:lang w:val="be-BY" w:eastAsia="sr-Latn-RS"/>
        </w:rPr>
        <w:t>яўляюцца</w:t>
      </w: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 xml:space="preserve"> </w:t>
      </w:r>
      <w:r w:rsidRPr="00806E64">
        <w:rPr>
          <w:rFonts w:ascii="Verdana" w:eastAsia="Times New Roman" w:hAnsi="Verdana" w:cs="Verdana"/>
          <w:noProof w:val="0"/>
          <w:color w:val="000000"/>
          <w:lang w:val="be-BY" w:eastAsia="sr-Latn-RS"/>
        </w:rPr>
        <w:t>аў</w:t>
      </w: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тэнтычнымі.</w:t>
      </w:r>
    </w:p>
    <w:p w:rsid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val="be-BY" w:eastAsia="sr-Latn-RS"/>
        </w:rPr>
      </w:pPr>
      <w:r w:rsidRPr="00806E64">
        <w:rPr>
          <w:rFonts w:ascii="Verdana" w:eastAsia="Times New Roman" w:hAnsi="Verdana" w:cs="Arial"/>
          <w:noProof w:val="0"/>
          <w:color w:val="000000"/>
          <w:lang w:val="be-BY" w:eastAsia="sr-Latn-RS"/>
        </w:rPr>
        <w:t>У выпадку ўзнікнення непаразуменняў у тлумачэнні дадзенай Праграмы, будзе выкарыстоўвацца тэкст на англійскай мове.</w:t>
      </w:r>
    </w:p>
    <w:p w:rsid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val="be-BY" w:eastAsia="sr-Latn-RS"/>
        </w:rPr>
      </w:pPr>
    </w:p>
    <w:p w:rsidR="00806E64" w:rsidRPr="00806E64" w:rsidRDefault="00806E64" w:rsidP="00806E64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0"/>
        <w:gridCol w:w="2450"/>
      </w:tblGrid>
      <w:tr w:rsidR="00806E64" w:rsidRPr="00806E64" w:rsidTr="00806E64"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E64" w:rsidRPr="00806E64" w:rsidRDefault="00806E64" w:rsidP="00806E64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</w:pPr>
            <w:r w:rsidRPr="00806E64"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t>За Урад</w:t>
            </w:r>
          </w:p>
          <w:p w:rsidR="00806E64" w:rsidRPr="00806E64" w:rsidRDefault="00806E64" w:rsidP="00806E64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</w:pPr>
            <w:r w:rsidRPr="00806E64"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t>Рэспублікі</w:t>
            </w:r>
            <w:r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br/>
            </w:r>
            <w:r w:rsidRPr="00806E64"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t>Сербія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E64" w:rsidRPr="00806E64" w:rsidRDefault="00806E64" w:rsidP="00806E64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</w:pPr>
            <w:r w:rsidRPr="00806E64"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t>За Урад</w:t>
            </w:r>
          </w:p>
          <w:p w:rsidR="00806E64" w:rsidRPr="00806E64" w:rsidRDefault="00806E64" w:rsidP="00806E64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</w:pPr>
            <w:r w:rsidRPr="00806E64"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t>Рэспублікі</w:t>
            </w:r>
            <w:r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br/>
            </w:r>
            <w:r w:rsidRPr="00806E64">
              <w:rPr>
                <w:rFonts w:ascii="Verdana" w:eastAsia="Times New Roman" w:hAnsi="Verdana" w:cs="Arial"/>
                <w:noProof w:val="0"/>
                <w:color w:val="000000"/>
                <w:lang w:eastAsia="sr-Latn-RS"/>
              </w:rPr>
              <w:t>Беларусь</w:t>
            </w:r>
          </w:p>
        </w:tc>
      </w:tr>
    </w:tbl>
    <w:p w:rsidR="00806E64" w:rsidRDefault="00806E64" w:rsidP="00806E64">
      <w:pPr>
        <w:spacing w:before="225"/>
        <w:ind w:firstLine="480"/>
        <w:contextualSpacing w:val="0"/>
        <w:jc w:val="center"/>
      </w:pPr>
    </w:p>
    <w:sectPr w:rsidR="00806E64" w:rsidSect="00806E64">
      <w:type w:val="continuous"/>
      <w:pgSz w:w="11910" w:h="15780"/>
      <w:pgMar w:top="100" w:right="560" w:bottom="280" w:left="580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251BA3"/>
    <w:rsid w:val="004F5E00"/>
    <w:rsid w:val="00806E64"/>
    <w:rsid w:val="00944E3C"/>
    <w:rsid w:val="00A31AF5"/>
    <w:rsid w:val="00D13326"/>
    <w:rsid w:val="00F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4096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2023-11-26T09:23:00Z</dcterms:created>
  <dcterms:modified xsi:type="dcterms:W3CDTF">2023-11-26T09:23:00Z</dcterms:modified>
</cp:coreProperties>
</file>