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3"/>
        <w:gridCol w:w="9533"/>
      </w:tblGrid>
      <w:tr w:rsidR="0067558F" w:rsidRPr="00932A9A" w14:paraId="71832A71" w14:textId="77777777" w:rsidTr="00047897">
        <w:trPr>
          <w:tblCellSpacing w:w="15" w:type="dxa"/>
        </w:trPr>
        <w:tc>
          <w:tcPr>
            <w:tcW w:w="477" w:type="pct"/>
            <w:shd w:val="clear" w:color="auto" w:fill="A41E1C"/>
            <w:vAlign w:val="center"/>
          </w:tcPr>
          <w:p w14:paraId="138D0646" w14:textId="77777777" w:rsidR="0067558F" w:rsidRDefault="0067558F" w:rsidP="00A87FA9">
            <w:pPr>
              <w:pStyle w:val="NASLOVZLATO"/>
            </w:pPr>
            <w:bookmarkStart w:id="0" w:name="_Hlk150257943"/>
            <w:r>
              <w:drawing>
                <wp:inline distT="0" distB="0" distL="0" distR="0" wp14:anchorId="50002F4E" wp14:editId="32239FB9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3" w:type="pct"/>
            <w:shd w:val="clear" w:color="auto" w:fill="A41E1C"/>
            <w:vAlign w:val="center"/>
            <w:hideMark/>
          </w:tcPr>
          <w:p w14:paraId="2436723D" w14:textId="267E9DC7" w:rsidR="0067558F" w:rsidRPr="00D70371" w:rsidRDefault="0067558F" w:rsidP="00A87FA9">
            <w:pPr>
              <w:pStyle w:val="NASLOVZLATO"/>
            </w:pPr>
            <w:r w:rsidRPr="0067558F">
              <w:t>ЗАКЉУЧАК</w:t>
            </w:r>
          </w:p>
          <w:p w14:paraId="57C95A96" w14:textId="00701FFC" w:rsidR="0067558F" w:rsidRPr="00D70371" w:rsidRDefault="0067558F" w:rsidP="00A87FA9">
            <w:pPr>
              <w:pStyle w:val="NASLOVBELO"/>
            </w:pPr>
            <w:r w:rsidRPr="0067558F">
              <w:t>О УСВАЈАЊУ АКЦИОНОГ ПЛАНА ЗА СПРОВОЂЕЊЕ НАЦИОНАЛНЕ СТРАТЕГИЈЕ ЗА МЛАДЕ ЗА ПЕРИОД ОД 2018. ДО 2020. ГОДИНЕ</w:t>
            </w:r>
          </w:p>
          <w:p w14:paraId="62A510D2" w14:textId="2F13AC2D" w:rsidR="0067558F" w:rsidRPr="00D70371" w:rsidRDefault="0067558F" w:rsidP="00A87FA9">
            <w:pPr>
              <w:pStyle w:val="podnaslovpropisa"/>
            </w:pPr>
            <w:r w:rsidRPr="00D70371">
              <w:t xml:space="preserve">("Сл. гласник РС", бр. </w:t>
            </w:r>
            <w:r w:rsidR="00290B9F">
              <w:t>99</w:t>
            </w:r>
            <w:r w:rsidRPr="00D70371">
              <w:t>/</w:t>
            </w:r>
            <w:r w:rsidR="00290B9F">
              <w:t>2018</w:t>
            </w:r>
            <w:r w:rsidRPr="00D70371">
              <w:t>)</w:t>
            </w:r>
          </w:p>
        </w:tc>
      </w:tr>
      <w:bookmarkEnd w:id="0"/>
    </w:tbl>
    <w:p w14:paraId="23B634BC" w14:textId="77777777" w:rsidR="00195E01" w:rsidRDefault="00195E01" w:rsidP="00047897">
      <w:pPr>
        <w:spacing w:after="120"/>
        <w:jc w:val="center"/>
        <w:rPr>
          <w:rFonts w:ascii="Arial" w:hAnsi="Arial" w:cs="Arial"/>
          <w:b/>
          <w:color w:val="000000"/>
        </w:rPr>
      </w:pPr>
    </w:p>
    <w:p w14:paraId="01B0FCAB" w14:textId="0258CCD2" w:rsidR="00047897" w:rsidRPr="00047897" w:rsidRDefault="00047897" w:rsidP="00047897">
      <w:pPr>
        <w:spacing w:after="120"/>
        <w:jc w:val="center"/>
        <w:rPr>
          <w:rFonts w:ascii="Arial" w:hAnsi="Arial" w:cs="Arial"/>
        </w:rPr>
      </w:pPr>
      <w:r w:rsidRPr="00047897">
        <w:rPr>
          <w:rFonts w:ascii="Arial" w:hAnsi="Arial" w:cs="Arial"/>
          <w:b/>
          <w:color w:val="000000"/>
        </w:rPr>
        <w:t>АКЦИОНИ ПЛАН ЗА СПРОВОЂЕЊЕ НАЦИОНАЛНЕ СТРАТЕГИЈЕ ЗА МЛАДЕ ЗА ПЕРИОД ОД 2018. ДО 2020. ГОДИНЕ</w:t>
      </w:r>
    </w:p>
    <w:p w14:paraId="7DD9D9C0" w14:textId="77777777" w:rsidR="00047897" w:rsidRPr="00047897" w:rsidRDefault="00047897" w:rsidP="00047897">
      <w:pPr>
        <w:spacing w:after="120"/>
        <w:jc w:val="center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I. УВОД</w:t>
      </w:r>
    </w:p>
    <w:p w14:paraId="29838C5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Влада је у фебруару 2015. године, донела Националну стратегију за младе за период од 2015. до 2025. године („Службени гласник РСˮ, број 22/15 – у даљем тексту: Национална стратегија за младе).</w:t>
      </w:r>
    </w:p>
    <w:p w14:paraId="36ABE49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Национална стратегија за младе је документ који представља системска решења најзначајних питања у различитим областима живота младих у Републици Србији, као дугорочни план. Израда Националнe стратегијe за младе предвиђена је Законом о младима („Службени гласник РС”, број 50/11), као документ који на предлог Министарства омладине и спорта доноси Влада на период од десет година.</w:t>
      </w:r>
    </w:p>
    <w:p w14:paraId="7B6E09F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У циљу реализације Националнe стратегијe за младе, у августу 2015. године донет је Акциони план за спровођење Националне стратегије за младе за период од 2015. до 2017. године („Службени гласник РСˮ, број 70/15). У том акционом плану били су наведени сви носиоци и учесници процеса реализације и дефинисана потребна средства за остварење постављених циљева.</w:t>
      </w:r>
    </w:p>
    <w:p w14:paraId="4780312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Националну стратегију за младе и пратећи акциони план спроводи Министарство омладине и спорта, уз учешће органа надлежних за посебне области у омладинском сектору и свих других субјеката омладинске политике на националном, покрајинском и локалном нивоу.</w:t>
      </w:r>
    </w:p>
    <w:p w14:paraId="1BEA6D7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Национална стратегија за младе дефинише девет стратешких циљева као жељених промењених стања када су у питању млади у областима од интереса за младе. Успешном реализацијом Националнe стратегијe за младе унапредиће се:</w:t>
      </w:r>
    </w:p>
    <w:p w14:paraId="0B769FA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запошљивост и запосленост младих жена и мушкараца;</w:t>
      </w:r>
    </w:p>
    <w:p w14:paraId="60D7F50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квалитет и могућности за стицање квалификација и развој компетенција и иновативности младих;</w:t>
      </w:r>
    </w:p>
    <w:p w14:paraId="57DFF73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активно учешће младих жена и мушкараца у друштву;</w:t>
      </w:r>
    </w:p>
    <w:p w14:paraId="461AF0F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здравље и благостање младих жена и мушкараца;</w:t>
      </w:r>
    </w:p>
    <w:p w14:paraId="129BD9C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услови за развијање безбедносне културе младих;</w:t>
      </w:r>
    </w:p>
    <w:p w14:paraId="7FFD6B4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подршка друштвеном укључивању младих из категорија у ризику од социјалне искључености;</w:t>
      </w:r>
    </w:p>
    <w:p w14:paraId="380A269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мобилност, обим међународне сарадње младих и подршка младим мигрантима;</w:t>
      </w:r>
    </w:p>
    <w:p w14:paraId="7876482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систем информисања младих и знање о младима;</w:t>
      </w:r>
    </w:p>
    <w:p w14:paraId="6CBA612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коришћење и учешће младих у креирању културних садржаја.</w:t>
      </w:r>
    </w:p>
    <w:p w14:paraId="452DC12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Акциони план за спровођење Националне стратегије за младе за период од 2018. до 2020. године (у даљем тексту: Акциони план) прецизира индикаторе који прате: степен реализације активности, период реализације (потребно време за остваривање предвиђених циљева, резултата и активности), ниво реализације (републички, покрајински, локални), носиоце и учеснике процеса реализације и дефинише укупно потребна средства за реализацију.</w:t>
      </w:r>
    </w:p>
    <w:p w14:paraId="0757C0A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Акционим планом утврђују се активности које ће се остваривати у 2018, 2019. и 2020. години. Детаљан план финансирања активности сачињен је за 2018. годину, а за трогодишњи период 2018–2020. године дата је пројекција трошкова. Треба имати у виду да ће према централној пројекцији Народне банке Србије</w:t>
      </w:r>
      <w:r w:rsidRPr="00047897">
        <w:rPr>
          <w:rFonts w:ascii="Arial" w:hAnsi="Arial" w:cs="Arial"/>
          <w:color w:val="000000"/>
          <w:vertAlign w:val="superscript"/>
        </w:rPr>
        <w:t>1</w:t>
      </w:r>
      <w:r w:rsidRPr="00047897">
        <w:rPr>
          <w:rFonts w:ascii="Arial" w:hAnsi="Arial" w:cs="Arial"/>
          <w:color w:val="000000"/>
        </w:rPr>
        <w:t>, међугодишња инфлација наставити да се креће у границама циља (3,0 ± 1,5%) до краја периода пројекције (у наредне две године). То значи да према пројекцији из фебруара 2018. године, пројектована инфлација за 2018. и 2019. годину износи према 3 ± 1,5%, док се за 2020. годину морају пратити пројекције Народне банке Србије и у складу са тим ревидирати буџет Акционог плана.</w:t>
      </w:r>
    </w:p>
    <w:p w14:paraId="4C856A3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lastRenderedPageBreak/>
        <w:t>Акциони план треба да помогне свим органима, институцијама, организацијама и појединцима, као и свим другим заинтересованим субјектима, да реализују циљеве Националнe стратегијe за младе. У складу са тим, у Акционом плану су прецизно утврђене улоге, одговорности носилаца реализације, као и институционални механизми који треба да омогуће постизање жељених резултата и остваривање општих стратешких циљева Националнe стратегијe за младе.</w:t>
      </w:r>
    </w:p>
    <w:p w14:paraId="3549247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За сваки од специфичних циљева у Националној стратегији за младе утврђене су активности, очекивани резултати остваривања предложених активности и индикатори (квантитативни и квалитативни) на основу којих ће се пратити спровођење и мерити постигнути резултати. Свака од активности је прецизно утврђена у погледу рокова, финансирања и праћења реализације и евалуације.</w:t>
      </w:r>
    </w:p>
    <w:p w14:paraId="5207AFB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i/>
          <w:color w:val="000000"/>
        </w:rPr>
        <w:t>––––––––</w:t>
      </w:r>
    </w:p>
    <w:p w14:paraId="0BEC967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i/>
          <w:color w:val="000000"/>
        </w:rPr>
        <w:t>1 http://www.nbs.rs/system/galleries/download/pdf_ioi/ioi_02_2018.pdf</w:t>
      </w:r>
    </w:p>
    <w:p w14:paraId="0E55E3D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Посебно поглавље посвећено је систему праћења и евалуације спровођења предложених активности и садржи механизме, облике и начин извештавања за све предложене активности. Успостављањем оваквог јединственог система биће могуће сагледавање обима, квалитета и ефикасности остваривања предложених активности, специфичних и општих стратешких циљева утврђених у Националној стратегији за младе.</w:t>
      </w:r>
    </w:p>
    <w:p w14:paraId="1011C1CA" w14:textId="77777777" w:rsidR="00047897" w:rsidRPr="00047897" w:rsidRDefault="00047897" w:rsidP="00047897">
      <w:pPr>
        <w:spacing w:after="120"/>
        <w:jc w:val="center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II. ПРОЦЕС ИЗРАДЕ АКЦИОНОГ ПЛАНА</w:t>
      </w:r>
    </w:p>
    <w:p w14:paraId="1444155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У складу са начелима омладинске политике и досадашњом праксом у поступцима припреме прописа и јавних политика, Министарство омладине и спорта уз подршку Немачке међународне сарадње – ГИЗ и Мисије ОЕБС-а у Србији започело је процес израде Акционог плана. У новембру 2017. године, уз подршку ГИЗ-а, ангажован је консултант за израду Акционог плана и хармонизацију текста, а у фебруару 2018. године консултант за израду буџета.</w:t>
      </w:r>
    </w:p>
    <w:p w14:paraId="12F34B8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Процес израде Акционог плана започет је на основу Извештаја о евалуацији степена остварености Акционог плана за спровођење Националне стратегије за младе за период од 2015. до 2017. године, са приказом обрађених резултата истраживања и препорукама за дефинисање конкретних активности у будућем Акционом плану, који је спровео Институт економских наука из Београда. У Извештају је наведено да је Акциони плана за спровођење Националне стратегије за младе у начелу помогао у спровођењу циљева омладинске политике дефинисаних Националном стратегијом за младе за период од 2015. до 2025. године. Посебан допринос реализације тог акционог плана огледа се у три веома значајна сегмента:</w:t>
      </w:r>
    </w:p>
    <w:p w14:paraId="1AA43D6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Акциони план симболизује посвећеност Министарства омладине и спорта у реализацији циљева омладинске политике и представља систематичан документ који као такав представља добар основ реализације и праћења активности у будућем периоду;</w:t>
      </w:r>
    </w:p>
    <w:p w14:paraId="29D3577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Акциони план представља добру основу координације државних органа и свих других заинтересованих институција и појединаца који својим заједничким деловањем доприносе бољој перспективи младих у Републици Србији;</w:t>
      </w:r>
    </w:p>
    <w:p w14:paraId="2BCFC7B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током три године процеса имплемeнтације активности, забележен је значајан помак у појединим областима.</w:t>
      </w:r>
    </w:p>
    <w:p w14:paraId="5D2DED54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У резимеу Извештаја наводи се да је:</w:t>
      </w:r>
    </w:p>
    <w:p w14:paraId="45F6A9A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после три године реализације активности Националне стратегије за младе, евидентно да постојање оваквог оквира реализације активности прави значајну разлику у односу на претпостављено стање његовог изостанка;</w:t>
      </w:r>
    </w:p>
    <w:p w14:paraId="22D721F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унапређење самог процеса реализације активности, ангажовање додатних ресурса у процесу праћења реализације, технолошко унапређење процеса имплементације и отклањање уочених мањкавости техничке природе у значајној мери утицало на квалитет остварених резултата;</w:t>
      </w:r>
    </w:p>
    <w:p w14:paraId="323FDB3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уз унапређења процеса имплементације и праћења реализације активности корисно наставити са постојећом праксом планирања започетом анализираним акционим планом.</w:t>
      </w:r>
    </w:p>
    <w:p w14:paraId="56C909C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У децембру 2017. године Министарство омладине и спорта је у сарадњи са младима и представницима/цама удружења младих и за младе, као и локалних канцеларија за младе, организовао пет консултативних састанака по тематским групама у циљу заједничког осврта на до сада постигнуте резултате дефинисане Националном стратегијом за младе, као и дефинисању предлога приоритета за период до 2020. године.</w:t>
      </w:r>
    </w:p>
    <w:p w14:paraId="7988A70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Консултативни састанци су одржани у Палати Србије, по следећем редоследу и темама: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7469"/>
        <w:gridCol w:w="3213"/>
      </w:tblGrid>
      <w:tr w:rsidR="00047897" w:rsidRPr="00047897" w14:paraId="4B738899" w14:textId="77777777" w:rsidTr="00A87FA9">
        <w:trPr>
          <w:trHeight w:val="90"/>
          <w:tblCellSpacing w:w="0" w:type="auto"/>
        </w:trPr>
        <w:tc>
          <w:tcPr>
            <w:tcW w:w="10542" w:type="dxa"/>
            <w:vAlign w:val="center"/>
          </w:tcPr>
          <w:p w14:paraId="0A7C96EE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21. децембра 2017.</w:t>
            </w:r>
          </w:p>
        </w:tc>
        <w:tc>
          <w:tcPr>
            <w:tcW w:w="3858" w:type="dxa"/>
            <w:vAlign w:val="center"/>
          </w:tcPr>
          <w:p w14:paraId="68B6E4C7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Запошљавање и предузетништво младих</w:t>
            </w:r>
          </w:p>
        </w:tc>
      </w:tr>
      <w:tr w:rsidR="00047897" w:rsidRPr="00047897" w14:paraId="646CA926" w14:textId="77777777" w:rsidTr="00A87FA9">
        <w:trPr>
          <w:trHeight w:val="90"/>
          <w:tblCellSpacing w:w="0" w:type="auto"/>
        </w:trPr>
        <w:tc>
          <w:tcPr>
            <w:tcW w:w="10542" w:type="dxa"/>
            <w:vAlign w:val="center"/>
          </w:tcPr>
          <w:p w14:paraId="2A4C3B69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22. децембра 2017.</w:t>
            </w:r>
          </w:p>
        </w:tc>
        <w:tc>
          <w:tcPr>
            <w:tcW w:w="3858" w:type="dxa"/>
            <w:vAlign w:val="center"/>
          </w:tcPr>
          <w:p w14:paraId="498FFF37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Образовање, васпитање и обука младих</w:t>
            </w:r>
          </w:p>
          <w:p w14:paraId="343EB32E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Активизам и активно учешће младих</w:t>
            </w:r>
          </w:p>
        </w:tc>
      </w:tr>
      <w:tr w:rsidR="00047897" w:rsidRPr="00047897" w14:paraId="409E78F6" w14:textId="77777777" w:rsidTr="00A87FA9">
        <w:trPr>
          <w:trHeight w:val="90"/>
          <w:tblCellSpacing w:w="0" w:type="auto"/>
        </w:trPr>
        <w:tc>
          <w:tcPr>
            <w:tcW w:w="10542" w:type="dxa"/>
            <w:vAlign w:val="center"/>
          </w:tcPr>
          <w:p w14:paraId="37A214E9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26. децембра 2017.</w:t>
            </w:r>
          </w:p>
        </w:tc>
        <w:tc>
          <w:tcPr>
            <w:tcW w:w="3858" w:type="dxa"/>
            <w:vAlign w:val="center"/>
          </w:tcPr>
          <w:p w14:paraId="6008FD05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Здравље и благостање младих</w:t>
            </w:r>
          </w:p>
          <w:p w14:paraId="53DF8281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Безбедност младих</w:t>
            </w:r>
          </w:p>
        </w:tc>
      </w:tr>
      <w:tr w:rsidR="00047897" w:rsidRPr="00047897" w14:paraId="631DE31D" w14:textId="77777777" w:rsidTr="00A87FA9">
        <w:trPr>
          <w:trHeight w:val="90"/>
          <w:tblCellSpacing w:w="0" w:type="auto"/>
        </w:trPr>
        <w:tc>
          <w:tcPr>
            <w:tcW w:w="10542" w:type="dxa"/>
            <w:vAlign w:val="center"/>
          </w:tcPr>
          <w:p w14:paraId="1A935700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27. децембра 2017.</w:t>
            </w:r>
          </w:p>
        </w:tc>
        <w:tc>
          <w:tcPr>
            <w:tcW w:w="3858" w:type="dxa"/>
            <w:vAlign w:val="center"/>
          </w:tcPr>
          <w:p w14:paraId="217D687A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Социјална укљученост младих</w:t>
            </w:r>
          </w:p>
        </w:tc>
      </w:tr>
      <w:tr w:rsidR="00047897" w:rsidRPr="00047897" w14:paraId="135547C2" w14:textId="77777777" w:rsidTr="00A87FA9">
        <w:trPr>
          <w:trHeight w:val="90"/>
          <w:tblCellSpacing w:w="0" w:type="auto"/>
        </w:trPr>
        <w:tc>
          <w:tcPr>
            <w:tcW w:w="10542" w:type="dxa"/>
            <w:vAlign w:val="center"/>
          </w:tcPr>
          <w:p w14:paraId="0C9EC4BA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27. децембар 2017.</w:t>
            </w:r>
          </w:p>
        </w:tc>
        <w:tc>
          <w:tcPr>
            <w:tcW w:w="3858" w:type="dxa"/>
            <w:vAlign w:val="center"/>
          </w:tcPr>
          <w:p w14:paraId="41EDCA58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Мобилност младих</w:t>
            </w:r>
          </w:p>
          <w:p w14:paraId="5A786357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Информисање младих</w:t>
            </w:r>
          </w:p>
          <w:p w14:paraId="5787E47C" w14:textId="77777777" w:rsidR="00047897" w:rsidRPr="00047897" w:rsidRDefault="00047897" w:rsidP="00A87FA9">
            <w:pPr>
              <w:spacing w:after="150"/>
              <w:rPr>
                <w:rFonts w:ascii="Arial" w:hAnsi="Arial" w:cs="Arial"/>
              </w:rPr>
            </w:pPr>
            <w:r w:rsidRPr="00047897">
              <w:rPr>
                <w:rFonts w:ascii="Arial" w:hAnsi="Arial" w:cs="Arial"/>
                <w:color w:val="000000"/>
              </w:rPr>
              <w:t>Култура и креативност младих</w:t>
            </w:r>
          </w:p>
        </w:tc>
      </w:tr>
    </w:tbl>
    <w:p w14:paraId="49AEA7B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На консултативним састанцима је учествовао 81 учесник из удружења младих и за младе и канцеларија за младе.</w:t>
      </w:r>
    </w:p>
    <w:p w14:paraId="4C658AFF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Резиме одржаних састанака је:</w:t>
      </w:r>
    </w:p>
    <w:p w14:paraId="6E923F3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информације добијене од учесника консултативних састанака током дискусије како у првом тако и у другом делу, доприносе бољем дефинисању индикатора и приоритета у будућем Акционом плану;</w:t>
      </w:r>
    </w:p>
    <w:p w14:paraId="7B8FEE0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препоруке учесника за дефинисање индикатора у неким областима су на квалитетан начин усмериле дефинисање и приоритизацију појединих активности;</w:t>
      </w:r>
    </w:p>
    <w:p w14:paraId="5BAA921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учесници су током првог дела отворено причали о изазовима са којима се сусрећу у реализацији својих активности, а који су у директној вези са Националном стратегијом за младе;</w:t>
      </w:r>
    </w:p>
    <w:p w14:paraId="39B2CA8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у оквиру области запошљавања предложено је да се индикатори у наредном Акционом плану дефинишу на начин који ће упућивати на достојан посао који је објашњен као посао у складу са личним аспирацијама, нивоом образовања, могућношћу остваривања права на социјалну и здравствену заштиту итд.;</w:t>
      </w:r>
    </w:p>
    <w:p w14:paraId="1B107EE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у оквиру области запошљавања скренута пажња на немогућност праћења и мерења сегмента социјалног предузетништва с обзиром на чињеницу да Закон о социјалном предузетништву још увек није донет, као и да појмовно значење и сам концепт социјалног предузетништва и даље нису довољно јасни и разумљиви;</w:t>
      </w:r>
    </w:p>
    <w:p w14:paraId="62E11FEF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у оквиру области образовања предложено је да се индикатори у будућем Акционом плану дефинишу на начин који ће омогућити мониторинг и евалуацију одрживости и континуитета програма и пројеката у области образовања;</w:t>
      </w:r>
    </w:p>
    <w:p w14:paraId="7193009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у оквиру области образовања истакнуто је да међу приоритетним активностима у наредном Акционом плану треба да се нађу оне које ће допринети признавању компетенција младих стечених изван система формалног образовања, односно афирмисању система неформалног и информалног образовања;</w:t>
      </w:r>
    </w:p>
    <w:p w14:paraId="2F8BA3B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препоруке су да се индикатори у свим стратешким областима дефинишу тако да укључе младе из осетљивих група како би се допринело заговарању инклузивне омладинске политике, а не омладинске политике која ће пружати услуге младима у ризику од социјалне искључености;</w:t>
      </w:r>
    </w:p>
    <w:p w14:paraId="1B144FC4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препорука је да индикатори у оквиру свих стратешких области буду родно осетљиви;</w:t>
      </w:r>
    </w:p>
    <w:p w14:paraId="7544D31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препорука је да акценат мора бити на образовању младих за адекватно коришћење нових технологија и интернета (знање о могућностима коришћења интернета у различите сврхе, знање и развој свести о безбедносним ризицима итд.);</w:t>
      </w:r>
    </w:p>
    <w:p w14:paraId="6C62FEB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– учесници су у групама разматрали и формулисали препоруке за приоритете рада и дефинисање индикатора.</w:t>
      </w:r>
    </w:p>
    <w:p w14:paraId="2CD342FF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Процес израде подразумевао је и директне састанке са релевантним институцијама и организацијама које спроводе омладинску политику. Сет дубинских интервјуа одржан је са релевантним националним организацијама и међународним и домаћим донаторима. Чланови Радне групе за праћење и спровођење Националне стратегије за младе дали су предлоге активности са аспекта надлежности органа из којих су делегирани.</w:t>
      </w:r>
    </w:p>
    <w:p w14:paraId="3FBDFC3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Ради бољег и успешнијег дефинисања задатих индикатора и приоритетних активности, а у складу са Смерницама за укључивање организација цивилног друштва у процес доношења прописа, које је утврдила Владе, 26. августа 2014. године („Службени гласник РС”, број 90/14) укључена су три релевантна савеза/удружења омладинске политике: Кровна организација младих Србије, Национална асоцијација практичара/ки омладинског рада и Национална асоцијација канцеларија за младе. Одржано је шест састанака представника удружења са представницима Министарства омладине и спорта.</w:t>
      </w:r>
    </w:p>
    <w:p w14:paraId="7682949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Јавне консултације о Нацрту акционог плана, започеле су 5. јула 2018. године објавом Позива, Нацрта акционог плана и Обрасца за давање предлога за унапређивање текста, на званичној интернет презентацији Министарства омладине и спорта, на порталу еУправе и доставом члановима Савета за младе, члановима Радне групе за праћење и спровођење Националне стратегије за младе, свим јединицама локалне самоуправе које имају канцеларију за младе (135), свим удружењима уписаним у Јединствену евиденцију удружења младих, удружења за младе и њихових савеза коју води Министарство омладине и спорта (1.427) и донаторима.</w:t>
      </w:r>
    </w:p>
    <w:p w14:paraId="0A8A417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Поред јавног позивања, Кaнцeлaриja зa сaрaдњу сa цивилним друштвoм и Кровна организација младих Србије су својим расположивим каналима комуникације (друштвене мреже, сајт) проследиле позив и другим организацијама цивилног друштва, пружајући додатну подршку у циљу потпуног обухвата свих потенцијалних учесника.</w:t>
      </w:r>
    </w:p>
    <w:p w14:paraId="74FD398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Током јавних консултација све примедбе и предлози били су у правцу унапређења текста Акционог плана и истицања неопходности међусекторске сарадње будући да су питања омладине у надлежности неколико државних органа и институција.</w:t>
      </w:r>
    </w:p>
    <w:p w14:paraId="3194FA1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Све примедбе, иницијативе, предлози и сугестије учесника јавних консултација, пажљиво су анализиране, а оне које су били усмерени на побољшање текста Акционог плана и које су се односили на активности, индикаторе реализације активности, период реализације, ниво реализације, носиоце и учеснике реализације и средства за реализацију, унети су у текст.</w:t>
      </w:r>
    </w:p>
    <w:p w14:paraId="3B4A01C4" w14:textId="77777777" w:rsidR="00047897" w:rsidRPr="00047897" w:rsidRDefault="00047897" w:rsidP="00047897">
      <w:pPr>
        <w:spacing w:after="120"/>
        <w:jc w:val="center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III. МЕХАНИЗАМ ПРАЋЕЊА, ЕВАЛУАЦИЈА И ИЗВЕШТАВАЊЕ</w:t>
      </w:r>
    </w:p>
    <w:p w14:paraId="2132A0C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Основ за праћење спровођења активности и достизања планираних резултата и специфичних циљева јесте скуп индикатора који су утврђени на нивоу резултата сваког специфичног циља, као и на нивоу резултата сваке појединачне активности. Одговорност за успостављање целовитог и свеобухватног система праћења је на Министарству омладине и спорта.</w:t>
      </w:r>
    </w:p>
    <w:p w14:paraId="2E4E032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Значајну улогу у процесу праћења и прикупљања података имају канцеларије за младе, као и друге институције и удружења која спроводе омладинске активности. Ресорна министарства, државне организације и институције одговорни су за постизање резултата и праћење активности за чије носиоце су утврђени Националном стратегијом за младе и Акционим планом. Аутономна покрајина и јединица локалне самоуправе достављају на захтев Министарству омладине и спорта, а најмање једном годишње извештај о спровођењу Акционог плана на својој територији, у складу са Законом о младима. За успешно остваривање праћења неопходно је укључивање и свих осталих партнера ‒ ресорних министарстава, институција, организација и удружења. Поред тога, одређени број међународних организација ће бити укључен у процес праћења.</w:t>
      </w:r>
    </w:p>
    <w:p w14:paraId="01DCA0E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Прикупљени и обрађени подаци у процесу израде Акционог плана, као и Извештај о евалуацији степена остварености Акционог плана за спровођење Националне стратегије за младе за период од 2015. до 2017. године, са приказом обрађених резултата истраживања и препорукама за дефинисање конкретних активности у будућем Акционом плану, који је урадио Институт економских наука из Београда, послужили су као основ за утврђивање и постављање сета индикатора. Праћење ће се реализовати у редовним временским интервалима (месечно, квартално и годишње) у зависности од врсте активности, као и постављених рокова за њихово спровођење. Евалуација ће се спроводити редовно, једном годишње, и користиће се различити извори података на основу утврђених индикатора. У зависности од врсте индикатора, процењује се степен извршења, ефекти остварења, као и институционалне и законодавне промене. Сврха евалуације је да се објективно вреднују све фазе и аспекти спровођења Националне стратегије за младе и Акционог плана: успешност остваривања активности, ефективност достизања стратешких и специфичних циљева и очекиваних резултата, као и утицај који су они имали на младе, али и на шире друштвене токове.</w:t>
      </w:r>
    </w:p>
    <w:p w14:paraId="08148ED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Приликом процеса израде наредних акционих планова, потребно је спровести екстерну евалуацију остварења претходног Акционог плана и Националне стратегије за младе. Поред података објављених од органа надлежних за послове статистике, податке прикупљају, кроз систем праћења и извештавања и организације, институције и ресорна министарства која реализују Националну стратегију за младе и Акциони план. Такође, треба подржати развој алтернативних мрежа (други извори) за прикупљање података, као и успостављање евиденција и умрежавање извора података доступних на локалном нивоу.</w:t>
      </w:r>
    </w:p>
    <w:p w14:paraId="17B7887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За редовну годишњу евалуацију надлежни су Министарство омладине и спорта, Радна група за спровођење Националне стратегије за младе коју образује Влада и Савет за младе. Ресорна министарства учествују у припреми извештаја за Владу. За извештавање о напретку у спровођењу Националне стратегије за младе институционално је надлежан Министарство омладине и спорта и Савет за младе. Извештаји о напретку припремају се једном годишње и засновани су на индикаторима. Годишњи извештај о напретку у спровођењу Националне стратегије за младе подноси се Влади. Извештај је јаван и путем публиковања и објављивања на званичној интернет страници Министарства омладине и спорта биће доступан широј јавности. Министарство омладине и спорта из свог буџета издваја средства за годишњу евалуацију.</w:t>
      </w:r>
    </w:p>
    <w:p w14:paraId="76FA67CD" w14:textId="77777777" w:rsidR="00047897" w:rsidRPr="00047897" w:rsidRDefault="00047897" w:rsidP="00047897">
      <w:pPr>
        <w:spacing w:after="120"/>
        <w:jc w:val="center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IV. ПРОЦЕС И МЕТОДОЛОГИЈА ИЗРАДЕ БУЏЕТА</w:t>
      </w:r>
    </w:p>
    <w:p w14:paraId="7F6D11B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Буџет је основна компонента планирања, реализације и мониторинга Акционог плана. Буџет представља план прихода и трошкова и заснован је на активностима унутар сваког резултата и стратешког циља Акционог плана. Буџет је креиран са намером да се пружи јасан, концизан и кохерентан финансијски оквир за остварење циљева и задатака Националне стратегије за младе. Процес буџетирања организован је на структурисан начин, уз укључивање главних актера. Планирање буџета узело је у обзир циљеве и задатке Националне стратегије за младе, планиране активности, процену потребних средстава и потенцијалне изворе финансирања.</w:t>
      </w:r>
    </w:p>
    <w:p w14:paraId="164E0489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Укупна средства планирана за период од три године (2018–2020.) износе 15.201.435.707 РСД, при чему 13.006.081.057 РСД чине буџетска средства, а 2.195.354.650 РСД средства из осталих извора.</w:t>
      </w:r>
    </w:p>
    <w:p w14:paraId="4A10A7E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Средства за реализацију Националне стратегије за младе обезбеђују се у буџету Републике Србије, као и у буџету аутономне покрајине и јединице локалне самоуправе и из других извора у складу са позитивним законским прописима, уз планиран допринос ИПА</w:t>
      </w:r>
      <w:r w:rsidRPr="00047897">
        <w:rPr>
          <w:rFonts w:ascii="Arial" w:hAnsi="Arial" w:cs="Arial"/>
          <w:color w:val="000000"/>
          <w:vertAlign w:val="superscript"/>
        </w:rPr>
        <w:t>2</w:t>
      </w:r>
      <w:r w:rsidRPr="00047897">
        <w:rPr>
          <w:rFonts w:ascii="Arial" w:hAnsi="Arial" w:cs="Arial"/>
          <w:color w:val="000000"/>
        </w:rPr>
        <w:t xml:space="preserve"> фондова Европске уније, учешће приватног сектора, удружења која спроводе омладинске активности и других националних и међународних програма и донатора. У складу са Националном стратегијом за младе, аутономна покрајина и јединица локалне самоуправе утврђују акционе планове за спровођење Националне стратегије за младе на својој територији и у свом буџету обезбеђују средства за реализацију тих планова.</w:t>
      </w:r>
    </w:p>
    <w:p w14:paraId="7C06223B" w14:textId="77777777" w:rsidR="00047897" w:rsidRPr="00047897" w:rsidRDefault="00047897" w:rsidP="00047897">
      <w:pPr>
        <w:spacing w:after="120"/>
        <w:jc w:val="center"/>
        <w:rPr>
          <w:rFonts w:ascii="Arial" w:hAnsi="Arial" w:cs="Arial"/>
        </w:rPr>
      </w:pPr>
      <w:r w:rsidRPr="00047897">
        <w:rPr>
          <w:rFonts w:ascii="Arial" w:hAnsi="Arial" w:cs="Arial"/>
          <w:b/>
          <w:color w:val="000000"/>
        </w:rPr>
        <w:t>4.1. Методологија израде буџета</w:t>
      </w:r>
    </w:p>
    <w:p w14:paraId="125C1F0F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Буџет је развијен на основу детаљног плана активности са јасно развијеним индикаторима. Иницијално су дата детаљна образложења за сваки износ, што је обезбедило јасне информације о траженим ресурсима по активностима. Током низа консултативних састанака дефинисана су потребна средства за реализацију активности. Након тога спроведено је усклађивање од стране Министарства омладине и спорта, као и других релевантних институција имајући у виду планирани буџет за 2018. годину, као и пројекције до 2020. године.</w:t>
      </w:r>
    </w:p>
    <w:p w14:paraId="73202C0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Буџет показује да су предвиђени приходи исти као и предвиђени трошкови. Подељен је на два основна дела: детаљан план средстава потребних за имплементацију Акционог плана у 2018. години и пројекцију средства неопходних за имплементацију Акционог плана у периоду од три године (2018–2020.). Ове две секције су даљe подељене у три подсекције, у зависности од извора прихода: Укупно, буџетска средства и остали извори.</w:t>
      </w:r>
    </w:p>
    <w:p w14:paraId="344627D7" w14:textId="77777777" w:rsidR="00047897" w:rsidRPr="00047897" w:rsidRDefault="00047897" w:rsidP="00047897">
      <w:pPr>
        <w:spacing w:after="120"/>
        <w:jc w:val="center"/>
        <w:rPr>
          <w:rFonts w:ascii="Arial" w:hAnsi="Arial" w:cs="Arial"/>
        </w:rPr>
      </w:pPr>
      <w:r w:rsidRPr="00047897">
        <w:rPr>
          <w:rFonts w:ascii="Arial" w:hAnsi="Arial" w:cs="Arial"/>
          <w:b/>
          <w:color w:val="000000"/>
        </w:rPr>
        <w:t>4.2. Осврт на буџет Акционог плана за 2018. годину</w:t>
      </w:r>
    </w:p>
    <w:p w14:paraId="0273438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Укупан буџет за 2018. годину је планиран у износу од 4.937.251.497 РСД, при чему 4.346.149.742 РСД чине буџетска средства, а 591.101.750 РСД средства из осталих извора и одражава стрaтешки приоритет Владе да подржи запошљавање и предузетништво међу младима, тако да је највећи део средстава опредељен у те сврхе.</w:t>
      </w:r>
    </w:p>
    <w:p w14:paraId="1AF2D63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Буџет за 2018. годину исказан на програмски начин, по носиоцима и буџетским позицијама је следећи:</w:t>
      </w:r>
    </w:p>
    <w:p w14:paraId="7110774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1. Министарство омладине и спорта је определило средства у укупном износу од 1.065.721.000 РСД (Раздео 31, Глава 31.0, Програм 1302, Функција 810, Програмска активност/пројекат 0002, Економска класификација 463 у износу од 28.000.000 РСД; Раздео 31, Глава 31.0, Програм 1302, Функција 810, Програмска активност/пројекат 0004, Економска класификација 423 у износу од 1.340.000 РСД, Економска класификација 424 у износу од 3.600.000 РСД и Економска класификација  481 у износу од</w:t>
      </w:r>
    </w:p>
    <w:p w14:paraId="1FBC252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i/>
          <w:color w:val="000000"/>
        </w:rPr>
        <w:t>––––––––</w:t>
      </w:r>
    </w:p>
    <w:p w14:paraId="0FEAEF1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i/>
          <w:color w:val="000000"/>
        </w:rPr>
        <w:t>2 ИПА – Инструмент за претприступну помоћ (Instrument for Pre-Accession Assistance).</w:t>
      </w:r>
    </w:p>
    <w:p w14:paraId="42E3F51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20.000.000 РСД; Раздео 31, Глава 31.0, Програм 1302, Функција 810, Програмска активност/пројекат 0005, Економска класификација 481 у износу од 68.000.000 РСД; Раздео 31, Глава 31.0, Програм 1302, Функција 810, Програмска активност/пројекат 0006, Економска класификација 463 у износу од 15.000.000 РСД и Економска класификација  481 у износу од 80.000.000 РСД; Раздео 31, Глава 31.0, Програм 1302, Функција 810, Програмска активност/пројекат 0007, Економска класификација 481 у износу од 2.000.000 РСД; Раздео 31, Глава 31.0, Програм 1302, Функција 810, Програмска активност/пројекат 7051, Економска класификација 481 у износу од 30.000.000 РСД; Раздео 31, Глава 31.4, Програм 1302, Функција 980, Програмска активност/пројекат 0003, Економска класификација 421 у износу од 20.000 РСД, Економска класификација 422 у износу од 50.000 РСД, Економска класификација  423 у износу од 17.450.000 РСД и  Eкономска класификација 472 у износу од 800.261.000 РСД);</w:t>
      </w:r>
    </w:p>
    <w:p w14:paraId="3E3F419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2. Министарство културе и информисања је определило средства у укупном износу од 21.000.000 РСД (Раздео 29, Глава 29.0, Програм 1204, Функција 820, Програмска активност/пројекат 0001, Економска класификација 424 у износу од 4.000.000 РСД и Економска класификација 481 у износу од 5.000.000 РСД; Раздео 29, Глава 29.0, Програм 1203, Функција 820, Програмска активност/пројекат 0006, Економска класификација 424 у износу од 1.000.000 РСД, Економска класификација 463 у износу од 4.000.000 РСД и Економска класификација 481 у износу од 7.000.000 РСД);</w:t>
      </w:r>
    </w:p>
    <w:p w14:paraId="1BC4E2F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3. Министарство трговине, туризма и телекомуникација је определило средства у укупном износу од 103.000.000 РСД (Раздео 32, Глава 32.0, Програм 0703, Функција 460, Програмска активност/пројекат 0008, Економска класификација 423 у износу од 8.000.000 РСД, Раздео 32, Глава 32.1, Програм 0703, Функција 460, Програмска активност/пројекат 0010, Економска класификација 424 у износу од 70.000.000 РСД; Раздео 32, Глава 32.0, Програм 0703, Функција 460, Програмска активност/пројекат 0006, Економска класификација 481 у износу од 25.000.000 РСД);</w:t>
      </w:r>
    </w:p>
    <w:p w14:paraId="6B445A79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4. Министарство пољопривреде, шумарства и водопривреде је определило средства у укупном износу од 200.000.000 РСД (Раздео 24, Глава 24.10, Програм 0103, Функција 420, Програмска активност/пројекат 0002, Економска класификација 451);</w:t>
      </w:r>
    </w:p>
    <w:p w14:paraId="384FC30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5. Министарство привреде је определило средства у укупном износу од 289.428.742 РСД (Раздео 21, Глава 21.0, Програм 1509, Функција 410, Програмска активност/пројекат 4004, Економска класификација 481 у износу од 10.000.000 РСД, Раздео 21, Глава 21.0, Програм 1509, Функција 410, Програмска активност/пројекат 4003, Економска класификација 424 у износу од 20.000.000 РСД увећано за 9.428.741,62 динара, преосталих средстава по истом програму из 2017. године; Раздео 21, Глава 21.0, Програм 1509, Функција 410, Програмска активност/пројекат 4002, Економска класификација 451 у износу од 250.000.000 РСД);</w:t>
      </w:r>
    </w:p>
    <w:p w14:paraId="66F8B854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6. Канцеларија за људска и мањинска права је определила средства у укупном износу од 2.000.000 РСД (Раздео 3, Глава 3.19, Програм 1001, Функција 160, Програмска активност/ пројекат 0007, Економска класификација 481 у износу од 1.000.0000 РСД; Раздео 3, Глава 3.19, Програм 1001, Функција 110, Програмска активност/пројекат 0006, Економска класификација 481 износ од 1.000.000 РСД);</w:t>
      </w:r>
    </w:p>
    <w:p w14:paraId="6EC46CD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7. Министарство заштите животне средине је определило средства у укупном износу од 8.500.000 РСД, у оквиру Зеленог фонда Републике Србије (Раздео 25, Глава 25.2, Програм 0404, Функција 560, Програмска активност/пројекат 0012, Економска класификација 481);</w:t>
      </w:r>
    </w:p>
    <w:p w14:paraId="00907DC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8. У оквиру Финансијског плана Националне службе за запошљавање (из средстава доприноса за случај незапослености) у 2018. години опредељена су средства за реализацију свих мера Акционог плана за запошљавање у укупном износу од 3.650.000.000 динара. Исто тако, у Финансијском плану Националне службе за запошљавање, у оквиру Буџетског фонда за професионалну рехабилитацију и подстицање запошљавања особа са инвалидитетом у 2018. години алоциран је износ од 550.000.000 динара за мере активне политике запошљавања усмерених ка особама са инвалидитетом. Процена је да се 45% ових средстава односи на младе, односно 1.882.500.000 РСД. У финансијском плану Националне службе за запошљавање планирана су и средства у износу од 750.000.000 динара за реализацију мера активне политике запошљавања предвиђених локалним акционим плановима запошљавања која се обезбеђују из буџета Аутономне покрајине и јединице локалне самоуправе. Сходно наведеном укупан износ опредељених средстава Националне службе за запошљавање износи 2.632.500.000 РСД.</w:t>
      </w:r>
    </w:p>
    <w:p w14:paraId="4234FC2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9. Покрајински секретаријат за спорт и омладину је определио средстава у укупном износу од 24.000.000 РСД (Раздео 15, Глава 1500, Програм 1302, Функција 810, Програмска активност 1001, Економска класификација 463 у износу од 3.000.000 РСД, Економска класификација 481 у износу од 12.000.000 РСД; Раздео 15, Глава 1500, Програм 1302, Функција 810 Програмска активност 1002, Економска класификација 463 у износу од 8.000.000; Раздео 15, Глава 1500, Програм 1303, Функција 810, Програмска активност 1003, Економска класификација 463 у износу од 1.000.000 РСД).</w:t>
      </w:r>
    </w:p>
    <w:p w14:paraId="05BA300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2A5435A4" wp14:editId="7B9A9803">
            <wp:extent cx="5732145" cy="4072442"/>
            <wp:effectExtent l="0" t="0" r="0" b="0"/>
            <wp:docPr id="2051519635" name="Picture 2051519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0280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4C69735" wp14:editId="01A3D0A8">
            <wp:extent cx="5732145" cy="4072442"/>
            <wp:effectExtent l="0" t="0" r="0" b="0"/>
            <wp:docPr id="1948940774" name="Picture 1948940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D291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04886F03" wp14:editId="01177F7E">
            <wp:extent cx="5732145" cy="4072442"/>
            <wp:effectExtent l="0" t="0" r="0" b="0"/>
            <wp:docPr id="750983867" name="Picture 750983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EB4FF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D82A2A0" wp14:editId="17A5C83F">
            <wp:extent cx="5732145" cy="4072442"/>
            <wp:effectExtent l="0" t="0" r="0" b="0"/>
            <wp:docPr id="1278934611" name="Picture 1278934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2595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DFFC6AB" wp14:editId="68756749">
            <wp:extent cx="5732145" cy="4072442"/>
            <wp:effectExtent l="0" t="0" r="0" b="0"/>
            <wp:docPr id="617714657" name="Picture 617714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AACCF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B083B33" wp14:editId="05D41203">
            <wp:extent cx="5732145" cy="4072442"/>
            <wp:effectExtent l="0" t="0" r="0" b="0"/>
            <wp:docPr id="1822865338" name="Picture 1822865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4563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33C3A195" wp14:editId="731A9636">
            <wp:extent cx="5732145" cy="4072442"/>
            <wp:effectExtent l="0" t="0" r="0" b="0"/>
            <wp:docPr id="419598460" name="Picture 419598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D689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5E018196" wp14:editId="7AD54DF3">
            <wp:extent cx="5732145" cy="4072442"/>
            <wp:effectExtent l="0" t="0" r="0" b="0"/>
            <wp:docPr id="86069486" name="Picture 86069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1F0B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641C6A25" wp14:editId="31210BD9">
            <wp:extent cx="5732145" cy="4072442"/>
            <wp:effectExtent l="0" t="0" r="0" b="0"/>
            <wp:docPr id="244789146" name="Picture 244789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CC5D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5BD047B7" wp14:editId="605C270C">
            <wp:extent cx="5732145" cy="4072442"/>
            <wp:effectExtent l="0" t="0" r="0" b="0"/>
            <wp:docPr id="462313272" name="Picture 462313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DD04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A52E2F5" wp14:editId="68D9A48C">
            <wp:extent cx="5732145" cy="4072442"/>
            <wp:effectExtent l="0" t="0" r="0" b="0"/>
            <wp:docPr id="1230123085" name="Picture 1230123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ADB4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008A7D02" wp14:editId="5BEA69A7">
            <wp:extent cx="5732145" cy="4072442"/>
            <wp:effectExtent l="0" t="0" r="0" b="0"/>
            <wp:docPr id="140876888" name="Picture 140876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A025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AE400CA" wp14:editId="27FF1183">
            <wp:extent cx="5732145" cy="4072442"/>
            <wp:effectExtent l="0" t="0" r="0" b="0"/>
            <wp:docPr id="1794357728" name="Picture 1794357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8802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F4F970B" wp14:editId="2B6273A3">
            <wp:extent cx="5732145" cy="4072442"/>
            <wp:effectExtent l="0" t="0" r="0" b="0"/>
            <wp:docPr id="1161001625" name="Picture 116100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902A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AFB0AC1" wp14:editId="0BD88674">
            <wp:extent cx="5732145" cy="4072442"/>
            <wp:effectExtent l="0" t="0" r="0" b="0"/>
            <wp:docPr id="216569833" name="Picture 216569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79A2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0CAAB8D5" wp14:editId="0C8168B2">
            <wp:extent cx="5732145" cy="4072442"/>
            <wp:effectExtent l="0" t="0" r="0" b="0"/>
            <wp:docPr id="1162377141" name="Picture 116237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0DFB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5B9A39AC" wp14:editId="46A3607D">
            <wp:extent cx="5732145" cy="4072442"/>
            <wp:effectExtent l="0" t="0" r="0" b="0"/>
            <wp:docPr id="387949959" name="Picture 387949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2853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04B96F8F" wp14:editId="58F973C0">
            <wp:extent cx="5732145" cy="4072442"/>
            <wp:effectExtent l="0" t="0" r="0" b="0"/>
            <wp:docPr id="533504848" name="Picture 533504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E12E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4DA6C6E" wp14:editId="7A7EB670">
            <wp:extent cx="5732145" cy="4072442"/>
            <wp:effectExtent l="0" t="0" r="0" b="0"/>
            <wp:docPr id="1352975600" name="Picture 1352975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82C6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6A29D7E7" wp14:editId="624CA470">
            <wp:extent cx="5732145" cy="4072442"/>
            <wp:effectExtent l="0" t="0" r="0" b="0"/>
            <wp:docPr id="510444157" name="Picture 510444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BD79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314D4FA1" wp14:editId="7DF49F63">
            <wp:extent cx="5732145" cy="4072442"/>
            <wp:effectExtent l="0" t="0" r="0" b="0"/>
            <wp:docPr id="291015649" name="Picture 291015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9840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2C93993E" wp14:editId="356AB82A">
            <wp:extent cx="5732145" cy="4072442"/>
            <wp:effectExtent l="0" t="0" r="0" b="0"/>
            <wp:docPr id="2059758245" name="Picture 2059758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BF7A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5A27F886" wp14:editId="4A7621A4">
            <wp:extent cx="5732145" cy="4072442"/>
            <wp:effectExtent l="0" t="0" r="0" b="0"/>
            <wp:docPr id="1039764857" name="Picture 1039764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7E714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30F57F2C" wp14:editId="551C98B8">
            <wp:extent cx="5732145" cy="4072442"/>
            <wp:effectExtent l="0" t="0" r="0" b="0"/>
            <wp:docPr id="1092160094" name="Picture 109216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8D35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51BAD99" wp14:editId="51DFAFDB">
            <wp:extent cx="5732145" cy="4072442"/>
            <wp:effectExtent l="0" t="0" r="0" b="0"/>
            <wp:docPr id="2076654475" name="Picture 2076654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F976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0D6A4645" wp14:editId="41167326">
            <wp:extent cx="5732145" cy="4072442"/>
            <wp:effectExtent l="0" t="0" r="0" b="0"/>
            <wp:docPr id="132003501" name="Picture 132003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F2C9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154C477B" wp14:editId="2A5F08E2">
            <wp:extent cx="5732145" cy="4072442"/>
            <wp:effectExtent l="0" t="0" r="0" b="0"/>
            <wp:docPr id="1120896955" name="Picture 1120896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FAC1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1AE49FB8" wp14:editId="4FD0129C">
            <wp:extent cx="5732145" cy="4072442"/>
            <wp:effectExtent l="0" t="0" r="0" b="0"/>
            <wp:docPr id="418258466" name="Picture 418258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8CA7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C66D06C" wp14:editId="0F56B2B4">
            <wp:extent cx="5732145" cy="4072442"/>
            <wp:effectExtent l="0" t="0" r="0" b="0"/>
            <wp:docPr id="255258948" name="Picture 255258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CEDB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0C12536C" wp14:editId="36171A45">
            <wp:extent cx="5732145" cy="4072442"/>
            <wp:effectExtent l="0" t="0" r="0" b="0"/>
            <wp:docPr id="1595275310" name="Picture 1595275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9145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2F57A036" wp14:editId="4FA9F49C">
            <wp:extent cx="5732145" cy="4072442"/>
            <wp:effectExtent l="0" t="0" r="0" b="0"/>
            <wp:docPr id="2046885997" name="Picture 2046885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E660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619D8F7" wp14:editId="68A562D4">
            <wp:extent cx="5732145" cy="4072442"/>
            <wp:effectExtent l="0" t="0" r="0" b="0"/>
            <wp:docPr id="1134056290" name="Picture 1134056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C464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2BCD5CD2" wp14:editId="006EBD29">
            <wp:extent cx="5732145" cy="4072442"/>
            <wp:effectExtent l="0" t="0" r="0" b="0"/>
            <wp:docPr id="842735484" name="Picture 842735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FD1D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335B6B58" wp14:editId="5531D135">
            <wp:extent cx="5732145" cy="4072442"/>
            <wp:effectExtent l="0" t="0" r="0" b="0"/>
            <wp:docPr id="276764340" name="Picture 27676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17DE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333B31B" wp14:editId="216B1B08">
            <wp:extent cx="5732145" cy="4072442"/>
            <wp:effectExtent l="0" t="0" r="0" b="0"/>
            <wp:docPr id="1988663618" name="Picture 1988663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87A49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24F8BE13" wp14:editId="75A0B345">
            <wp:extent cx="5732145" cy="4072442"/>
            <wp:effectExtent l="0" t="0" r="0" b="0"/>
            <wp:docPr id="781435980" name="Picture 781435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81B29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310A4C23" wp14:editId="7317AE1B">
            <wp:extent cx="5732145" cy="4072442"/>
            <wp:effectExtent l="0" t="0" r="0" b="0"/>
            <wp:docPr id="1477492965" name="Picture 1477492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6C92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6E7F4861" wp14:editId="240893C5">
            <wp:extent cx="5732145" cy="4072442"/>
            <wp:effectExtent l="0" t="0" r="0" b="0"/>
            <wp:docPr id="1065496126" name="Picture 1065496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01ED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819C102" wp14:editId="0F0E5EC5">
            <wp:extent cx="5732145" cy="4072442"/>
            <wp:effectExtent l="0" t="0" r="0" b="0"/>
            <wp:docPr id="1094708029" name="Picture 1094708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CA62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3556548E" wp14:editId="4BF68CC6">
            <wp:extent cx="5732145" cy="4072442"/>
            <wp:effectExtent l="0" t="0" r="0" b="0"/>
            <wp:docPr id="633255028" name="Picture 633255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F0F6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C8362D1" wp14:editId="6772D26D">
            <wp:extent cx="5732145" cy="4072442"/>
            <wp:effectExtent l="0" t="0" r="0" b="0"/>
            <wp:docPr id="1653327797" name="Picture 1653327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ED3D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3AFF8C05" wp14:editId="78AB6F49">
            <wp:extent cx="5732145" cy="4072442"/>
            <wp:effectExtent l="0" t="0" r="0" b="0"/>
            <wp:docPr id="481809751" name="Picture 481809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278E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63D92AB2" wp14:editId="1D47CD27">
            <wp:extent cx="5732145" cy="4072442"/>
            <wp:effectExtent l="0" t="0" r="0" b="0"/>
            <wp:docPr id="1499425207" name="Picture 1499425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5624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66960684" wp14:editId="2484DC62">
            <wp:extent cx="5732145" cy="4072442"/>
            <wp:effectExtent l="0" t="0" r="0" b="0"/>
            <wp:docPr id="827885913" name="Picture 827885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728C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18075AB2" wp14:editId="6D2F0FE4">
            <wp:extent cx="5732145" cy="4072442"/>
            <wp:effectExtent l="0" t="0" r="0" b="0"/>
            <wp:docPr id="1312180462" name="Picture 1312180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38FD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18184A1" wp14:editId="20C9F66C">
            <wp:extent cx="5732145" cy="4072442"/>
            <wp:effectExtent l="0" t="0" r="0" b="0"/>
            <wp:docPr id="209949423" name="Picture 209949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109A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EFF5037" wp14:editId="23B55D05">
            <wp:extent cx="5732145" cy="4072442"/>
            <wp:effectExtent l="0" t="0" r="0" b="0"/>
            <wp:docPr id="867904534" name="Picture 867904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B7B5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FBE5936" wp14:editId="44716900">
            <wp:extent cx="5732145" cy="4072442"/>
            <wp:effectExtent l="0" t="0" r="0" b="0"/>
            <wp:docPr id="1208564329" name="Picture 1208564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7C399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DD5EC8E" wp14:editId="22E0EF56">
            <wp:extent cx="5732145" cy="4072442"/>
            <wp:effectExtent l="0" t="0" r="0" b="0"/>
            <wp:docPr id="1903798058" name="Picture 1903798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79C4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2A4A715D" wp14:editId="04EBBC54">
            <wp:extent cx="5732145" cy="4072442"/>
            <wp:effectExtent l="0" t="0" r="0" b="0"/>
            <wp:docPr id="1775933545" name="Picture 177593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20AA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62A49730" wp14:editId="5F4900E0">
            <wp:extent cx="5732145" cy="4072442"/>
            <wp:effectExtent l="0" t="0" r="0" b="0"/>
            <wp:docPr id="1399530490" name="Picture 1399530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FACD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0EB3758F" wp14:editId="15B19CCF">
            <wp:extent cx="5732145" cy="4072442"/>
            <wp:effectExtent l="0" t="0" r="0" b="0"/>
            <wp:docPr id="1105767299" name="Picture 1105767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69DD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59D96AF8" wp14:editId="04E987A9">
            <wp:extent cx="5732145" cy="4072442"/>
            <wp:effectExtent l="0" t="0" r="0" b="0"/>
            <wp:docPr id="805613845" name="Picture 805613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1B32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0E061086" wp14:editId="19B4AC04">
            <wp:extent cx="5732145" cy="4072442"/>
            <wp:effectExtent l="0" t="0" r="0" b="0"/>
            <wp:docPr id="1219562242" name="Picture 1219562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35AB4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337C5EF" wp14:editId="4DB1294E">
            <wp:extent cx="5732145" cy="4072442"/>
            <wp:effectExtent l="0" t="0" r="0" b="0"/>
            <wp:docPr id="1583944960" name="Picture 1583944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B935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208A7A1E" wp14:editId="7B7B9022">
            <wp:extent cx="5732145" cy="4072442"/>
            <wp:effectExtent l="0" t="0" r="0" b="0"/>
            <wp:docPr id="1690463734" name="Picture 1690463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F61C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E55743E" wp14:editId="3F594D29">
            <wp:extent cx="5732145" cy="4072442"/>
            <wp:effectExtent l="0" t="0" r="0" b="0"/>
            <wp:docPr id="1079577619" name="Picture 1079577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77AA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5FF1E12E" wp14:editId="5D587FE5">
            <wp:extent cx="5732145" cy="4072442"/>
            <wp:effectExtent l="0" t="0" r="0" b="0"/>
            <wp:docPr id="1603489488" name="Picture 1603489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8D3E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272F5A65" wp14:editId="5EABA53D">
            <wp:extent cx="5732145" cy="4072442"/>
            <wp:effectExtent l="0" t="0" r="0" b="0"/>
            <wp:docPr id="1667132426" name="Picture 1667132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4FA3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9EEF91C" wp14:editId="5FD7B336">
            <wp:extent cx="5732145" cy="4072442"/>
            <wp:effectExtent l="0" t="0" r="0" b="0"/>
            <wp:docPr id="2079383464" name="Picture 2079383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0C309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1030B30" wp14:editId="1CD111D9">
            <wp:extent cx="5732145" cy="4072442"/>
            <wp:effectExtent l="0" t="0" r="0" b="0"/>
            <wp:docPr id="1518228600" name="Picture 1518228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7180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1BA66A68" wp14:editId="5A4CD093">
            <wp:extent cx="5732145" cy="4072442"/>
            <wp:effectExtent l="0" t="0" r="0" b="0"/>
            <wp:docPr id="860930854" name="Picture 860930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24DC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4FEA8B77" wp14:editId="73F53BEE">
            <wp:extent cx="5732145" cy="4072442"/>
            <wp:effectExtent l="0" t="0" r="0" b="0"/>
            <wp:docPr id="753999245" name="Picture 753999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F188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2209024A" wp14:editId="4EA988DB">
            <wp:extent cx="5732145" cy="4072442"/>
            <wp:effectExtent l="0" t="0" r="0" b="0"/>
            <wp:docPr id="735803232" name="Picture 735803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C93D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58F40755" wp14:editId="24CA368D">
            <wp:extent cx="5732145" cy="4072442"/>
            <wp:effectExtent l="0" t="0" r="0" b="0"/>
            <wp:docPr id="1854205850" name="Picture 1854205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14E3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C9B7D8F" wp14:editId="742CDBF2">
            <wp:extent cx="5732145" cy="4072442"/>
            <wp:effectExtent l="0" t="0" r="0" b="0"/>
            <wp:docPr id="1079685129" name="Picture 1079685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17D8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77FEBCA3" wp14:editId="02979E72">
            <wp:extent cx="5732145" cy="4072442"/>
            <wp:effectExtent l="0" t="0" r="0" b="0"/>
            <wp:docPr id="411312687" name="Picture 411312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961B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noProof/>
        </w:rPr>
        <w:drawing>
          <wp:inline distT="0" distB="0" distL="0" distR="0" wp14:anchorId="0DA63E2E" wp14:editId="3DAC181F">
            <wp:extent cx="5732145" cy="4072442"/>
            <wp:effectExtent l="0" t="0" r="0" b="0"/>
            <wp:docPr id="1630155893" name="Picture 1630155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64966" w14:textId="77777777" w:rsidR="00047897" w:rsidRPr="00047897" w:rsidRDefault="00047897" w:rsidP="00047897">
      <w:pPr>
        <w:spacing w:after="120"/>
        <w:jc w:val="center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VI. СКРАЋЕНИЦЕ КОЈЕ СЕ КОРИСТЕ У ТЕКСТУ АКЦИОНОГ ПЛАНА ИМАЈУ СЛЕДЕЋЕ ЗНАЧЕЊЕ:</w:t>
      </w:r>
    </w:p>
    <w:p w14:paraId="28BAB69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ЕУ  Европска унија</w:t>
      </w:r>
    </w:p>
    <w:p w14:paraId="1DFB348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ЗУОВ  Завод за унапређивање образовања и васпитања</w:t>
      </w:r>
    </w:p>
    <w:p w14:paraId="491A833F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ИЗЈЗ  Институт за јавно здравље</w:t>
      </w:r>
    </w:p>
    <w:p w14:paraId="1929D2D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ИПА  Инструмент претприступне помоћи Европске уније</w:t>
      </w:r>
    </w:p>
    <w:p w14:paraId="748967F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ЈЛС  Јединице локалне самоуправе</w:t>
      </w:r>
    </w:p>
    <w:p w14:paraId="5666C9A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КВиС  Каријерно вођење и саветовање</w:t>
      </w:r>
    </w:p>
    <w:p w14:paraId="40539C0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КСЦД  Канцеларија за сарадњу са цивилним друштвом</w:t>
      </w:r>
    </w:p>
    <w:p w14:paraId="6295C2D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КЗМ  Канцеларија за младе</w:t>
      </w:r>
    </w:p>
    <w:p w14:paraId="2661579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КЉМП  Канцеларија за људска и мањинска права</w:t>
      </w:r>
    </w:p>
    <w:p w14:paraId="7F6A751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КИРС  Комесаријат за избеглице и миграције</w:t>
      </w:r>
    </w:p>
    <w:p w14:paraId="321A5AB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КМБдем  Министар без портфеља задужен за демографију и популациону политику</w:t>
      </w:r>
    </w:p>
    <w:p w14:paraId="38168E8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КМБррјп  Министар без портфеља задужен за регионални развој и координацију рада јавних предузећа</w:t>
      </w:r>
    </w:p>
    <w:p w14:paraId="54666A1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КМБитр  Министар без портфеља задужен за иновације и технолошки развој</w:t>
      </w:r>
    </w:p>
    <w:p w14:paraId="780001A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КОМС  Кровна организација младих Србије</w:t>
      </w:r>
    </w:p>
    <w:p w14:paraId="334BC6E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ЛАП  Локални акциони план</w:t>
      </w:r>
    </w:p>
    <w:p w14:paraId="7D1A229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МГСИ  Министарство грађевинарства, саобраћаја и инфраструктуре</w:t>
      </w:r>
    </w:p>
    <w:p w14:paraId="6EAF090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МЗДРА  Министарство здравља</w:t>
      </w:r>
    </w:p>
    <w:p w14:paraId="4BFA0E4F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МКИ  Министарство културе и информисања</w:t>
      </w:r>
    </w:p>
    <w:p w14:paraId="5303D28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МОС  Министарство омладине и спорта</w:t>
      </w:r>
    </w:p>
    <w:p w14:paraId="54B0591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МПШВ  Министарство пољопривреде, шумарства и водопривреде</w:t>
      </w:r>
    </w:p>
    <w:p w14:paraId="0C577FBC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МЗЖС  Министарство заштите животне средине</w:t>
      </w:r>
    </w:p>
    <w:p w14:paraId="13CC0CB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МПНТР  Министарство просвете, науке и технолошког развоја</w:t>
      </w:r>
    </w:p>
    <w:p w14:paraId="16118667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МПРИВ  Министарство привреде</w:t>
      </w:r>
    </w:p>
    <w:p w14:paraId="395DEBCB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МРЗБСП  Министарство за рад, запошљавање, борачка и социјална питања</w:t>
      </w:r>
    </w:p>
    <w:p w14:paraId="632BA46F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МСП  Министарство спољних послова</w:t>
      </w:r>
    </w:p>
    <w:p w14:paraId="1C50206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МТТТ  Министарство трговине, туризма и телекомуникација</w:t>
      </w:r>
    </w:p>
    <w:p w14:paraId="48F8B0D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МУП  Министарство унутрашњих послова</w:t>
      </w:r>
    </w:p>
    <w:p w14:paraId="07A6022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МФИН  Министарство финансија</w:t>
      </w:r>
    </w:p>
    <w:p w14:paraId="06AC586D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МЕИ  Министарство за европске интеграције</w:t>
      </w:r>
    </w:p>
    <w:p w14:paraId="1CC8F610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НАКЗМ  Национална асоцијација канцеларија за младе</w:t>
      </w:r>
    </w:p>
    <w:p w14:paraId="64947A9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НАПОР  Национална Асоцијација Практичара/ки Омладинског Рада</w:t>
      </w:r>
    </w:p>
    <w:p w14:paraId="2F2F9DD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НБС  Народна банка Србије</w:t>
      </w:r>
    </w:p>
    <w:p w14:paraId="50C80B2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НСВО  Национални савет за високо образовање</w:t>
      </w:r>
    </w:p>
    <w:p w14:paraId="256128F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НСМ  Национална стратегија за младе</w:t>
      </w:r>
    </w:p>
    <w:p w14:paraId="1B6D7C5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НСЗ  Национална служба за запошљавање</w:t>
      </w:r>
    </w:p>
    <w:p w14:paraId="52483C6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ОЦД  Организације цивилног друштва</w:t>
      </w:r>
    </w:p>
    <w:p w14:paraId="3841D545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ПКС  Привредна комора Србије</w:t>
      </w:r>
    </w:p>
    <w:p w14:paraId="509F851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ПССО  Покрајински секретаријат за спорт и омладину</w:t>
      </w:r>
    </w:p>
    <w:p w14:paraId="12C1B91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ПСОПУНМ  Покрајински секретаријат за образовање, прописе, управу и националне мањине</w:t>
      </w:r>
    </w:p>
    <w:p w14:paraId="2CE5A8BA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ПСВОНД  Покрајински секретаријат за високо образовање и научноистраживачку делатност</w:t>
      </w:r>
    </w:p>
    <w:p w14:paraId="0186C276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РЕМ  Регулаторно тело за електронске медије</w:t>
      </w:r>
    </w:p>
    <w:p w14:paraId="29DEE902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РСЈП  Републички секретаријат за јавне политике</w:t>
      </w:r>
    </w:p>
    <w:p w14:paraId="679DB7C9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РЗС  Републички завод за статистику</w:t>
      </w:r>
    </w:p>
    <w:p w14:paraId="28A078F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СИПРУ  Тим за социјално укључивање и смањење сиромаштва</w:t>
      </w:r>
    </w:p>
    <w:p w14:paraId="2F4E77B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СКГО  Стална конференција градова и општина</w:t>
      </w:r>
    </w:p>
    <w:p w14:paraId="7052D62E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СОП  Субјекти омладинске политике</w:t>
      </w:r>
    </w:p>
    <w:p w14:paraId="34EF9FD8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ТФ  Темпус фондација</w:t>
      </w:r>
    </w:p>
    <w:p w14:paraId="67D3E221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ХИВ  Вирус хумане имунодефицијенције</w:t>
      </w:r>
    </w:p>
    <w:p w14:paraId="469702D3" w14:textId="77777777" w:rsidR="00047897" w:rsidRPr="00047897" w:rsidRDefault="00047897" w:rsidP="00047897">
      <w:pPr>
        <w:spacing w:after="150"/>
        <w:rPr>
          <w:rFonts w:ascii="Arial" w:hAnsi="Arial" w:cs="Arial"/>
        </w:rPr>
      </w:pPr>
      <w:r w:rsidRPr="00047897">
        <w:rPr>
          <w:rFonts w:ascii="Arial" w:hAnsi="Arial" w:cs="Arial"/>
          <w:color w:val="000000"/>
        </w:rPr>
        <w:t>ЦСООД  Центар за стручно образовање и образовање одраслих</w:t>
      </w:r>
    </w:p>
    <w:p w14:paraId="4C60B19D" w14:textId="70561258" w:rsidR="00DB2E94" w:rsidRPr="00047897" w:rsidRDefault="00DB2E94">
      <w:pPr>
        <w:spacing w:line="200" w:lineRule="atLeast"/>
        <w:ind w:left="105"/>
        <w:rPr>
          <w:rFonts w:ascii="Arial" w:eastAsia="Times New Roman" w:hAnsi="Arial" w:cs="Arial"/>
        </w:rPr>
      </w:pPr>
    </w:p>
    <w:sectPr w:rsidR="00DB2E94" w:rsidRPr="00047897" w:rsidSect="00047897">
      <w:footerReference w:type="default" r:id="rId76"/>
      <w:pgSz w:w="11906" w:h="16838" w:code="9"/>
      <w:pgMar w:top="80" w:right="280" w:bottom="660" w:left="116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B0EF80" w14:textId="77777777" w:rsidR="00331703" w:rsidRDefault="00331703" w:rsidP="004C2089">
      <w:r>
        <w:separator/>
      </w:r>
    </w:p>
  </w:endnote>
  <w:endnote w:type="continuationSeparator" w:id="0">
    <w:p w14:paraId="08C4A761" w14:textId="77777777" w:rsidR="00331703" w:rsidRDefault="00331703" w:rsidP="004C20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6618474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51CD10A" w14:textId="1BA4DF4C" w:rsidR="004C2089" w:rsidRDefault="004C208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5EF4B78" w14:textId="77777777" w:rsidR="004C2089" w:rsidRDefault="004C20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EE61E6" w14:textId="77777777" w:rsidR="00331703" w:rsidRDefault="00331703" w:rsidP="004C2089">
      <w:r>
        <w:separator/>
      </w:r>
    </w:p>
  </w:footnote>
  <w:footnote w:type="continuationSeparator" w:id="0">
    <w:p w14:paraId="7E1D6F4A" w14:textId="77777777" w:rsidR="00331703" w:rsidRDefault="00331703" w:rsidP="004C20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E3325D"/>
    <w:multiLevelType w:val="hybridMultilevel"/>
    <w:tmpl w:val="A3B6EC88"/>
    <w:lvl w:ilvl="0" w:tplc="D26AC112">
      <w:start w:val="27"/>
      <w:numFmt w:val="decimal"/>
      <w:lvlText w:val="%1."/>
      <w:lvlJc w:val="left"/>
      <w:pPr>
        <w:ind w:left="437" w:hanging="270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4C3C1DCC">
      <w:start w:val="1"/>
      <w:numFmt w:val="decimal"/>
      <w:lvlText w:val="%2."/>
      <w:lvlJc w:val="left"/>
      <w:pPr>
        <w:ind w:left="113" w:hanging="197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6F44F634">
      <w:start w:val="1"/>
      <w:numFmt w:val="bullet"/>
      <w:lvlText w:val="•"/>
      <w:lvlJc w:val="left"/>
      <w:pPr>
        <w:ind w:left="338" w:hanging="197"/>
      </w:pPr>
      <w:rPr>
        <w:rFonts w:hint="default"/>
      </w:rPr>
    </w:lvl>
    <w:lvl w:ilvl="3" w:tplc="E354B414">
      <w:start w:val="1"/>
      <w:numFmt w:val="bullet"/>
      <w:lvlText w:val="•"/>
      <w:lvlJc w:val="left"/>
      <w:pPr>
        <w:ind w:left="239" w:hanging="197"/>
      </w:pPr>
      <w:rPr>
        <w:rFonts w:hint="default"/>
      </w:rPr>
    </w:lvl>
    <w:lvl w:ilvl="4" w:tplc="121C0130">
      <w:start w:val="1"/>
      <w:numFmt w:val="bullet"/>
      <w:lvlText w:val="•"/>
      <w:lvlJc w:val="left"/>
      <w:pPr>
        <w:ind w:left="140" w:hanging="197"/>
      </w:pPr>
      <w:rPr>
        <w:rFonts w:hint="default"/>
      </w:rPr>
    </w:lvl>
    <w:lvl w:ilvl="5" w:tplc="EC66CE24">
      <w:start w:val="1"/>
      <w:numFmt w:val="bullet"/>
      <w:lvlText w:val="•"/>
      <w:lvlJc w:val="left"/>
      <w:pPr>
        <w:ind w:left="41" w:hanging="197"/>
      </w:pPr>
      <w:rPr>
        <w:rFonts w:hint="default"/>
      </w:rPr>
    </w:lvl>
    <w:lvl w:ilvl="6" w:tplc="E66AF4D6">
      <w:start w:val="1"/>
      <w:numFmt w:val="bullet"/>
      <w:lvlText w:val="•"/>
      <w:lvlJc w:val="left"/>
      <w:pPr>
        <w:ind w:left="-58" w:hanging="197"/>
      </w:pPr>
      <w:rPr>
        <w:rFonts w:hint="default"/>
      </w:rPr>
    </w:lvl>
    <w:lvl w:ilvl="7" w:tplc="50E8232E">
      <w:start w:val="1"/>
      <w:numFmt w:val="bullet"/>
      <w:lvlText w:val="•"/>
      <w:lvlJc w:val="left"/>
      <w:pPr>
        <w:ind w:left="-156" w:hanging="197"/>
      </w:pPr>
      <w:rPr>
        <w:rFonts w:hint="default"/>
      </w:rPr>
    </w:lvl>
    <w:lvl w:ilvl="8" w:tplc="24A898E4">
      <w:start w:val="1"/>
      <w:numFmt w:val="bullet"/>
      <w:lvlText w:val="•"/>
      <w:lvlJc w:val="left"/>
      <w:pPr>
        <w:ind w:left="-255" w:hanging="197"/>
      </w:pPr>
      <w:rPr>
        <w:rFonts w:hint="default"/>
      </w:rPr>
    </w:lvl>
  </w:abstractNum>
  <w:abstractNum w:abstractNumId="1" w15:restartNumberingAfterBreak="0">
    <w:nsid w:val="0FA90B90"/>
    <w:multiLevelType w:val="hybridMultilevel"/>
    <w:tmpl w:val="9E104BAE"/>
    <w:lvl w:ilvl="0" w:tplc="B4C693E2">
      <w:start w:val="1"/>
      <w:numFmt w:val="decimal"/>
      <w:lvlText w:val="%1"/>
      <w:lvlJc w:val="left"/>
      <w:pPr>
        <w:ind w:left="397" w:hanging="284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CF5ED97A">
      <w:start w:val="1"/>
      <w:numFmt w:val="bullet"/>
      <w:lvlText w:val="•"/>
      <w:lvlJc w:val="left"/>
      <w:pPr>
        <w:ind w:left="890" w:hanging="284"/>
      </w:pPr>
      <w:rPr>
        <w:rFonts w:hint="default"/>
      </w:rPr>
    </w:lvl>
    <w:lvl w:ilvl="2" w:tplc="A4C81072">
      <w:start w:val="1"/>
      <w:numFmt w:val="bullet"/>
      <w:lvlText w:val="•"/>
      <w:lvlJc w:val="left"/>
      <w:pPr>
        <w:ind w:left="1383" w:hanging="284"/>
      </w:pPr>
      <w:rPr>
        <w:rFonts w:hint="default"/>
      </w:rPr>
    </w:lvl>
    <w:lvl w:ilvl="3" w:tplc="5322A0BC">
      <w:start w:val="1"/>
      <w:numFmt w:val="bullet"/>
      <w:lvlText w:val="•"/>
      <w:lvlJc w:val="left"/>
      <w:pPr>
        <w:ind w:left="1876" w:hanging="284"/>
      </w:pPr>
      <w:rPr>
        <w:rFonts w:hint="default"/>
      </w:rPr>
    </w:lvl>
    <w:lvl w:ilvl="4" w:tplc="EE107F5E">
      <w:start w:val="1"/>
      <w:numFmt w:val="bullet"/>
      <w:lvlText w:val="•"/>
      <w:lvlJc w:val="left"/>
      <w:pPr>
        <w:ind w:left="2369" w:hanging="284"/>
      </w:pPr>
      <w:rPr>
        <w:rFonts w:hint="default"/>
      </w:rPr>
    </w:lvl>
    <w:lvl w:ilvl="5" w:tplc="C26A095C">
      <w:start w:val="1"/>
      <w:numFmt w:val="bullet"/>
      <w:lvlText w:val="•"/>
      <w:lvlJc w:val="left"/>
      <w:pPr>
        <w:ind w:left="2862" w:hanging="284"/>
      </w:pPr>
      <w:rPr>
        <w:rFonts w:hint="default"/>
      </w:rPr>
    </w:lvl>
    <w:lvl w:ilvl="6" w:tplc="5580A3BC">
      <w:start w:val="1"/>
      <w:numFmt w:val="bullet"/>
      <w:lvlText w:val="•"/>
      <w:lvlJc w:val="left"/>
      <w:pPr>
        <w:ind w:left="3354" w:hanging="284"/>
      </w:pPr>
      <w:rPr>
        <w:rFonts w:hint="default"/>
      </w:rPr>
    </w:lvl>
    <w:lvl w:ilvl="7" w:tplc="F2309C2C">
      <w:start w:val="1"/>
      <w:numFmt w:val="bullet"/>
      <w:lvlText w:val="•"/>
      <w:lvlJc w:val="left"/>
      <w:pPr>
        <w:ind w:left="3847" w:hanging="284"/>
      </w:pPr>
      <w:rPr>
        <w:rFonts w:hint="default"/>
      </w:rPr>
    </w:lvl>
    <w:lvl w:ilvl="8" w:tplc="C694A50E">
      <w:start w:val="1"/>
      <w:numFmt w:val="bullet"/>
      <w:lvlText w:val="•"/>
      <w:lvlJc w:val="left"/>
      <w:pPr>
        <w:ind w:left="4340" w:hanging="284"/>
      </w:pPr>
      <w:rPr>
        <w:rFonts w:hint="default"/>
      </w:rPr>
    </w:lvl>
  </w:abstractNum>
  <w:abstractNum w:abstractNumId="2" w15:restartNumberingAfterBreak="0">
    <w:nsid w:val="20A5133D"/>
    <w:multiLevelType w:val="hybridMultilevel"/>
    <w:tmpl w:val="80188408"/>
    <w:lvl w:ilvl="0" w:tplc="CAEA303A">
      <w:start w:val="1"/>
      <w:numFmt w:val="upperRoman"/>
      <w:lvlText w:val="%1."/>
      <w:lvlJc w:val="left"/>
      <w:pPr>
        <w:ind w:left="1981" w:hanging="150"/>
        <w:jc w:val="right"/>
      </w:pPr>
      <w:rPr>
        <w:rFonts w:ascii="Times New Roman" w:eastAsia="Times New Roman" w:hAnsi="Times New Roman" w:hint="default"/>
        <w:sz w:val="18"/>
        <w:szCs w:val="18"/>
      </w:rPr>
    </w:lvl>
    <w:lvl w:ilvl="1" w:tplc="92543BBC">
      <w:start w:val="1"/>
      <w:numFmt w:val="bullet"/>
      <w:lvlText w:val="•"/>
      <w:lvlJc w:val="left"/>
      <w:pPr>
        <w:ind w:left="2304" w:hanging="150"/>
      </w:pPr>
      <w:rPr>
        <w:rFonts w:hint="default"/>
      </w:rPr>
    </w:lvl>
    <w:lvl w:ilvl="2" w:tplc="EC5E6DCC">
      <w:start w:val="1"/>
      <w:numFmt w:val="bullet"/>
      <w:lvlText w:val="•"/>
      <w:lvlJc w:val="left"/>
      <w:pPr>
        <w:ind w:left="2628" w:hanging="150"/>
      </w:pPr>
      <w:rPr>
        <w:rFonts w:hint="default"/>
      </w:rPr>
    </w:lvl>
    <w:lvl w:ilvl="3" w:tplc="BCB2B0AA">
      <w:start w:val="1"/>
      <w:numFmt w:val="bullet"/>
      <w:lvlText w:val="•"/>
      <w:lvlJc w:val="left"/>
      <w:pPr>
        <w:ind w:left="2951" w:hanging="150"/>
      </w:pPr>
      <w:rPr>
        <w:rFonts w:hint="default"/>
      </w:rPr>
    </w:lvl>
    <w:lvl w:ilvl="4" w:tplc="DC1E0186">
      <w:start w:val="1"/>
      <w:numFmt w:val="bullet"/>
      <w:lvlText w:val="•"/>
      <w:lvlJc w:val="left"/>
      <w:pPr>
        <w:ind w:left="3275" w:hanging="150"/>
      </w:pPr>
      <w:rPr>
        <w:rFonts w:hint="default"/>
      </w:rPr>
    </w:lvl>
    <w:lvl w:ilvl="5" w:tplc="AEA6CBD6">
      <w:start w:val="1"/>
      <w:numFmt w:val="bullet"/>
      <w:lvlText w:val="•"/>
      <w:lvlJc w:val="left"/>
      <w:pPr>
        <w:ind w:left="3598" w:hanging="150"/>
      </w:pPr>
      <w:rPr>
        <w:rFonts w:hint="default"/>
      </w:rPr>
    </w:lvl>
    <w:lvl w:ilvl="6" w:tplc="814E0234">
      <w:start w:val="1"/>
      <w:numFmt w:val="bullet"/>
      <w:lvlText w:val="•"/>
      <w:lvlJc w:val="left"/>
      <w:pPr>
        <w:ind w:left="3922" w:hanging="150"/>
      </w:pPr>
      <w:rPr>
        <w:rFonts w:hint="default"/>
      </w:rPr>
    </w:lvl>
    <w:lvl w:ilvl="7" w:tplc="FC248724">
      <w:start w:val="1"/>
      <w:numFmt w:val="bullet"/>
      <w:lvlText w:val="•"/>
      <w:lvlJc w:val="left"/>
      <w:pPr>
        <w:ind w:left="4245" w:hanging="150"/>
      </w:pPr>
      <w:rPr>
        <w:rFonts w:hint="default"/>
      </w:rPr>
    </w:lvl>
    <w:lvl w:ilvl="8" w:tplc="E00838BA">
      <w:start w:val="1"/>
      <w:numFmt w:val="bullet"/>
      <w:lvlText w:val="•"/>
      <w:lvlJc w:val="left"/>
      <w:pPr>
        <w:ind w:left="4569" w:hanging="150"/>
      </w:pPr>
      <w:rPr>
        <w:rFonts w:hint="default"/>
      </w:rPr>
    </w:lvl>
  </w:abstractNum>
  <w:abstractNum w:abstractNumId="3" w15:restartNumberingAfterBreak="0">
    <w:nsid w:val="36BE560D"/>
    <w:multiLevelType w:val="multilevel"/>
    <w:tmpl w:val="FEBC250A"/>
    <w:lvl w:ilvl="0">
      <w:start w:val="4"/>
      <w:numFmt w:val="decimal"/>
      <w:lvlText w:val="%1"/>
      <w:lvlJc w:val="left"/>
      <w:pPr>
        <w:ind w:left="1678" w:hanging="315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78" w:hanging="315"/>
        <w:jc w:val="right"/>
      </w:pPr>
      <w:rPr>
        <w:rFonts w:ascii="Times New Roman" w:eastAsia="Times New Roman" w:hAnsi="Times New Roman" w:hint="default"/>
        <w:b/>
        <w:bCs/>
        <w:sz w:val="18"/>
        <w:szCs w:val="18"/>
      </w:rPr>
    </w:lvl>
    <w:lvl w:ilvl="2">
      <w:start w:val="1"/>
      <w:numFmt w:val="bullet"/>
      <w:lvlText w:val="•"/>
      <w:lvlJc w:val="left"/>
      <w:pPr>
        <w:ind w:left="2408" w:hanging="31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73" w:hanging="31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38" w:hanging="31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02" w:hanging="31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867" w:hanging="31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232" w:hanging="31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597" w:hanging="315"/>
      </w:pPr>
      <w:rPr>
        <w:rFonts w:hint="default"/>
      </w:rPr>
    </w:lvl>
  </w:abstractNum>
  <w:abstractNum w:abstractNumId="4" w15:restartNumberingAfterBreak="0">
    <w:nsid w:val="427849AB"/>
    <w:multiLevelType w:val="hybridMultilevel"/>
    <w:tmpl w:val="E2A6790A"/>
    <w:lvl w:ilvl="0" w:tplc="D360B2AC">
      <w:start w:val="26"/>
      <w:numFmt w:val="decimal"/>
      <w:lvlText w:val="%1."/>
      <w:lvlJc w:val="left"/>
      <w:pPr>
        <w:ind w:left="437" w:hanging="270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EC02CBE4">
      <w:start w:val="1"/>
      <w:numFmt w:val="bullet"/>
      <w:lvlText w:val="•"/>
      <w:lvlJc w:val="left"/>
      <w:pPr>
        <w:ind w:left="914" w:hanging="270"/>
      </w:pPr>
      <w:rPr>
        <w:rFonts w:hint="default"/>
      </w:rPr>
    </w:lvl>
    <w:lvl w:ilvl="2" w:tplc="92A0A0BC">
      <w:start w:val="1"/>
      <w:numFmt w:val="bullet"/>
      <w:lvlText w:val="•"/>
      <w:lvlJc w:val="left"/>
      <w:pPr>
        <w:ind w:left="1392" w:hanging="270"/>
      </w:pPr>
      <w:rPr>
        <w:rFonts w:hint="default"/>
      </w:rPr>
    </w:lvl>
    <w:lvl w:ilvl="3" w:tplc="CCC68698">
      <w:start w:val="1"/>
      <w:numFmt w:val="bullet"/>
      <w:lvlText w:val="•"/>
      <w:lvlJc w:val="left"/>
      <w:pPr>
        <w:ind w:left="1869" w:hanging="270"/>
      </w:pPr>
      <w:rPr>
        <w:rFonts w:hint="default"/>
      </w:rPr>
    </w:lvl>
    <w:lvl w:ilvl="4" w:tplc="E9DE7A7A">
      <w:start w:val="1"/>
      <w:numFmt w:val="bullet"/>
      <w:lvlText w:val="•"/>
      <w:lvlJc w:val="left"/>
      <w:pPr>
        <w:ind w:left="2347" w:hanging="270"/>
      </w:pPr>
      <w:rPr>
        <w:rFonts w:hint="default"/>
      </w:rPr>
    </w:lvl>
    <w:lvl w:ilvl="5" w:tplc="0A385F52">
      <w:start w:val="1"/>
      <w:numFmt w:val="bullet"/>
      <w:lvlText w:val="•"/>
      <w:lvlJc w:val="left"/>
      <w:pPr>
        <w:ind w:left="2825" w:hanging="270"/>
      </w:pPr>
      <w:rPr>
        <w:rFonts w:hint="default"/>
      </w:rPr>
    </w:lvl>
    <w:lvl w:ilvl="6" w:tplc="4914F8F2">
      <w:start w:val="1"/>
      <w:numFmt w:val="bullet"/>
      <w:lvlText w:val="•"/>
      <w:lvlJc w:val="left"/>
      <w:pPr>
        <w:ind w:left="3302" w:hanging="270"/>
      </w:pPr>
      <w:rPr>
        <w:rFonts w:hint="default"/>
      </w:rPr>
    </w:lvl>
    <w:lvl w:ilvl="7" w:tplc="0DC4999A">
      <w:start w:val="1"/>
      <w:numFmt w:val="bullet"/>
      <w:lvlText w:val="•"/>
      <w:lvlJc w:val="left"/>
      <w:pPr>
        <w:ind w:left="3780" w:hanging="270"/>
      </w:pPr>
      <w:rPr>
        <w:rFonts w:hint="default"/>
      </w:rPr>
    </w:lvl>
    <w:lvl w:ilvl="8" w:tplc="112E6210">
      <w:start w:val="1"/>
      <w:numFmt w:val="bullet"/>
      <w:lvlText w:val="•"/>
      <w:lvlJc w:val="left"/>
      <w:pPr>
        <w:ind w:left="4257" w:hanging="270"/>
      </w:pPr>
      <w:rPr>
        <w:rFonts w:hint="default"/>
      </w:rPr>
    </w:lvl>
  </w:abstractNum>
  <w:abstractNum w:abstractNumId="5" w15:restartNumberingAfterBreak="0">
    <w:nsid w:val="464465B4"/>
    <w:multiLevelType w:val="hybridMultilevel"/>
    <w:tmpl w:val="F72A9C88"/>
    <w:lvl w:ilvl="0" w:tplc="92787BB6">
      <w:start w:val="21"/>
      <w:numFmt w:val="decimal"/>
      <w:lvlText w:val="%1."/>
      <w:lvlJc w:val="left"/>
      <w:pPr>
        <w:ind w:left="437" w:hanging="270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7ADA8AD0">
      <w:start w:val="1"/>
      <w:numFmt w:val="bullet"/>
      <w:lvlText w:val="•"/>
      <w:lvlJc w:val="left"/>
      <w:pPr>
        <w:ind w:left="914" w:hanging="270"/>
      </w:pPr>
      <w:rPr>
        <w:rFonts w:hint="default"/>
      </w:rPr>
    </w:lvl>
    <w:lvl w:ilvl="2" w:tplc="C2DC188A">
      <w:start w:val="1"/>
      <w:numFmt w:val="bullet"/>
      <w:lvlText w:val="•"/>
      <w:lvlJc w:val="left"/>
      <w:pPr>
        <w:ind w:left="1392" w:hanging="270"/>
      </w:pPr>
      <w:rPr>
        <w:rFonts w:hint="default"/>
      </w:rPr>
    </w:lvl>
    <w:lvl w:ilvl="3" w:tplc="C3041FD4">
      <w:start w:val="1"/>
      <w:numFmt w:val="bullet"/>
      <w:lvlText w:val="•"/>
      <w:lvlJc w:val="left"/>
      <w:pPr>
        <w:ind w:left="1869" w:hanging="270"/>
      </w:pPr>
      <w:rPr>
        <w:rFonts w:hint="default"/>
      </w:rPr>
    </w:lvl>
    <w:lvl w:ilvl="4" w:tplc="7B06176A">
      <w:start w:val="1"/>
      <w:numFmt w:val="bullet"/>
      <w:lvlText w:val="•"/>
      <w:lvlJc w:val="left"/>
      <w:pPr>
        <w:ind w:left="2347" w:hanging="270"/>
      </w:pPr>
      <w:rPr>
        <w:rFonts w:hint="default"/>
      </w:rPr>
    </w:lvl>
    <w:lvl w:ilvl="5" w:tplc="9D16D64E">
      <w:start w:val="1"/>
      <w:numFmt w:val="bullet"/>
      <w:lvlText w:val="•"/>
      <w:lvlJc w:val="left"/>
      <w:pPr>
        <w:ind w:left="2825" w:hanging="270"/>
      </w:pPr>
      <w:rPr>
        <w:rFonts w:hint="default"/>
      </w:rPr>
    </w:lvl>
    <w:lvl w:ilvl="6" w:tplc="E68AFFAE">
      <w:start w:val="1"/>
      <w:numFmt w:val="bullet"/>
      <w:lvlText w:val="•"/>
      <w:lvlJc w:val="left"/>
      <w:pPr>
        <w:ind w:left="3302" w:hanging="270"/>
      </w:pPr>
      <w:rPr>
        <w:rFonts w:hint="default"/>
      </w:rPr>
    </w:lvl>
    <w:lvl w:ilvl="7" w:tplc="753CF900">
      <w:start w:val="1"/>
      <w:numFmt w:val="bullet"/>
      <w:lvlText w:val="•"/>
      <w:lvlJc w:val="left"/>
      <w:pPr>
        <w:ind w:left="3780" w:hanging="270"/>
      </w:pPr>
      <w:rPr>
        <w:rFonts w:hint="default"/>
      </w:rPr>
    </w:lvl>
    <w:lvl w:ilvl="8" w:tplc="0DDAB83A">
      <w:start w:val="1"/>
      <w:numFmt w:val="bullet"/>
      <w:lvlText w:val="•"/>
      <w:lvlJc w:val="left"/>
      <w:pPr>
        <w:ind w:left="4257" w:hanging="270"/>
      </w:pPr>
      <w:rPr>
        <w:rFonts w:hint="default"/>
      </w:rPr>
    </w:lvl>
  </w:abstractNum>
  <w:num w:numId="1" w16cid:durableId="598373246">
    <w:abstractNumId w:val="3"/>
  </w:num>
  <w:num w:numId="2" w16cid:durableId="2072002540">
    <w:abstractNumId w:val="0"/>
  </w:num>
  <w:num w:numId="3" w16cid:durableId="1203402362">
    <w:abstractNumId w:val="4"/>
  </w:num>
  <w:num w:numId="4" w16cid:durableId="1431853004">
    <w:abstractNumId w:val="5"/>
  </w:num>
  <w:num w:numId="5" w16cid:durableId="2143771400">
    <w:abstractNumId w:val="1"/>
  </w:num>
  <w:num w:numId="6" w16cid:durableId="88611312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B2E94"/>
    <w:rsid w:val="00047897"/>
    <w:rsid w:val="00195E01"/>
    <w:rsid w:val="00290B9F"/>
    <w:rsid w:val="00331703"/>
    <w:rsid w:val="004C2089"/>
    <w:rsid w:val="0067558F"/>
    <w:rsid w:val="00DB2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9EB428"/>
  <w15:docId w15:val="{7D00C616-EB5A-4992-A50E-7FE1FAE196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67558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67558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7558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7558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755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C2089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2089"/>
  </w:style>
  <w:style w:type="paragraph" w:styleId="Footer">
    <w:name w:val="footer"/>
    <w:basedOn w:val="Normal"/>
    <w:link w:val="FooterChar"/>
    <w:uiPriority w:val="99"/>
    <w:unhideWhenUsed/>
    <w:rsid w:val="004C2089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20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42</Pages>
  <Words>4093</Words>
  <Characters>23335</Characters>
  <Application>Microsoft Office Word</Application>
  <DocSecurity>0</DocSecurity>
  <Lines>194</Lines>
  <Paragraphs>54</Paragraphs>
  <ScaleCrop>false</ScaleCrop>
  <Company/>
  <LinksUpToDate>false</LinksUpToDate>
  <CharactersWithSpaces>27374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2024-01-08T15:27:00Z</dcterms:created>
  <dcterms:modified xsi:type="dcterms:W3CDTF">2024-01-08T14:40:00Z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2018-12-19T00:00:00Z</vt:filetime>
  </property>
  <property fmtid="{D5CDD505-2E9C-101B-9397-08002B2CF9AE}" pid="3" name="LastSaved">
    <vt:filetime>2024-01-08T00:00:00Z</vt:filetime>
  </property>
</Properties>
</file>