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4"/>
        <w:gridCol w:w="10016"/>
      </w:tblGrid>
      <w:tr w:rsidR="00E621AF" w:rsidRPr="0077367D" w:rsidTr="00F42A04">
        <w:trPr>
          <w:tblCellSpacing w:w="15" w:type="dxa"/>
        </w:trPr>
        <w:tc>
          <w:tcPr>
            <w:tcW w:w="476" w:type="pct"/>
            <w:shd w:val="clear" w:color="auto" w:fill="A41E1C"/>
            <w:vAlign w:val="center"/>
          </w:tcPr>
          <w:p w:rsidR="00E621AF" w:rsidRPr="0077367D" w:rsidRDefault="00E621AF" w:rsidP="00F42A04">
            <w:pPr>
              <w:pStyle w:val="NASLOVZLATO"/>
            </w:pPr>
            <w:r w:rsidRPr="0077367D">
              <w:rPr>
                <w:lang w:val="en-US" w:eastAsia="en-US"/>
              </w:rPr>
              <w:drawing>
                <wp:inline distT="0" distB="0" distL="0" distR="0">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BC5B96" w:rsidRDefault="00BC5B96" w:rsidP="00F42A04">
            <w:pPr>
              <w:pStyle w:val="NASLOVBELO"/>
              <w:rPr>
                <w:color w:val="FFE599"/>
                <w:lang w:val="en-US"/>
              </w:rPr>
            </w:pPr>
            <w:r>
              <w:rPr>
                <w:color w:val="FFE599"/>
                <w:lang w:val="sr-Cyrl-RS"/>
              </w:rPr>
              <w:t>ПРАВИЛНИК</w:t>
            </w:r>
          </w:p>
          <w:p w:rsidR="00E621AF" w:rsidRPr="0077367D" w:rsidRDefault="00B86859" w:rsidP="00F42A04">
            <w:pPr>
              <w:pStyle w:val="NASLOVBELO"/>
            </w:pPr>
            <w:r w:rsidRPr="00BC5B96">
              <w:t>О ИЗМЕНАМА И ДОПУНАМА ПРАВИЛНИКА О УПИСУ У РЕГИСТАР ПОЉОПРИВРЕДНИХ ГАЗДИНСТАВА, ПРОМЕНИ ПОДАТАКА И ОБНОВИ РЕГИСТРАЦИЈЕ, ЕЛЕКТРОНСКОМ ПОСТУПАЊУ, КАО И О УСЛОВИМА ЗА ПАСИВАН СТАТУС ПОЉОПРИВРЕДНОГ ГАЗДИНСТВА</w:t>
            </w:r>
          </w:p>
          <w:p w:rsidR="00E621AF" w:rsidRPr="0077367D" w:rsidRDefault="00B86859" w:rsidP="00B86859">
            <w:pPr>
              <w:pStyle w:val="podnaslovpropisa"/>
            </w:pPr>
            <w:r>
              <w:t>("Сл. гласник РС", бр. 3</w:t>
            </w:r>
            <w:r w:rsidR="00E621AF" w:rsidRPr="0077367D">
              <w:t>/202</w:t>
            </w:r>
            <w:r>
              <w:t>4</w:t>
            </w:r>
            <w:r w:rsidR="00E621AF" w:rsidRPr="0077367D">
              <w:t>)</w:t>
            </w:r>
          </w:p>
        </w:tc>
      </w:tr>
    </w:tbl>
    <w:p w:rsidR="00855F57" w:rsidRPr="00855F57" w:rsidRDefault="00855F57" w:rsidP="00E621AF">
      <w:pPr>
        <w:ind w:left="625"/>
        <w:jc w:val="center"/>
        <w:rPr>
          <w:rFonts w:ascii="Arial" w:hAnsi="Arial" w:cs="Arial"/>
          <w:sz w:val="4"/>
          <w:szCs w:val="4"/>
        </w:rPr>
      </w:pPr>
      <w:bookmarkStart w:id="0" w:name="str_1"/>
      <w:bookmarkStart w:id="1" w:name="_GoBack"/>
      <w:bookmarkEnd w:id="0"/>
    </w:p>
    <w:bookmarkEnd w:id="1"/>
    <w:p w:rsidR="00855F57" w:rsidRDefault="00855F57" w:rsidP="00E621AF">
      <w:pPr>
        <w:ind w:left="625"/>
        <w:jc w:val="center"/>
        <w:rPr>
          <w:rFonts w:ascii="Arial" w:hAnsi="Arial" w:cs="Arial"/>
          <w:sz w:val="20"/>
        </w:rPr>
      </w:pPr>
      <w:r>
        <w:rPr>
          <w:noProof/>
        </w:rPr>
        <w:drawing>
          <wp:inline distT="0" distB="0" distL="0" distR="0" wp14:anchorId="0FE398A9" wp14:editId="296445EA">
            <wp:extent cx="5450205" cy="8258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50205" cy="8258810"/>
                    </a:xfrm>
                    <a:prstGeom prst="rect">
                      <a:avLst/>
                    </a:prstGeom>
                  </pic:spPr>
                </pic:pic>
              </a:graphicData>
            </a:graphic>
          </wp:inline>
        </w:drawing>
      </w:r>
    </w:p>
    <w:p w:rsidR="00855F57" w:rsidRPr="0077367D" w:rsidRDefault="00855F57" w:rsidP="00E621AF">
      <w:pPr>
        <w:ind w:left="625"/>
        <w:jc w:val="center"/>
        <w:rPr>
          <w:rFonts w:ascii="Arial" w:hAnsi="Arial" w:cs="Arial"/>
          <w:sz w:val="20"/>
        </w:rPr>
      </w:pPr>
      <w:r>
        <w:rPr>
          <w:noProof/>
        </w:rPr>
        <w:lastRenderedPageBreak/>
        <w:drawing>
          <wp:inline distT="0" distB="0" distL="0" distR="0" wp14:anchorId="060D54B9" wp14:editId="3CA9B7A0">
            <wp:extent cx="5748053" cy="1877413"/>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48053" cy="1877413"/>
                    </a:xfrm>
                    <a:prstGeom prst="rect">
                      <a:avLst/>
                    </a:prstGeom>
                  </pic:spPr>
                </pic:pic>
              </a:graphicData>
            </a:graphic>
          </wp:inline>
        </w:drawing>
      </w:r>
    </w:p>
    <w:sectPr w:rsidR="00855F57" w:rsidRPr="0077367D" w:rsidSect="00BC5B96">
      <w:type w:val="continuous"/>
      <w:pgSz w:w="12480" w:h="15690"/>
      <w:pgMar w:top="1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A9" w:rsidRDefault="003F20A9" w:rsidP="00E621AF">
      <w:r>
        <w:separator/>
      </w:r>
    </w:p>
  </w:endnote>
  <w:endnote w:type="continuationSeparator" w:id="0">
    <w:p w:rsidR="003F20A9" w:rsidRDefault="003F20A9"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A9" w:rsidRDefault="003F20A9" w:rsidP="00E621AF">
      <w:r>
        <w:separator/>
      </w:r>
    </w:p>
  </w:footnote>
  <w:footnote w:type="continuationSeparator" w:id="0">
    <w:p w:rsidR="003F20A9" w:rsidRDefault="003F20A9"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F20A9"/>
    <w:rsid w:val="00606F5D"/>
    <w:rsid w:val="006150AB"/>
    <w:rsid w:val="00855F57"/>
    <w:rsid w:val="008F43F5"/>
    <w:rsid w:val="00B86859"/>
    <w:rsid w:val="00BC5B96"/>
    <w:rsid w:val="00E621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2024-01-15T08:06:00Z</dcterms:created>
  <dcterms:modified xsi:type="dcterms:W3CDTF">2024-01-15T08:09:00Z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