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887"/>
      </w:tblGrid>
      <w:tr w:rsidR="00D13326" w:rsidRPr="003F48C7" w:rsidTr="00106FF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02DB0DD" wp14:editId="23E6FDEE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9B0344" w:rsidRPr="009B0344" w:rsidRDefault="00A529E1" w:rsidP="009B0344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ПРАВИЛНИК</w:t>
            </w:r>
            <w:r w:rsidR="004D5630" w:rsidRPr="004D5630">
              <w:rPr>
                <w:color w:val="FFE599"/>
              </w:rPr>
              <w:t xml:space="preserve"> </w:t>
            </w:r>
            <w:r w:rsidR="00965645" w:rsidRPr="00965645">
              <w:rPr>
                <w:color w:val="FFE599"/>
              </w:rPr>
              <w:t xml:space="preserve"> </w:t>
            </w:r>
          </w:p>
          <w:p w:rsidR="00043E6B" w:rsidRPr="003F48C7" w:rsidRDefault="00A529E1" w:rsidP="009B0344">
            <w:pPr>
              <w:pStyle w:val="NASLOVBELO"/>
            </w:pPr>
            <w:r w:rsidRPr="00A529E1">
              <w:rPr>
                <w:lang w:val="sr-Cyrl-RS"/>
              </w:rPr>
              <w:t>О УТВРЂИВАЊУ ПРОГРАМА МОНИТОРИНГА БЕЗБЕДНОСТИ ХРАНЕ ЖИВОТИЊСКОГ ПОРЕКЛА И ХРАНЕ ЗА ЖИВОТИЊЕ КОЈА СЕ УВОЗИ ЗА 2024. ГОДИНУ</w:t>
            </w:r>
            <w:r w:rsidR="004D5630" w:rsidRPr="003F48C7">
              <w:t xml:space="preserve"> </w:t>
            </w:r>
          </w:p>
          <w:p w:rsidR="00D13326" w:rsidRPr="003F48C7" w:rsidRDefault="00806E64" w:rsidP="00A529E1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A529E1">
              <w:rPr>
                <w:sz w:val="18"/>
                <w:szCs w:val="18"/>
              </w:rPr>
              <w:t>34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A529E1" w:rsidRDefault="00A529E1" w:rsidP="00DD76B9">
      <w:pPr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</w:rPr>
      </w:pPr>
    </w:p>
    <w:p w:rsidR="00A529E1" w:rsidRPr="002651F8" w:rsidRDefault="00A529E1" w:rsidP="002651F8">
      <w:pPr>
        <w:pStyle w:val="clan"/>
        <w:spacing w:before="330"/>
        <w:ind w:firstLine="480"/>
        <w:rPr>
          <w:rFonts w:ascii="Arial" w:eastAsia="Times New Roman" w:hAnsi="Arial" w:cs="Arial"/>
          <w:b w:val="0"/>
          <w:noProof w:val="0"/>
          <w:color w:val="000000"/>
          <w:sz w:val="20"/>
          <w:szCs w:val="20"/>
        </w:rPr>
      </w:pPr>
      <w:r w:rsidRPr="002651F8">
        <w:rPr>
          <w:rFonts w:ascii="Arial" w:eastAsia="Times New Roman" w:hAnsi="Arial" w:cs="Arial"/>
          <w:bCs/>
          <w:noProof w:val="0"/>
          <w:color w:val="000000"/>
          <w:sz w:val="20"/>
          <w:szCs w:val="20"/>
        </w:rPr>
        <w:t xml:space="preserve"> </w:t>
      </w:r>
      <w:proofErr w:type="gramStart"/>
      <w:r w:rsidRPr="002651F8">
        <w:rPr>
          <w:rFonts w:ascii="Arial" w:eastAsia="Times New Roman" w:hAnsi="Arial" w:cs="Arial"/>
          <w:b w:val="0"/>
          <w:noProof w:val="0"/>
          <w:color w:val="000000"/>
          <w:sz w:val="20"/>
          <w:szCs w:val="20"/>
        </w:rPr>
        <w:t>ПРОГРАМ МОНИТОРИНГА</w:t>
      </w:r>
      <w:r w:rsidRPr="002651F8">
        <w:rPr>
          <w:rFonts w:ascii="Arial" w:eastAsia="Times New Roman" w:hAnsi="Arial" w:cs="Arial"/>
          <w:b w:val="0"/>
          <w:noProof w:val="0"/>
          <w:color w:val="000000"/>
          <w:sz w:val="20"/>
          <w:szCs w:val="20"/>
        </w:rPr>
        <w:br/>
        <w:t>БЕЗБЕДНОСТИ ХРАНЕ ЖИВОТИЊСКОГ ПОРЕКЛА И ХРАНЕ ЗА ЖИВОТИЊЕ КОЈА СЕ УВОЗИ ЗА 2024.</w:t>
      </w:r>
      <w:proofErr w:type="gramEnd"/>
      <w:r w:rsidRPr="002651F8">
        <w:rPr>
          <w:rFonts w:ascii="Arial" w:eastAsia="Times New Roman" w:hAnsi="Arial" w:cs="Arial"/>
          <w:b w:val="0"/>
          <w:noProof w:val="0"/>
          <w:color w:val="000000"/>
          <w:sz w:val="20"/>
          <w:szCs w:val="20"/>
        </w:rPr>
        <w:t xml:space="preserve"> ГОДИНУ</w:t>
      </w:r>
    </w:p>
    <w:p w:rsidR="00A529E1" w:rsidRPr="00A529E1" w:rsidRDefault="00A529E1" w:rsidP="002651F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I. Потребна средства за финансирање Програма мониторинга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Потребна средства за финансирање Програма мониторинга безбедности хране животињског порекла и хране за животиње која се увози за 2024.годину, обезбеђена су Законом о буџету Републике Србије за 2024.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годину („Службени гласник РС”, број 92/23), у оквиру Раздела 24 – Министарство пољопривреде, шумарства и водопривреде, Глава 24.1 – Управа за ветерину, Програм 0109 – Безбедност хране, ветеринарска и фитосанитарна политика, Функција 760 – Здравство некласификовано на другом месту, Програмска активност/пројекат 0002 – Безбедност хране животињског порекла и хране за животиње, Економска класификација 451 – Субвенције јавним нефинансијским предузећима и организацијама у износу од 250.000.000 динара.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Укупна средства са наведене економске класификације у износу од 250.000.000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2024.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годину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05 број 401 – 662/2024 од 1.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фебруара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2024.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од чега за Програм мониторинга безбедности хране животињског порекла и хране за животиње у износу од 87.000.000 динара од којих је за Програм мониторинга безбедности хране животињског порекла и хране за животиње која се увози за 2024.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годину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износу од 40.000.000 динара.</w:t>
      </w:r>
    </w:p>
    <w:p w:rsidR="00A529E1" w:rsidRPr="00A529E1" w:rsidRDefault="00A529E1" w:rsidP="002651F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II. Mере које ће се предузети у случају присуства микробиолошких и хемијских контаминената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 случају пошиљака које не испуњавају прописане захтеве у складу са законом којим се уређује безбедност хране, односно законом којим се уређује ветеринарство, односно у случају присуства микробиолошких, хемијских и квалитативних неусаглашености са прописаним вредностима, надлежни орган спроводи активности како би се осигурало да се неусаглашеност отклони, и то: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обавештава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о природи пошиљке и њеној неусаглашености граничне прелазе на којима се обавља ветеринарско-санитарна контрола, у складу са законом којим се уређује ветеринарство;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обавештава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о неусаглашености увозника, који може да захтева додатно стручно мишљење (суперанализа), односно додатне анализе другог (контролног) узорка, које се обављају у акредитованој лабораторији са акредитованим методом у складу са законским прописима;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3)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забрањује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стављање у промет пошиљке, ако је примењиво;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4)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предузима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мере за које се сматра да су потребне како би се осигурала безбедност хране;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5)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обавештава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о неусаглашености надлежни орган државе извознице;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6)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предузима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друге мере и друге одговарајуће радње.</w:t>
      </w:r>
    </w:p>
    <w:p w:rsidR="00A529E1" w:rsidRPr="00A529E1" w:rsidRDefault="00A529E1" w:rsidP="002651F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III. Структура органа и организација за спровођење Програма мониторинга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Програм мониторинга спроводи надлежни орган преко граничних ветеринарских инспектора.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Лабораторијска испитивања спроводе лабораторијe: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које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су изабране путем конкурса у складу са законом којим се уређује безбедност хране;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које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су овлашћене за службене контроле у складу са законом којим се уређује област ветеринарства.</w:t>
      </w:r>
    </w:p>
    <w:p w:rsidR="00A529E1" w:rsidRPr="00A529E1" w:rsidRDefault="00A529E1" w:rsidP="002651F8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IV. Други параметри од значаја за спровођење Програма мониторинга</w:t>
      </w:r>
    </w:p>
    <w:p w:rsidR="00A529E1" w:rsidRPr="00A529E1" w:rsidRDefault="00A529E1" w:rsidP="002651F8">
      <w:pPr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  <w:t>1. План мониторинга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План мониторинга, којим се одређују параметри испитивања за микробиолошка и хемијска испитивања хране животињског порекла и хране за животиње, дат је у Табели 1 – План за узорковање пошиљки хране животињског порекла, овог програма и Табели 2 – План за узорковање пошиљки хране за животиње, овог програма.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lastRenderedPageBreak/>
        <w:t>Табела 1 – План за узорковање пошиљаки хране животињског порекла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7"/>
        <w:gridCol w:w="1837"/>
        <w:gridCol w:w="4899"/>
      </w:tblGrid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Пошиљка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Земља порекла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Параметар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Говеђе месо, расхлађено или замрзнуто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spp. Shiga toxin (токсин E. coli), антибиотици, сулфонамиди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Говеђа јетра, изнутрице jестиве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Тешки метали, антибиотици, сулфонамиди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Свињско месо, расхлађено или замрзнуто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S.typhimurium, S.enteritidis, антибиотици, сулфонамиди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Свињска јетра и изнутрице јестиве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Tешки метали, Антибиотици, сулфонамиди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Овчије месо расхлађено или замрзнуто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Shiga toxin (токсин E. coli)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Црева</w:t>
            </w:r>
          </w:p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(овце, свиње и говеда)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Антибиотици, сулфонамиди, тешки метали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Живинско месо, расхлађено или замрзнуто и изнутрице јестиве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S.typhimurium, S.enteritidis, Campylobacter (свеже месо), антибиотици, сулфонамиди, кокцидиостатици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Механички сепарисано месо живине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антибиотици, сулфонамиди,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Месо и јестиви остаци меса, сољени, у саламури, сушени или димљени (осим у конзерви)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Salmonella, Listeria, benzopyren и PAH (за димљене производе), сулфонамиди, нитрити, нитрати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Полупроизводи од меса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Listeria monocytogenes, Shiga toxin (токсин E. coli)-за произоде од говеђг меса, нитрити, нитрати, антибиотици,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Производи од меса (ферментисани, димљени или сушени)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Listeria monocytogenes, benzopyren и PAH (за димљене производе),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Барене и куване кобасице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Listeria monocytogenes, сулфити, сулфати,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Конзерве од меса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Сулфиторедукујуће клостридије, Salmonella spp, Listeria monocytogenes, aнтибиотици,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Риба морска расхлађена или замрзнута (уловљена у мору)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Тешки метали, хистамин, паразити,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Риба уловљена у мору и њихови производи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Риболовна подручја где су уловљени: ФАО 61, 67, 71, 77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Cs-137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Риба, сушена, димљена, сољена или у саламури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benzopyren и PAH, хистамин, тешки метали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Риба, расхлађена или замрзнута (морске рибе, аквакултура)*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Леукомалахит зелено, Aнтибиотици (хлорамфеникол, нитрофурани, нитромидазол)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Рибљи филети и остало рибље месо (немлевено или млевено), свеже, расхлађено или замрзнуто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Тешки метали, хистамин, паразити,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Рибље конзерве и производи од риба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Хистамин, тешки метали,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Риба слатководна расхлађена или замрзнута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Леукомалахит зелено,леукокристал виолет, брилијант зелено, Aнтибиотици (хлорамфеникол, нитрофурани, нитромидазол)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 xml:space="preserve">Љускари свежи, расхлађени, замрзнути, </w:t>
            </w: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lastRenderedPageBreak/>
              <w:t>припремљени или конзервисани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lastRenderedPageBreak/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 xml:space="preserve">Salmonella spp, Listeria monocytogenes (припремљени ракови) за ракове из аквакултуре </w:t>
            </w: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lastRenderedPageBreak/>
              <w:t>антибиотици, тешки метали, сулфити,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lastRenderedPageBreak/>
              <w:t>Мекушци свежи, расхлађени, замрзнути, припремљени или конзервисани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Escherichia coli, Listeria monocytogenes(припремљени мекушци), norovirus (GI, GII), тешки метали, Hepatitis A virus,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Пужеви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тешки метали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Млеко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Антибиотици, Афлатоксин М1, Enterobacteriaceae (пастеризовано млеко),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Млеко у праху и сурутка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Сир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Listeria monocytogenes, E.coli, коагулаза позитивне стафилококе, ентеротоксини стафилокока за сиреве са зрењем**, пареметри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Ферментисани производи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коагулаза позитивне стафилококе, сулфонамиди, антибиотици,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Маслац, павлака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Антибиотици, тешки метали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Производи од млека остали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E.coli,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Прехрамбени производи од брашна, прекрупе, гриза, тестенине, кус-кус, пекарски производи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pesticidi, Ethylen oxide, Ochratoxin A (OTA),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Сладолед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Salmonella spp, Ethylen oxide,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Сосови и њихови препарати; супе и чорбе и препарати за те производе; остали прехрамбени производи, на другом месту непоменути нити обухваћени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Listeria monocytogenes, Salmonella spp, Ethylen oxide,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Јаја и производи</w:t>
            </w:r>
          </w:p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од јаја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Listeria monocytogenes за производе од јаја, антибиотици, кокцидиостатици,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Мед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Антибиотици, сулфонамиди, acaricides (tau-fluvalinat,amitraz, acrinathrin), параметри квалитета</w:t>
            </w:r>
          </w:p>
        </w:tc>
      </w:tr>
      <w:tr w:rsidR="00A529E1" w:rsidRPr="00A529E1" w:rsidTr="009E646F">
        <w:tc>
          <w:tcPr>
            <w:tcW w:w="18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Полуприпремљена и припремљена јела од меса</w:t>
            </w:r>
          </w:p>
        </w:tc>
        <w:tc>
          <w:tcPr>
            <w:tcW w:w="8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2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spp, Listeria monocytogenes, E. coli (О 157:H7), Сулфиторедукујуће клостридије, параметри квалитета</w:t>
            </w:r>
          </w:p>
        </w:tc>
      </w:tr>
    </w:tbl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Напомене: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*) Уколико се таква врста рибе може конзумирати без термичке обраде, да се испита Listeria monocytogenes, SRPS EN ISO 11290-1:2017.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**) Ентеротоксине стафилокока радити само код позитивног налаза на коагулаза позитивне стафилококе.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Табела 2 – План за узорковање пошиљки хране за животиње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6"/>
        <w:gridCol w:w="1283"/>
        <w:gridCol w:w="7234"/>
      </w:tblGrid>
      <w:tr w:rsidR="00A529E1" w:rsidRPr="00A529E1" w:rsidTr="009E646F">
        <w:tc>
          <w:tcPr>
            <w:tcW w:w="10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Пошиљка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Земља порекла</w:t>
            </w:r>
          </w:p>
        </w:tc>
        <w:tc>
          <w:tcPr>
            <w:tcW w:w="3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Параметар</w:t>
            </w:r>
          </w:p>
        </w:tc>
      </w:tr>
      <w:tr w:rsidR="00A529E1" w:rsidRPr="00A529E1" w:rsidTr="009E646F">
        <w:tc>
          <w:tcPr>
            <w:tcW w:w="10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Храна за кућне љубимце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3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spp.</w:t>
            </w:r>
          </w:p>
        </w:tc>
      </w:tr>
      <w:tr w:rsidR="00A529E1" w:rsidRPr="00A529E1" w:rsidTr="009E646F">
        <w:tc>
          <w:tcPr>
            <w:tcW w:w="10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Рибље брашно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3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Salmonella, тешки метали, контаминација са протеинима животињског порекла, параметри квалитета</w:t>
            </w:r>
          </w:p>
        </w:tc>
      </w:tr>
      <w:tr w:rsidR="00A529E1" w:rsidRPr="00A529E1" w:rsidTr="009E646F">
        <w:tc>
          <w:tcPr>
            <w:tcW w:w="10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Млеко у праху за сточну храну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33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A529E1" w:rsidRPr="00A529E1" w:rsidRDefault="00A529E1" w:rsidP="002651F8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</w:pPr>
            <w:r w:rsidRPr="00A529E1">
              <w:rPr>
                <w:rFonts w:ascii="Arial" w:eastAsia="Times New Roman" w:hAnsi="Arial" w:cs="Arial"/>
                <w:noProof w:val="0"/>
                <w:sz w:val="20"/>
                <w:szCs w:val="20"/>
                <w:lang w:val="en-US"/>
              </w:rPr>
              <w:t>Salmonella spp. Clostridium perfringens, антибиотици</w:t>
            </w:r>
          </w:p>
        </w:tc>
      </w:tr>
    </w:tbl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lastRenderedPageBreak/>
        <w:t>Микробиолошка, хемијска и квалитативна испитивања спроводе се у складу са методама које су признате у Р.Србији, изузетно ако у Р.Србији не постоји призната метода испитивање спровести у складу са међународно признатом методом.</w:t>
      </w:r>
      <w:proofErr w:type="gramEnd"/>
    </w:p>
    <w:p w:rsidR="00A529E1" w:rsidRPr="00A529E1" w:rsidRDefault="00A529E1" w:rsidP="002651F8">
      <w:pPr>
        <w:ind w:firstLine="480"/>
        <w:contextualSpacing w:val="0"/>
        <w:jc w:val="center"/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  <w:t>2. Услови и начин узорковања и чувања узорака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Узорковање се врши у складу са Планом мониторинга.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Поступак узорковања, манипулације и обележавање узетих узорака врши се на прописан начин којим се осигурава њихова подобност за предвиђене анализе.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Узорковање треба извршити ненајављено, без унапред одређеног датума и времена, тако да постоји непредвидивост при избору пошиљке за узорковање.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Узорке треба узимати на начин који спречава вишеструко узорковање од истог произвођача или увозника.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 узорковању, на граничном прелазу дозвољава се присуство на месту узорковања странци или његовом овлашћеном заступнику.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Приликом узимања узорака за лабораторијска испитивања на граничном прелазу узимају се два узорка под идентичним условима и истовремено.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Први узорак се одмах доставља у лабораторију где се врши анализа, други узорак (контролни) чува се на граничном прелазу на сигурном месту, где није дозвољен приступ неовлашћеним особама у одговарајућим условима за испитивање, у случају потребе за додатним стручним мишљењем (суперанализа).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 случају да из техничких разлога, не постоји могућност да се узорковање изврши на граничном прелазу, узорковање се може обавити и на месту истовара пошиљке.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Приликом узимања узорка саставља се и записник о узорковању хране животињског порекла или хране за животиње који се увозе, ради лабораторијског испитивања ветеринарско-санитарне исправности (у даљем тексту: Записник о узорковању), чија је садржина дата у Табели 3 – Записник о узорковању, овог програма.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Примерак записника о узорковању који се доставља странци не садржи број/код узорка како би се обезбедила дискреција резултата лабораторијских испитивања.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2651F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6FA85FCF" wp14:editId="29708BED">
            <wp:extent cx="6411600" cy="9000000"/>
            <wp:effectExtent l="0" t="0" r="0" b="0"/>
            <wp:docPr id="15" name="Picture 15" descr="https://slgl.pravno-informacioni-sistem.rs/api/LawAdActAttachment/slike/1021267/Monitoring-bezbednosti-hran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1267/Monitoring-bezbednosti-hrane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2651F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5DB4C329" wp14:editId="7AAFE158">
            <wp:extent cx="6411600" cy="9000000"/>
            <wp:effectExtent l="0" t="0" r="0" b="0"/>
            <wp:docPr id="14" name="Picture 14" descr="https://slgl.pravno-informacioni-sistem.rs/api/LawAdActAttachment/slike/1021267/Monitoring-bezbednosti-hran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1267/Monitoring-bezbednosti-hrane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2651F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4864EAEC" wp14:editId="6295469C">
            <wp:extent cx="6411600" cy="9000000"/>
            <wp:effectExtent l="0" t="0" r="0" b="0"/>
            <wp:docPr id="13" name="Picture 13" descr="https://slgl.pravno-informacioni-sistem.rs/api/LawAdActAttachment/slike/1021267/Monitoring-bezbednosti-hrane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1267/Monitoring-bezbednosti-hrane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2651F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13C2B793" wp14:editId="30094145">
            <wp:extent cx="6411600" cy="9000000"/>
            <wp:effectExtent l="0" t="0" r="0" b="0"/>
            <wp:docPr id="12" name="Picture 12" descr="https://slgl.pravno-informacioni-sistem.rs/api/LawAdActAttachment/slike/1021267/Monitoring-bezbednosti-hrane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1267/Monitoring-bezbednosti-hrane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2651F8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6E19B6C0" wp14:editId="6B84D6EA">
            <wp:extent cx="6411600" cy="9000000"/>
            <wp:effectExtent l="0" t="0" r="0" b="0"/>
            <wp:docPr id="11" name="Picture 11" descr="https://slgl.pravno-informacioni-sistem.rs/api/LawAdActAttachment/slike/1021267/Monitoring-bezbednosti-hrane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1267/Monitoring-bezbednosti-hrane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1" w:rsidRPr="00A529E1" w:rsidRDefault="00A529E1" w:rsidP="002651F8">
      <w:pPr>
        <w:ind w:firstLine="480"/>
        <w:contextualSpacing w:val="0"/>
        <w:jc w:val="center"/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  <w:t>3. Tранспорт узорака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Узорци се преузимају и транспортују у лабораторију у најкраћем могућем року, у складу са уговором о пружању услуга са овлашћеном лабораторијом.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Транспорт је обавезан у специјализованом возилу, у којем је обезбеђен температурни режим и предузете све мере предострожности како би се избегла било каква промена у саставу узорка и спречило оштећење узорка, кварења или међусобне контаминације.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lastRenderedPageBreak/>
        <w:t>У случају микробиолошког испитивања, треба да постоји следљивост температуре узорка.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 ту сврху: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време узорковања, на граничном прелазу мери се температура узорка и евидентира вредност у пропратном писму о пријему узорка у лабораторију у делу предаје узорака;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2) </w:t>
      </w: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</w:t>
      </w:r>
      <w:proofErr w:type="gramEnd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пријему узорка, одговорно лице овлашћене лабораторије мери температуру узорка и евидентира је у пропратном писму о пријему узорака у лабораторију у делу пријем узорака, које се враћа граничном ветеринарском инспектору на граничном прелазу.</w:t>
      </w:r>
    </w:p>
    <w:p w:rsidR="00A529E1" w:rsidRPr="00A529E1" w:rsidRDefault="00A529E1" w:rsidP="002651F8">
      <w:pPr>
        <w:ind w:firstLine="480"/>
        <w:contextualSpacing w:val="0"/>
        <w:jc w:val="center"/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  <w:t>4. Достављање резултата лабораторијских анализа за дати узорак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Резултати лабораторијске анализе достављају се граничном прелазу где је извршено узорковање, а у случају лабораторијског налаза који не испуњава прописане захтеве у складу са законом којим се уређује безбедност хране, односно законом којим се уређује ветеринарство и надлежном органу.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 случају када се узорковање врши у месту истовара пошиљке, резултати лабораторијских анализа овлашћена лабораторија додатно доставља и у месту истовара пошиљке где је извршено узорковање.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Ако резултат није у складу са прописаним захтевима у складу са законом којим се уређује безбедност хране, односно законом којим се уређује ветеринарство, овлашћена лабораторија обавештење доставља у најкраћем могућем року.</w:t>
      </w:r>
      <w:proofErr w:type="gramEnd"/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Ако узорци који долазе у лабораторију нису погодни за анализу, они не би требало да буду подвргнути лабораторијској анализи о чему се обавештава надлежни орган и гранични прелаз, односно место истовара пошиљке где је извршено узорковање.</w:t>
      </w:r>
      <w:proofErr w:type="gramEnd"/>
    </w:p>
    <w:p w:rsidR="00A529E1" w:rsidRPr="00A529E1" w:rsidRDefault="00A529E1" w:rsidP="002651F8">
      <w:pPr>
        <w:ind w:firstLine="480"/>
        <w:contextualSpacing w:val="0"/>
        <w:jc w:val="center"/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</w:pPr>
      <w:r w:rsidRPr="00A529E1">
        <w:rPr>
          <w:rFonts w:ascii="Arial" w:eastAsia="Times New Roman" w:hAnsi="Arial" w:cs="Arial"/>
          <w:i/>
          <w:iCs/>
          <w:noProof w:val="0"/>
          <w:color w:val="000000"/>
          <w:sz w:val="20"/>
          <w:szCs w:val="20"/>
          <w:lang w:val="en-US"/>
        </w:rPr>
        <w:t>5. Извештај о спровођењу Плана мониторинга</w:t>
      </w: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 циљу спровођења ефикасне и ефективне координације и сарадње, сви гранични прелази на којима се обавља ветеринарско-санитарна контрола, у складу са законом којим се уређује ветеринарство, достављају извештај о спровођењу Плана мониторинга.</w:t>
      </w:r>
      <w:proofErr w:type="gramEnd"/>
    </w:p>
    <w:p w:rsidR="009E646F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A529E1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Извештај о спровођењу Плана мониторинга доставља се надлежном органу квартално, у форми табеле, чија је садржина дата у Табели 6 – Извештај о спровођењу Плана мониторинга, овог програма.</w:t>
      </w:r>
      <w:proofErr w:type="gramEnd"/>
    </w:p>
    <w:p w:rsidR="009E646F" w:rsidRDefault="009E646F">
      <w:pPr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</w:p>
    <w:p w:rsidR="00A529E1" w:rsidRPr="00A529E1" w:rsidRDefault="00A529E1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</w:p>
    <w:p w:rsidR="009E646F" w:rsidRDefault="009E646F" w:rsidP="002651F8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sectPr w:rsidR="009E646F" w:rsidSect="009E646F">
          <w:footerReference w:type="default" r:id="rId14"/>
          <w:pgSz w:w="11906" w:h="16838" w:code="9"/>
          <w:pgMar w:top="280" w:right="567" w:bottom="500" w:left="566" w:header="720" w:footer="181" w:gutter="0"/>
          <w:cols w:space="720"/>
          <w:docGrid w:linePitch="245"/>
        </w:sectPr>
      </w:pPr>
    </w:p>
    <w:p w:rsidR="00DD76B9" w:rsidRDefault="009E646F" w:rsidP="00DD76B9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12DDC58A" wp14:editId="60F00916">
            <wp:extent cx="8611200" cy="360000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B9" w:rsidRDefault="00DD76B9" w:rsidP="00DD76B9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0" w:name="_GoBack"/>
      <w:bookmarkEnd w:id="0"/>
    </w:p>
    <w:sectPr w:rsidR="00DD76B9" w:rsidSect="007434E0">
      <w:pgSz w:w="16838" w:h="11906" w:orient="landscape" w:code="9"/>
      <w:pgMar w:top="567" w:right="499" w:bottom="567" w:left="278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A20" w:rsidRDefault="00655A20">
    <w:pPr>
      <w:pStyle w:val="Footer"/>
      <w:jc w:val="center"/>
      <w:rPr>
        <w:caps/>
        <w:color w:val="5B9BD5" w:themeColor="accent1"/>
      </w:rPr>
    </w:pPr>
    <w:r>
      <w:rPr>
        <w:caps/>
        <w:noProof w:val="0"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noProof w:val="0"/>
        <w:color w:val="5B9BD5" w:themeColor="accent1"/>
      </w:rPr>
      <w:fldChar w:fldCharType="separate"/>
    </w:r>
    <w:r w:rsidR="007434E0">
      <w:rPr>
        <w:caps/>
        <w:color w:val="5B9BD5" w:themeColor="accent1"/>
      </w:rPr>
      <w:t>11</w:t>
    </w:r>
    <w:r>
      <w:rPr>
        <w:caps/>
        <w:color w:val="5B9BD5" w:themeColor="accent1"/>
      </w:rPr>
      <w:fldChar w:fldCharType="end"/>
    </w:r>
  </w:p>
  <w:p w:rsidR="00655A20" w:rsidRDefault="00655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grammar="clean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106FF3"/>
    <w:rsid w:val="00107EE9"/>
    <w:rsid w:val="00251BA3"/>
    <w:rsid w:val="002651F8"/>
    <w:rsid w:val="002E5A81"/>
    <w:rsid w:val="002F3DE1"/>
    <w:rsid w:val="003000EA"/>
    <w:rsid w:val="00336E62"/>
    <w:rsid w:val="003C3309"/>
    <w:rsid w:val="003F48C7"/>
    <w:rsid w:val="0043290A"/>
    <w:rsid w:val="00435D5D"/>
    <w:rsid w:val="0049412D"/>
    <w:rsid w:val="00497C37"/>
    <w:rsid w:val="004C0D0E"/>
    <w:rsid w:val="004D5630"/>
    <w:rsid w:val="004E2177"/>
    <w:rsid w:val="004F5E00"/>
    <w:rsid w:val="005266B2"/>
    <w:rsid w:val="00544086"/>
    <w:rsid w:val="005A276B"/>
    <w:rsid w:val="005B2843"/>
    <w:rsid w:val="005C0D1F"/>
    <w:rsid w:val="005F011C"/>
    <w:rsid w:val="00653F1E"/>
    <w:rsid w:val="00654EC5"/>
    <w:rsid w:val="00655A20"/>
    <w:rsid w:val="00682A9C"/>
    <w:rsid w:val="007434E0"/>
    <w:rsid w:val="007C29F8"/>
    <w:rsid w:val="007E42A7"/>
    <w:rsid w:val="00806E64"/>
    <w:rsid w:val="00814980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9E646F"/>
    <w:rsid w:val="00A0050D"/>
    <w:rsid w:val="00A05FC2"/>
    <w:rsid w:val="00A31AF5"/>
    <w:rsid w:val="00A529E1"/>
    <w:rsid w:val="00A7403C"/>
    <w:rsid w:val="00A92BCE"/>
    <w:rsid w:val="00AB5FE8"/>
    <w:rsid w:val="00AD0104"/>
    <w:rsid w:val="00BA6831"/>
    <w:rsid w:val="00C80BFB"/>
    <w:rsid w:val="00CA174C"/>
    <w:rsid w:val="00CB06A2"/>
    <w:rsid w:val="00D13326"/>
    <w:rsid w:val="00DA3A51"/>
    <w:rsid w:val="00DD76B9"/>
    <w:rsid w:val="00DF491D"/>
    <w:rsid w:val="00E62D25"/>
    <w:rsid w:val="00E8593B"/>
    <w:rsid w:val="00F21D6E"/>
    <w:rsid w:val="00FD3FF2"/>
    <w:rsid w:val="00FF122D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A529E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A529E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1664">
          <w:marLeft w:val="3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2024-04-22T06:39:00Z</dcterms:created>
  <dcterms:modified xsi:type="dcterms:W3CDTF">2024-04-22T07:04:00Z</dcterms:modified>
</cp:coreProperties>
</file>