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87547F" w:rsidRPr="0087547F" w:rsidRDefault="0026284B" w:rsidP="0087547F">
            <w:pPr>
              <w:pStyle w:val="NASLOVBELO"/>
              <w:spacing w:line="360" w:lineRule="auto"/>
              <w:rPr>
                <w:color w:val="FFE599"/>
              </w:rPr>
            </w:pPr>
            <w:r>
              <w:rPr>
                <w:color w:val="FFE599"/>
              </w:rPr>
              <w:t>ПРАВИЛНИК</w:t>
            </w:r>
          </w:p>
          <w:p w:rsidR="00D13326" w:rsidRPr="004D01F0" w:rsidRDefault="0026284B" w:rsidP="0026284B">
            <w:pPr>
              <w:pStyle w:val="NASLOVBELO"/>
            </w:pPr>
            <w:r>
              <w:t>О УТВРЂИВАЊУ ПРОГРАМА МОНИТОРИНГА БЕЗБЕДНОСТИ ХРАНЕ ЖИВОТИЊСКОГ ПОРЕКЛА И ХРАНЕ ЗА ЖИВОТИЊЕ КОЈА СЕ УВОЗИ ЗА 2026. ГОДИНУ</w:t>
            </w:r>
          </w:p>
          <w:p w:rsidR="00D13326" w:rsidRPr="004D01F0" w:rsidRDefault="00B913D9" w:rsidP="000D7AB0">
            <w:pPr>
              <w:pStyle w:val="podnaslovpropisa"/>
              <w:rPr>
                <w:sz w:val="18"/>
                <w:szCs w:val="18"/>
              </w:rPr>
            </w:pPr>
            <w:r w:rsidRPr="00B913D9">
              <w:rPr>
                <w:sz w:val="18"/>
                <w:szCs w:val="18"/>
              </w:rPr>
              <w:t xml:space="preserve">("Сл. гласник РС", бр. </w:t>
            </w:r>
            <w:r w:rsidR="00C24548">
              <w:rPr>
                <w:sz w:val="18"/>
                <w:szCs w:val="18"/>
                <w:lang w:val="sr-Cyrl-RS"/>
              </w:rPr>
              <w:t>3</w:t>
            </w:r>
            <w:r w:rsidR="000D7AB0">
              <w:rPr>
                <w:sz w:val="18"/>
                <w:szCs w:val="18"/>
                <w:lang w:val="en-US"/>
              </w:rPr>
              <w:t>7</w:t>
            </w:r>
            <w:r w:rsidR="00C24548">
              <w:rPr>
                <w:sz w:val="18"/>
                <w:szCs w:val="18"/>
                <w:lang w:val="sr-Cyrl-RS"/>
              </w:rPr>
              <w:t>/2026</w:t>
            </w:r>
            <w:r w:rsidRPr="00B913D9">
              <w:rPr>
                <w:sz w:val="18"/>
                <w:szCs w:val="18"/>
              </w:rPr>
              <w:t>)</w:t>
            </w:r>
          </w:p>
        </w:tc>
      </w:tr>
    </w:tbl>
    <w:p w:rsidR="00647F46" w:rsidRDefault="00647F46" w:rsidP="00647F46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717939" w:rsidRPr="00717939" w:rsidRDefault="00717939" w:rsidP="00717939">
      <w:pPr>
        <w:spacing w:before="330" w:after="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ПРОГРАМ МОНИТОРИНГА</w:t>
      </w:r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br/>
        <w:t>БЕЗБЕДНОСТИ ХРАНЕ ЖИВОТИЊСКОГ ПОРЕКЛА И ХРАНЕ ЗА ЖИВОТИЊЕ КОЈА СЕ УВОЗИ ЗА 2026.</w:t>
      </w:r>
      <w:proofErr w:type="gramEnd"/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 xml:space="preserve"> ГОДИНУ</w:t>
      </w:r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I. Потребна средства за финансирање Програма мониторинга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Потребна средства за финансирање Програма мониторинга, обезбеђена су Законом о буџету Републике Србије за 2026.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годину („Службени гласник РС”, број 108/25), у оквиру Раздела 24 – Министарство пољопривреде, шумарства и водопривреде, Глава 24.1 – Управа за ветерину, Програм 0109 – Безбедност хране, ветеринарска и фитосанитарна политика, Функција 760 – Здравство некласификовано на другом месту, Програмска активност/пројекат 0002 – Безбедност хране животињ</w:t>
      </w:r>
      <w:bookmarkStart w:id="0" w:name="_GoBack"/>
      <w:bookmarkEnd w:id="0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ског порекла и хране за животиње, Економска класификација 451 – Субвенције јавним нефинансијским предузећима и организацијама у износу од 250.000.000 динара.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Укупна средства са наведене економске класификације у износу од 250.000.000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2026.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годину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, 05 број 401-493/2026-1 од 22.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јануара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, од чега за Програм мониторинга безбедности хране животињског порекла и хране за животиње у износу од 70.000.000 динара, од којих за Програм мониторинга безбедности хране животињског порекла и хране за животиње која се увози за 2026.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годину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у износу од 35.000.000 динара.</w:t>
      </w:r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II. Mере које ће се предузети у случају присуства микробиолошких и хемијских контаминената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У случају пошиљака које не испуњавају прописане захтеве у складу са законом којим се уређује безбедност хране, односно законом којим се уређује ветеринарство, односно у случају присуства микробиолошких, хемијских и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квалитативних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неусаглашености са прописаним вредностима, надлежни орган спроводи активности како би се осигурало да се неусаглашеност отклони, и то: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обавештава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о природи пошиљке и њеној неусаглашености граничне прелазе на којима се обавља ветеринарско-санитарна контрола, у складу са законом којим се уређује ветеринарство;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обавештава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о неусаглашености увозника, који може да захтева додатно стручно мишљење (суперанализа), односно додатне анализе другог (контролног) узорка, које се обављају у акредитованој лабораторији са акредитованим методом у складу са законским прописима;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3)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забрањује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стављање у промет пошиљке, ако је примењиво;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4)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предузима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мере за које се сматра да су потребне како би се осигурала безбедност хране;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5)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обавештава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о неусаглашености надлежни орган државе извознице;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6)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предузима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друге мере и друге одговарајуће радње.</w:t>
      </w:r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III. Структура органа и организација за спровођење Програма мониторинга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Програм мониторинга спроводи надлежни орган преко граничних ветеринарских инспектора.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Лабораторијска испитивања спроводе лабораторијe: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које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су изабране путем конкурса у складу са законом којим се уређује безбедност хране;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lastRenderedPageBreak/>
        <w:t xml:space="preserve">2)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које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су овлашћене за службене контроле у складу са законом којим се уређује област ветеринарства.</w:t>
      </w:r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IV. Други параметри од значаја за спровођење Програма мониторинга</w:t>
      </w:r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i/>
          <w:iCs/>
          <w:noProof w:val="0"/>
          <w:color w:val="333333"/>
          <w:sz w:val="20"/>
          <w:szCs w:val="20"/>
          <w:lang w:val="en-US"/>
        </w:rPr>
        <w:t>1. План мониторинга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План мониторинга, којим се одређују параметри испитивања за микробиолошка и хемијска испитивања хране животињског порекла и хране за животиње, дат је у Табели 1 – План за узорковање пошиљки хране животињског порекла, овог програма и Табели 2 – План за узорковање пошиљки хране за животиње, овог програма.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Табела 1 – План за узорковање пошиљаки хране животињског порекла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1"/>
        <w:gridCol w:w="1308"/>
        <w:gridCol w:w="2338"/>
        <w:gridCol w:w="647"/>
        <w:gridCol w:w="647"/>
        <w:gridCol w:w="1227"/>
      </w:tblGrid>
      <w:tr w:rsidR="004F6546" w:rsidRPr="00717939" w:rsidTr="004F6546">
        <w:tc>
          <w:tcPr>
            <w:tcW w:w="2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Пошиљка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Земља порекла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Параметар</w:t>
            </w:r>
          </w:p>
        </w:tc>
        <w:tc>
          <w:tcPr>
            <w:tcW w:w="3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План узорковања</w:t>
            </w:r>
          </w:p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n/c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Критеријум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Говеђе месо, расхлађено или замрзнуто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 (у комадном месу)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Шигатоксигена E. coli (STEC)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 (кадмијум, олово)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Свињско месо, расхлађено или замрзнуто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Yersinia enterocolitica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Овчије месо расхлађено или замрзнуто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 (у комадном месу)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Шигатоксигена E. coli (STEC)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Говеђа јетра, свињска јетра и изнутрице jестиве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 (кадмијум, олово)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Сулфонамиди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Живинско месо, расхлађено или замрзнуто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Typhimurium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Enteritidis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Campylobacter spp. (у свежем месу)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Сулфонамиди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Кокцидиостатици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Механички сепарисано месо живине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10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Јестиве изнутрице живине свеже, расхлађене или смрзнуте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 (кадмијум, олово)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Месо и јестиви остаци меса, сољени, у саламури, сушени или димљени (осим у конзерви)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PAH (benzopyren за димљене производе)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 µg/kg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Морска риба жива, свежа и смрзнута (уловљена у мору)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 (уколико се таква врста рибе може конзумирати без термичке обраде)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Хистамин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9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mg/kg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200 mg/kg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Паразити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4)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Риба уловљена у мору и производи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Риболовна подручја где су уловљени: ФАО 61, 67, 71, 77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Цезијум-137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6)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Морска риба, жива, расхлађена или смрзнута (морска риба, аквакултура)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Леукомалахит зелено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Нитрофурани (AOZ)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Нитромидазоли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Риба слатководна жива, расхлађена или замрзнута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Леукомалахит зелено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Нитрофурани (AOZ)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Нитромидазоли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Рибљи филети и остало рибље месо (млевено или не), свеже, расхлађено или смрзнуто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 (кадмијум, олово)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Хистамин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9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mg/kg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200 mg/kg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Риба, сушена, димљена, сољена или у саламури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PAH (benzopyren за димљене производе)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 µg/kg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Хистамин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9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mg/kg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200 mg/kg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 (кадмијум, олово)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Ракови, свежи, расхлађени, смрзнути, припремљени или конзервирани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 (припремљени ракови)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 (за ракове из аквакултуре)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Сулфонамиди (за ракове из аквакултуре)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Леукомалахит зелено (за ракове из аквакултуре)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7)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Мекушци свежи, расхлађени, замрзнути, припремљени или конзервисани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Escherichia coli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230 MPN/100 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700 MPN/100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 (припремљени мекушци)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Норовируси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Пужеви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Млеко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Афлатоксин М1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 (пастеризовано млеко)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mL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Млеко упраху, кондензовано млеко и млечни напици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Стафилококни ентеротоксини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Афлатоксин М1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Ферментисани производи од млека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Сурутка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Стафилококни ентеротоксини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Маслац, масло и анхидрована млечна маст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Сир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Escherichia coli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1.000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Стафилококни ентеротоксини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Производи од млека, остали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Escherichia coli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Коагулаза позитивне стафилококе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Јаја и производи од јаја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Enterobacteriaceae (у производима од јаја)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Кокцидиостатици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9)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Мед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Сулфонамиди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Акарициди (тау-флувалинат, амитраз, кумафос)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10)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Црева овчија, говеђа и свињска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Сулфонамиди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Полупроизводи од меса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Escherichia coli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500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5.000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Производи од меса (ферментисани, димљени или сушени)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PAH (benzopyren за димљене производе)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 µg/kg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Барене и куване кобасице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Конзерве од меса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Аеробне мезофилне бактерије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&lt; 10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Сулфиторедукујуће Clostridium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&lt; 10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Рибље конзерве и рибљи производи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Хистамин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9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(200) mg/kg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200 (400) mg/kg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Прехрамбени производи од брашна, прекрупе, гриза, тестенине, кус-кус, пекарски производи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Пестициди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Сосови и њихови препарати; супе и чорбе и препарати за те производе; остали прехрамбени производи, на другом месту непоменути нити обухваћени, мешовити производи са уделом млечних компоненти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Сладолед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Enterobacteriaceae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100 CFU/g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Полуприпремљена и припремљена јела од меса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Listeria monocytogenes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Сулфиторедукујуће Clostridium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&lt; 10 CFU/g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3)</w:t>
            </w:r>
          </w:p>
        </w:tc>
      </w:tr>
      <w:tr w:rsidR="004F6546" w:rsidRPr="00717939" w:rsidTr="004F6546">
        <w:tc>
          <w:tcPr>
            <w:tcW w:w="22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Чоколадно млеко</w:t>
            </w:r>
          </w:p>
        </w:tc>
        <w:tc>
          <w:tcPr>
            <w:tcW w:w="7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Антибиотици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8)</w:t>
            </w:r>
          </w:p>
        </w:tc>
      </w:tr>
      <w:tr w:rsidR="004F6546" w:rsidRPr="00717939" w:rsidTr="004F6546">
        <w:tc>
          <w:tcPr>
            <w:tcW w:w="22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730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Bacillus cereus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 xml:space="preserve">M = 100 </w:t>
            </w: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CFU/g</w:t>
            </w:r>
          </w:p>
        </w:tc>
      </w:tr>
      <w:tr w:rsidR="004F6546" w:rsidRPr="00717939" w:rsidTr="004F6546">
        <w:tc>
          <w:tcPr>
            <w:tcW w:w="2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Желатин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2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</w:tbl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1) Правилник о максималним концентрацијама одређених контаминената у храни („Службени гласник РСˮ, бр. 73/24, 90/24, 47/25, 61/25 и 103/25);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2) Правилник о количинама пестицида, метала и металоида и других отровних супстанција, хемиотерапеутика, анаболика и других супстанција које се могу налазити у намирницама („Службени лист СРЈˮ, бр.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5/92, 11/92 – исправка и 32/02 и „Службени гласник РСˮ, бр.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25/10 – др.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правилник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28/11 – др.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правилник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3) Прaвилник о квалитету уситњеног меса, полупроизвода од меса и производа од меса („Службени гласник РСˮ, бр. 50/19 и 34/23);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4) Правилник о ветеринарско-санитарним условима, односно општим и посебним условима за хигијену хране животињског порекла, као и о условима хигијене хране животињског порекла („Службени гласник РСˮ, бр. 25/11, 27/14 и 86/23);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5) Правилник о квалитету за производе рибарства, шкољкаше, морске јежеве, морске краставце, жабе, корњаче, пужеве и њихове производе („Службени гласник РСˮ, број 51/21);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6) Правилник о границама садржаја радионуклида у води за пиће, животним намирницама, сточној храни, лековима, предметима опште употребе, грађевинском материјалу и другој роби која се ставља у промет („Службени гласник РСˮ, број 36/18);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7) Правилник о Листи супстанци које се не могу употребљавати у производњи ветеринарских лекова за лечење животиња чији се производи користе за исхрану људи („Службени гласник РСˮ, број 118/25);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8) Правилник о квалитету производа од млека и стартер култура („Службени гласник РСˮ, бр.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33/10, 69/10, 43/13 – др.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правилник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и 34/14);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9) Правилник о квалитету јаја („Службени гласник РС”, бр. 7/19, 35/19 и 78/19);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10) Прaвилник o квaлитeту мeдa и других прoизвoдa пчeлa („Службени гласник РСˮ, број 101/15).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11) Правилник о максимално дозвољеним количинама остатака средстава за заштиту биља у храни и храни за животиње („Службени гласник РСˮ, број 13/26);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Табела 2 – План за узорковање пошиљки хране за животиње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4"/>
        <w:gridCol w:w="1352"/>
        <w:gridCol w:w="4106"/>
        <w:gridCol w:w="759"/>
        <w:gridCol w:w="761"/>
        <w:gridCol w:w="1476"/>
      </w:tblGrid>
      <w:tr w:rsidR="00A6386C" w:rsidRPr="00717939" w:rsidTr="00A6386C">
        <w:tc>
          <w:tcPr>
            <w:tcW w:w="1111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Пошиљка</w:t>
            </w:r>
          </w:p>
        </w:tc>
        <w:tc>
          <w:tcPr>
            <w:tcW w:w="622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Земља порекла</w:t>
            </w: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Параметар</w:t>
            </w:r>
          </w:p>
        </w:tc>
        <w:tc>
          <w:tcPr>
            <w:tcW w:w="699" w:type="pct"/>
            <w:gridSpan w:val="2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План узорковања</w:t>
            </w:r>
          </w:p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n/c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b/>
                <w:bCs/>
                <w:noProof w:val="0"/>
                <w:color w:val="333333"/>
                <w:sz w:val="20"/>
                <w:szCs w:val="20"/>
                <w:lang w:val="en-US"/>
              </w:rPr>
              <w:t>Критеријум</w:t>
            </w:r>
          </w:p>
        </w:tc>
      </w:tr>
      <w:tr w:rsidR="004F6546" w:rsidRPr="00717939" w:rsidTr="00A6386C">
        <w:tc>
          <w:tcPr>
            <w:tcW w:w="1111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Храна за кућне љубимце</w:t>
            </w:r>
          </w:p>
        </w:tc>
        <w:tc>
          <w:tcPr>
            <w:tcW w:w="622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A6386C">
        <w:tc>
          <w:tcPr>
            <w:tcW w:w="1111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Enterobacteriaceae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300 CFU/g</w:t>
            </w:r>
          </w:p>
        </w:tc>
      </w:tr>
      <w:tr w:rsidR="004F6546" w:rsidRPr="00717939" w:rsidTr="00A6386C">
        <w:tc>
          <w:tcPr>
            <w:tcW w:w="1111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Рибље брашно</w:t>
            </w:r>
          </w:p>
        </w:tc>
        <w:tc>
          <w:tcPr>
            <w:tcW w:w="622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A6386C">
        <w:tc>
          <w:tcPr>
            <w:tcW w:w="1111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Тешки метали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12)</w:t>
            </w:r>
          </w:p>
        </w:tc>
      </w:tr>
      <w:tr w:rsidR="004F6546" w:rsidRPr="00717939" w:rsidTr="00A6386C">
        <w:tc>
          <w:tcPr>
            <w:tcW w:w="1111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Kонтаминација са протеинима животињског порекла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12)</w:t>
            </w:r>
          </w:p>
        </w:tc>
      </w:tr>
      <w:tr w:rsidR="004F6546" w:rsidRPr="00717939" w:rsidTr="00A6386C">
        <w:tc>
          <w:tcPr>
            <w:tcW w:w="1111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Параметри квалитета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12)</w:t>
            </w:r>
          </w:p>
        </w:tc>
      </w:tr>
      <w:tr w:rsidR="004F6546" w:rsidRPr="00717939" w:rsidTr="00A6386C">
        <w:tc>
          <w:tcPr>
            <w:tcW w:w="1111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lastRenderedPageBreak/>
              <w:t>Млеко у праху за сточну храну</w:t>
            </w:r>
          </w:p>
        </w:tc>
        <w:tc>
          <w:tcPr>
            <w:tcW w:w="622" w:type="pct"/>
            <w:vMerge w:val="restar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Све земље</w:t>
            </w: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Salmonella spp.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0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не сме бити у 25 g</w:t>
            </w:r>
          </w:p>
        </w:tc>
      </w:tr>
      <w:tr w:rsidR="004F6546" w:rsidRPr="00717939" w:rsidTr="00A6386C">
        <w:tc>
          <w:tcPr>
            <w:tcW w:w="1111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622" w:type="pct"/>
            <w:vMerge/>
            <w:shd w:val="clear" w:color="auto" w:fill="auto"/>
            <w:vAlign w:val="center"/>
            <w:hideMark/>
          </w:tcPr>
          <w:p w:rsidR="00717939" w:rsidRPr="00717939" w:rsidRDefault="00717939" w:rsidP="00717939">
            <w:pPr>
              <w:spacing w:before="0" w:after="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188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Enterobacteriaceae</w:t>
            </w:r>
          </w:p>
        </w:tc>
        <w:tc>
          <w:tcPr>
            <w:tcW w:w="34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5</w:t>
            </w:r>
          </w:p>
        </w:tc>
        <w:tc>
          <w:tcPr>
            <w:tcW w:w="350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2</w:t>
            </w:r>
          </w:p>
        </w:tc>
        <w:tc>
          <w:tcPr>
            <w:tcW w:w="679" w:type="pct"/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10 CFU/g</w:t>
            </w:r>
          </w:p>
          <w:p w:rsidR="00717939" w:rsidRPr="00717939" w:rsidRDefault="00717939" w:rsidP="00717939">
            <w:pPr>
              <w:spacing w:before="0" w:after="150"/>
              <w:contextualSpacing w:val="0"/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</w:pPr>
            <w:r w:rsidRPr="00717939">
              <w:rPr>
                <w:rFonts w:ascii="Arial" w:eastAsia="Times New Roman" w:hAnsi="Arial" w:cs="Arial"/>
                <w:noProof w:val="0"/>
                <w:color w:val="333333"/>
                <w:sz w:val="20"/>
                <w:szCs w:val="20"/>
                <w:lang w:val="en-US"/>
              </w:rPr>
              <w:t>M = 300 CFU/g</w:t>
            </w:r>
          </w:p>
        </w:tc>
      </w:tr>
    </w:tbl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12) Правилник о квалитету хране за животиње („Службени гласник РСˮ, бр. 4/10, 113/12, 27/14, 25/15, 39/16 и 54/17)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Микробиолошка, хемијска и квалитативна испитивања спроводе се у складу са методама које су признате у Републици Србији, изузетно ако у Републици Србији не постоји призната метода испитивање спровести у складу са међународно признатом методом.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Лабораторијске анализе врше се у складу са правилницима прописаним овим правилником, као и њиховим изменама и допунама.</w:t>
      </w:r>
      <w:proofErr w:type="gramEnd"/>
    </w:p>
    <w:p w:rsidR="00717939" w:rsidRPr="00717939" w:rsidRDefault="00717939" w:rsidP="00717939">
      <w:pPr>
        <w:spacing w:before="330"/>
        <w:ind w:firstLine="480"/>
        <w:contextualSpacing w:val="0"/>
        <w:jc w:val="center"/>
        <w:rPr>
          <w:rFonts w:ascii="Arial" w:eastAsia="Times New Roman" w:hAnsi="Arial" w:cs="Arial"/>
          <w:i/>
          <w:iCs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i/>
          <w:iCs/>
          <w:noProof w:val="0"/>
          <w:color w:val="333333"/>
          <w:sz w:val="20"/>
          <w:szCs w:val="20"/>
          <w:lang w:val="en-US"/>
        </w:rPr>
        <w:t>2. Услови и начин узорковања и чувања узорака</w:t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Узорковање се врши у складу са Планом мониторинга.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Поступак узорковања, манипулације и обележавање узетих узорака врши се на прописан начин којим се осигурава њихова подобност за предвиђене анализе.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Узорковање треба извршити ненајављено, без унапред одређеног датума и времена, тако да постоји непредвидивост при избору пошиљке за узорковање.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Узорке треба узимати на начин који спречава вишеструко узорковање од истог произвођача или увозника.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 узорковању, на граничном прелазу дозвољава се присуство на месту узорковања странци или његовом овлашћеном заступнику.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Приликом узимања узорака за лабораторијска испитивања на граничном прелазу узимају се два узорка под идентичним условима и истовремено.</w:t>
      </w:r>
      <w:proofErr w:type="gramEnd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Први узорак се одмах доставља у лабораторију где се врши анализа, други узорак (контролни) чува се на граничном прелазу на сигурном месту, где није дозвољен приступ неовлашћеним особама у одговарајућим условима за испитивање, у случају потребе за додатним стручним мишљењем (суперанализа).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случају да из техничких разлога, не постоји могућност да се узорковање изврши на граничном прелазу, узорковање се може обавити и на месту истовара пошиљке.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Приликом узимања узорка саставља се и записник о узорковању хране животињског порекла или хране за животиње који се увозе, ради лабораторијског испитивања ветеринарско-санитарне исправности (у даљем тексту: Записник о узорковању), чија је садржина дата у Табели 3 – Записник о узорковању, овог програма. </w:t>
      </w:r>
      <w:proofErr w:type="gramStart"/>
      <w:r w:rsidRPr="0071793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Примерак записника о узорковању који се доставља странци не садржи број/код узорка како би се обезбедила дискреција резултата лабораторијских испитивања.</w:t>
      </w:r>
      <w:proofErr w:type="gramEnd"/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494011C" wp14:editId="0CFB4B1E">
            <wp:extent cx="6408000" cy="9000000"/>
            <wp:effectExtent l="0" t="0" r="0" b="0"/>
            <wp:docPr id="30" name="Picture 30" descr="https://reg.pravno-informacioni-sistem.rs/api/Attachment/slike/440014/Monitoring-bezbednosti-hrane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40014/Monitoring-bezbednosti-hrane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F7D7D5D" wp14:editId="2C3F2CDB">
            <wp:extent cx="6408000" cy="9000000"/>
            <wp:effectExtent l="0" t="0" r="0" b="0"/>
            <wp:docPr id="29" name="Picture 29" descr="https://reg.pravno-informacioni-sistem.rs/api/Attachment/slike/440014/Monitoring-bezbednosti-hrane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g.pravno-informacioni-sistem.rs/api/Attachment/slike/440014/Monitoring-bezbednosti-hrane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EA89FC2" wp14:editId="760592EA">
            <wp:extent cx="6408000" cy="9000000"/>
            <wp:effectExtent l="0" t="0" r="0" b="0"/>
            <wp:docPr id="28" name="Picture 28" descr="https://reg.pravno-informacioni-sistem.rs/api/Attachment/slike/440014/Monitoring-bezbednosti-hrane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g.pravno-informacioni-sistem.rs/api/Attachment/slike/440014/Monitoring-bezbednosti-hrane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EE2191D" wp14:editId="52EA3BFC">
            <wp:extent cx="5896800" cy="8280000"/>
            <wp:effectExtent l="0" t="0" r="0" b="0"/>
            <wp:docPr id="27" name="Picture 27" descr="https://reg.pravno-informacioni-sistem.rs/api/Attachment/slike/440014/Monitoring-bezbednosti-hrane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.pravno-informacioni-sistem.rs/api/Attachment/slike/440014/Monitoring-bezbednosti-hrane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F0C1333" wp14:editId="0D4997DF">
            <wp:extent cx="5896800" cy="8280000"/>
            <wp:effectExtent l="0" t="0" r="0" b="0"/>
            <wp:docPr id="26" name="Picture 26" descr="https://reg.pravno-informacioni-sistem.rs/api/Attachment/slike/440014/Monitoring-bezbednosti-hrane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40014/Monitoring-bezbednosti-hrane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939" w:rsidRPr="00717939" w:rsidRDefault="00717939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B5401BA" wp14:editId="40D333DB">
            <wp:extent cx="5896800" cy="8280000"/>
            <wp:effectExtent l="0" t="0" r="0" b="0"/>
            <wp:docPr id="25" name="Picture 25" descr="https://reg.pravno-informacioni-sistem.rs/api/Attachment/slike/440014/Monitoring-bezbednosti-hrane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.pravno-informacioni-sistem.rs/api/Attachment/slike/440014/Monitoring-bezbednosti-hrane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46" w:rsidRDefault="004F6546" w:rsidP="00717939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sectPr w:rsidR="004F6546" w:rsidSect="001069E8">
          <w:footerReference w:type="default" r:id="rId15"/>
          <w:pgSz w:w="12480" w:h="15710"/>
          <w:pgMar w:top="567" w:right="851" w:bottom="567" w:left="851" w:header="720" w:footer="720" w:gutter="0"/>
          <w:cols w:space="720"/>
        </w:sectPr>
      </w:pPr>
    </w:p>
    <w:p w:rsidR="00717939" w:rsidRDefault="00717939" w:rsidP="004F6546">
      <w:pPr>
        <w:spacing w:before="0" w:after="150"/>
        <w:ind w:firstLine="480"/>
        <w:contextualSpacing w:val="0"/>
        <w:rPr>
          <w:rFonts w:ascii="Arial" w:eastAsia="Verdana" w:hAnsi="Arial" w:cs="Arial"/>
          <w:sz w:val="20"/>
          <w:szCs w:val="20"/>
        </w:rPr>
      </w:pPr>
      <w:r w:rsidRPr="00717939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56C0CDA" wp14:editId="7D35ED65">
            <wp:extent cx="8596800" cy="6120000"/>
            <wp:effectExtent l="0" t="0" r="0" b="0"/>
            <wp:docPr id="24" name="Picture 24" descr="https://reg.pravno-informacioni-sistem.rs/api/Attachment/slike/440014/Monitoring-bezbednosti-hrane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40014/Monitoring-bezbednosti-hrane_Page_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68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939" w:rsidSect="004F6546">
      <w:pgSz w:w="15710" w:h="12480" w:orient="landscape"/>
      <w:pgMar w:top="567" w:right="380" w:bottom="431" w:left="27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731" w:rsidRPr="00562731" w:rsidRDefault="00562731">
    <w:pPr>
      <w:pStyle w:val="Footer"/>
      <w:jc w:val="center"/>
      <w:rPr>
        <w:caps/>
        <w:color w:val="5B9BD5"/>
      </w:rPr>
    </w:pPr>
    <w:r w:rsidRPr="00562731">
      <w:rPr>
        <w:caps/>
        <w:noProof w:val="0"/>
        <w:color w:val="5B9BD5"/>
      </w:rPr>
      <w:fldChar w:fldCharType="begin"/>
    </w:r>
    <w:r w:rsidRPr="00562731">
      <w:rPr>
        <w:caps/>
        <w:color w:val="5B9BD5"/>
      </w:rPr>
      <w:instrText xml:space="preserve"> PAGE   \* MERGEFORMAT </w:instrText>
    </w:r>
    <w:r w:rsidRPr="00562731">
      <w:rPr>
        <w:caps/>
        <w:noProof w:val="0"/>
        <w:color w:val="5B9BD5"/>
      </w:rPr>
      <w:fldChar w:fldCharType="separate"/>
    </w:r>
    <w:r w:rsidR="001069E8">
      <w:rPr>
        <w:caps/>
        <w:color w:val="5B9BD5"/>
      </w:rPr>
      <w:t>17</w:t>
    </w:r>
    <w:r w:rsidRPr="00562731">
      <w:rPr>
        <w:caps/>
        <w:color w:val="5B9BD5"/>
      </w:rPr>
      <w:fldChar w:fldCharType="end"/>
    </w:r>
  </w:p>
  <w:p w:rsidR="00562731" w:rsidRDefault="00562731">
    <w:pPr>
      <w:pStyle w:val="Footer"/>
    </w:pPr>
  </w:p>
  <w:p w:rsidR="00F44E3D" w:rsidRDefault="00F44E3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69E8"/>
    <w:rsid w:val="001749E2"/>
    <w:rsid w:val="00251BA3"/>
    <w:rsid w:val="0026284B"/>
    <w:rsid w:val="002A0BD4"/>
    <w:rsid w:val="002E296A"/>
    <w:rsid w:val="003C0E07"/>
    <w:rsid w:val="003F36D1"/>
    <w:rsid w:val="00404EB1"/>
    <w:rsid w:val="00426874"/>
    <w:rsid w:val="00453254"/>
    <w:rsid w:val="004877B7"/>
    <w:rsid w:val="00497C37"/>
    <w:rsid w:val="004B4B91"/>
    <w:rsid w:val="004D01F0"/>
    <w:rsid w:val="004D039A"/>
    <w:rsid w:val="004F5E00"/>
    <w:rsid w:val="004F6546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D3A7B"/>
    <w:rsid w:val="007D4D4A"/>
    <w:rsid w:val="00806E64"/>
    <w:rsid w:val="00834961"/>
    <w:rsid w:val="0087547F"/>
    <w:rsid w:val="008A4389"/>
    <w:rsid w:val="0093171D"/>
    <w:rsid w:val="00942B01"/>
    <w:rsid w:val="00944E3C"/>
    <w:rsid w:val="00A046BD"/>
    <w:rsid w:val="00A1695E"/>
    <w:rsid w:val="00A31AF5"/>
    <w:rsid w:val="00A412D4"/>
    <w:rsid w:val="00A6386C"/>
    <w:rsid w:val="00A6412C"/>
    <w:rsid w:val="00A671C8"/>
    <w:rsid w:val="00AF0D68"/>
    <w:rsid w:val="00AF1260"/>
    <w:rsid w:val="00AF261C"/>
    <w:rsid w:val="00B60037"/>
    <w:rsid w:val="00B83346"/>
    <w:rsid w:val="00B8699F"/>
    <w:rsid w:val="00B913D9"/>
    <w:rsid w:val="00BE73FA"/>
    <w:rsid w:val="00C14DDD"/>
    <w:rsid w:val="00C24548"/>
    <w:rsid w:val="00C7284F"/>
    <w:rsid w:val="00D02513"/>
    <w:rsid w:val="00D04BC7"/>
    <w:rsid w:val="00D064CB"/>
    <w:rsid w:val="00D13326"/>
    <w:rsid w:val="00DF6BB5"/>
    <w:rsid w:val="00E91BA1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7</cp:revision>
  <dcterms:created xsi:type="dcterms:W3CDTF">2026-04-28T06:11:00Z</dcterms:created>
  <dcterms:modified xsi:type="dcterms:W3CDTF">2026-04-28T07:03:00Z</dcterms:modified>
</cp:coreProperties>
</file>