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62"/>
        <w:gridCol w:w="10450"/>
      </w:tblGrid>
      <w:tr w:rsidR="00D13326" w:rsidRPr="004D01F0" w:rsidTr="005761BD">
        <w:trPr>
          <w:tblCellSpacing w:w="15" w:type="dxa"/>
        </w:trPr>
        <w:tc>
          <w:tcPr>
            <w:tcW w:w="442" w:type="pct"/>
            <w:shd w:val="clear" w:color="auto" w:fill="A41E1C"/>
            <w:vAlign w:val="center"/>
          </w:tcPr>
          <w:p w:rsidR="00D13326" w:rsidRPr="004D01F0" w:rsidRDefault="00F00E8A" w:rsidP="0041610E">
            <w:pPr>
              <w:pStyle w:val="NASLOVZLATO"/>
              <w:rPr>
                <w:sz w:val="20"/>
                <w:szCs w:val="20"/>
              </w:rPr>
            </w:pPr>
            <w:r>
              <w:rPr>
                <w:sz w:val="20"/>
                <w:szCs w:val="20"/>
              </w:rPr>
              <w:drawing>
                <wp:inline distT="0" distB="0" distL="0" distR="0">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9" w:type="pct"/>
            <w:shd w:val="clear" w:color="auto" w:fill="A41E1C"/>
            <w:vAlign w:val="center"/>
            <w:hideMark/>
          </w:tcPr>
          <w:p w:rsidR="0087547F" w:rsidRPr="0087547F" w:rsidRDefault="005761BD" w:rsidP="0087547F">
            <w:pPr>
              <w:pStyle w:val="NASLOVBELO"/>
              <w:spacing w:line="360" w:lineRule="auto"/>
              <w:rPr>
                <w:color w:val="FFE599"/>
              </w:rPr>
            </w:pPr>
            <w:r w:rsidRPr="005761BD">
              <w:rPr>
                <w:color w:val="FFE599"/>
              </w:rPr>
              <w:t xml:space="preserve">ПРОГРАМ </w:t>
            </w:r>
          </w:p>
          <w:p w:rsidR="00D13326" w:rsidRPr="004D01F0" w:rsidRDefault="005761BD" w:rsidP="0087547F">
            <w:pPr>
              <w:pStyle w:val="NASLOVBELO"/>
            </w:pPr>
            <w:r w:rsidRPr="005761BD">
              <w:t>РАЗВОЈА ЦИРКУЛАРНЕ ЕКОНОМИЈЕ У РЕПУБЛИЦИ СРБИЈИ ЗА ПЕРИОД 2026</w:t>
            </w:r>
            <w:r>
              <w:t>-</w:t>
            </w:r>
            <w:r w:rsidRPr="005761BD">
              <w:t>2030. ГОДИНЕ</w:t>
            </w:r>
          </w:p>
          <w:p w:rsidR="00D13326" w:rsidRPr="004D01F0" w:rsidRDefault="00B913D9" w:rsidP="005761BD">
            <w:pPr>
              <w:pStyle w:val="podnaslovpropisa"/>
              <w:rPr>
                <w:sz w:val="18"/>
                <w:szCs w:val="18"/>
              </w:rPr>
            </w:pPr>
            <w:r w:rsidRPr="00B913D9">
              <w:rPr>
                <w:sz w:val="18"/>
                <w:szCs w:val="18"/>
              </w:rPr>
              <w:t xml:space="preserve">("Сл. гласник РС", бр. </w:t>
            </w:r>
            <w:r w:rsidR="005761BD">
              <w:rPr>
                <w:sz w:val="18"/>
                <w:szCs w:val="18"/>
              </w:rPr>
              <w:t>41</w:t>
            </w:r>
            <w:r w:rsidR="00C24548">
              <w:rPr>
                <w:sz w:val="18"/>
                <w:szCs w:val="18"/>
                <w:lang w:val="sr-Cyrl-RS"/>
              </w:rPr>
              <w:t>/2026</w:t>
            </w:r>
            <w:r w:rsidRPr="00B913D9">
              <w:rPr>
                <w:sz w:val="18"/>
                <w:szCs w:val="18"/>
              </w:rPr>
              <w:t>)</w:t>
            </w:r>
          </w:p>
        </w:tc>
      </w:tr>
    </w:tbl>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1. УВОД</w:t>
      </w:r>
    </w:p>
    <w:p w:rsidR="005761BD" w:rsidRPr="005761BD" w:rsidRDefault="005761BD" w:rsidP="005761BD">
      <w:pPr>
        <w:spacing w:line="210" w:lineRule="atLeast"/>
        <w:rPr>
          <w:rFonts w:ascii="Arial" w:hAnsi="Arial" w:cs="Arial"/>
        </w:rPr>
      </w:pPr>
      <w:r w:rsidRPr="005761BD">
        <w:rPr>
          <w:rFonts w:ascii="Arial" w:eastAsia="Verdana" w:hAnsi="Arial" w:cs="Arial"/>
          <w:sz w:val="22"/>
        </w:rPr>
        <w:t>Циркуларна економија (у даљем тексту: ЦЕ), као модел одрживог развоја који тежи очувању ресурса, смањењу отпада и продужетку животног века производа, све више се препознаје као неопходан одговор на изазове савременог друштва и привреде. Прелазак са традиционалног линеарног модела</w:t>
      </w:r>
      <w:r>
        <w:rPr>
          <w:rFonts w:ascii="Arial" w:eastAsia="Verdana" w:hAnsi="Arial" w:cs="Arial"/>
          <w:sz w:val="22"/>
        </w:rPr>
        <w:t>,</w:t>
      </w:r>
      <w:r w:rsidRPr="005761BD">
        <w:rPr>
          <w:rFonts w:ascii="Arial" w:eastAsia="Verdana" w:hAnsi="Arial" w:cs="Arial"/>
          <w:sz w:val="22"/>
        </w:rPr>
        <w:t>,узми</w:t>
      </w:r>
      <w:r>
        <w:rPr>
          <w:rFonts w:ascii="Arial" w:eastAsia="Verdana" w:hAnsi="Arial" w:cs="Arial"/>
          <w:sz w:val="22"/>
        </w:rPr>
        <w:t>-</w:t>
      </w:r>
      <w:r w:rsidRPr="005761BD">
        <w:rPr>
          <w:rFonts w:ascii="Arial" w:eastAsia="Verdana" w:hAnsi="Arial" w:cs="Arial"/>
          <w:sz w:val="22"/>
        </w:rPr>
        <w:t>произведи</w:t>
      </w:r>
      <w:r>
        <w:rPr>
          <w:rFonts w:ascii="Arial" w:eastAsia="Verdana" w:hAnsi="Arial" w:cs="Arial"/>
          <w:sz w:val="22"/>
        </w:rPr>
        <w:t>-</w:t>
      </w:r>
      <w:r w:rsidRPr="005761BD">
        <w:rPr>
          <w:rFonts w:ascii="Arial" w:eastAsia="Verdana" w:hAnsi="Arial" w:cs="Arial"/>
          <w:sz w:val="22"/>
        </w:rPr>
        <w:t>употреби</w:t>
      </w:r>
      <w:r>
        <w:rPr>
          <w:rFonts w:ascii="Arial" w:eastAsia="Verdana" w:hAnsi="Arial" w:cs="Arial"/>
          <w:sz w:val="22"/>
        </w:rPr>
        <w:t>-</w:t>
      </w:r>
      <w:r w:rsidRPr="005761BD">
        <w:rPr>
          <w:rFonts w:ascii="Arial" w:eastAsia="Verdana" w:hAnsi="Arial" w:cs="Arial"/>
          <w:sz w:val="22"/>
        </w:rPr>
        <w:t>баци</w:t>
      </w:r>
      <w:r>
        <w:rPr>
          <w:rFonts w:ascii="Arial" w:eastAsia="Verdana" w:hAnsi="Arial" w:cs="Arial"/>
          <w:sz w:val="22"/>
        </w:rPr>
        <w:t>"</w:t>
      </w:r>
      <w:r w:rsidRPr="005761BD">
        <w:rPr>
          <w:rFonts w:ascii="Arial" w:eastAsia="Verdana" w:hAnsi="Arial" w:cs="Arial"/>
          <w:sz w:val="22"/>
        </w:rPr>
        <w:t xml:space="preserve"> на циркуларни приступ</w:t>
      </w:r>
      <w:r>
        <w:rPr>
          <w:rFonts w:ascii="Arial" w:eastAsia="Verdana" w:hAnsi="Arial" w:cs="Arial"/>
          <w:sz w:val="22"/>
        </w:rPr>
        <w:t>,</w:t>
      </w:r>
      <w:r w:rsidRPr="005761BD">
        <w:rPr>
          <w:rFonts w:ascii="Arial" w:eastAsia="Verdana" w:hAnsi="Arial" w:cs="Arial"/>
          <w:sz w:val="22"/>
        </w:rPr>
        <w:t>,смањи</w:t>
      </w:r>
      <w:r>
        <w:rPr>
          <w:rFonts w:ascii="Arial" w:eastAsia="Verdana" w:hAnsi="Arial" w:cs="Arial"/>
          <w:sz w:val="22"/>
        </w:rPr>
        <w:t>-</w:t>
      </w:r>
      <w:r w:rsidRPr="005761BD">
        <w:rPr>
          <w:rFonts w:ascii="Arial" w:eastAsia="Verdana" w:hAnsi="Arial" w:cs="Arial"/>
          <w:sz w:val="22"/>
        </w:rPr>
        <w:t>поново употреби</w:t>
      </w:r>
      <w:r>
        <w:rPr>
          <w:rFonts w:ascii="Arial" w:eastAsia="Verdana" w:hAnsi="Arial" w:cs="Arial"/>
          <w:sz w:val="22"/>
        </w:rPr>
        <w:t>-</w:t>
      </w:r>
      <w:r w:rsidRPr="005761BD">
        <w:rPr>
          <w:rFonts w:ascii="Arial" w:eastAsia="Verdana" w:hAnsi="Arial" w:cs="Arial"/>
          <w:sz w:val="22"/>
        </w:rPr>
        <w:t>рециклирај</w:t>
      </w:r>
      <w:r>
        <w:rPr>
          <w:rFonts w:ascii="Arial" w:eastAsia="Verdana" w:hAnsi="Arial" w:cs="Arial"/>
          <w:sz w:val="22"/>
        </w:rPr>
        <w:t>-</w:t>
      </w:r>
      <w:r w:rsidRPr="005761BD">
        <w:rPr>
          <w:rFonts w:ascii="Arial" w:eastAsia="Verdana" w:hAnsi="Arial" w:cs="Arial"/>
          <w:sz w:val="22"/>
        </w:rPr>
        <w:t>преиспитај</w:t>
      </w:r>
      <w:r>
        <w:rPr>
          <w:rFonts w:ascii="Arial" w:eastAsia="Verdana" w:hAnsi="Arial" w:cs="Arial"/>
          <w:sz w:val="22"/>
        </w:rPr>
        <w:t>-</w:t>
      </w:r>
      <w:r w:rsidRPr="005761BD">
        <w:rPr>
          <w:rFonts w:ascii="Arial" w:eastAsia="Verdana" w:hAnsi="Arial" w:cs="Arial"/>
          <w:sz w:val="22"/>
        </w:rPr>
        <w:t>одбаци</w:t>
      </w:r>
      <w:r>
        <w:rPr>
          <w:rFonts w:ascii="Arial" w:eastAsia="Verdana" w:hAnsi="Arial" w:cs="Arial"/>
          <w:sz w:val="22"/>
        </w:rPr>
        <w:t>-</w:t>
      </w:r>
      <w:r w:rsidRPr="005761BD">
        <w:rPr>
          <w:rFonts w:ascii="Arial" w:eastAsia="Verdana" w:hAnsi="Arial" w:cs="Arial"/>
          <w:sz w:val="22"/>
        </w:rPr>
        <w:t>поправи</w:t>
      </w:r>
      <w:r>
        <w:rPr>
          <w:rFonts w:ascii="Arial" w:eastAsia="Verdana" w:hAnsi="Arial" w:cs="Arial"/>
          <w:sz w:val="22"/>
        </w:rPr>
        <w:t>"</w:t>
      </w:r>
      <w:r w:rsidRPr="005761BD">
        <w:rPr>
          <w:rFonts w:ascii="Arial" w:eastAsia="Verdana" w:hAnsi="Arial" w:cs="Arial"/>
          <w:sz w:val="22"/>
        </w:rPr>
        <w:t xml:space="preserve"> представља стратешки приоритет Републике Србије у процесу зелене транзиције и унапређења животне средине. ЦЕ је постала кључна полуга за подстицање иновација, одрживог развоја, смањење емисија гасова са ефектом стаклене баште и рационално управљање ресурсима. Tемељно разумевање принципа ЦЕ омогућава да се циркуларни модел имплементира у пракси, водећи рачуна о максималној ефикасности ресурса, продужетку корисности производа и минимизацији негативних утицаја на животну средину. Ради практичне примене циркуларног модела, издвајају се кључни принципи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1</w:t>
      </w:r>
      <w:r w:rsidRPr="005761BD">
        <w:rPr>
          <w:rFonts w:ascii="Arial" w:eastAsia="Verdana" w:hAnsi="Arial" w:cs="Arial"/>
          <w:i/>
          <w:sz w:val="22"/>
        </w:rPr>
        <w:t>. Производња са превенцијом настанка отпада и без загађења</w:t>
      </w:r>
      <w:r w:rsidRPr="005761BD">
        <w:rPr>
          <w:rFonts w:ascii="Arial" w:eastAsia="Verdana" w:hAnsi="Arial" w:cs="Arial"/>
          <w:sz w:val="22"/>
        </w:rPr>
        <w:t>. ЦЕ тежи смањењу отпада и загађења кроз коришћење чистих технолошких процеса и материјала, као и кроз циркуларни дизајн. Ово укључује употребу модуларних дизајна који олакшавају поправке и рециклирање, чиме се продужава животни век производа;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2. </w:t>
      </w:r>
      <w:r w:rsidRPr="005761BD">
        <w:rPr>
          <w:rFonts w:ascii="Arial" w:eastAsia="Verdana" w:hAnsi="Arial" w:cs="Arial"/>
          <w:i/>
          <w:sz w:val="22"/>
        </w:rPr>
        <w:t>Продужени животни век производа</w:t>
      </w:r>
      <w:r w:rsidRPr="005761BD">
        <w:rPr>
          <w:rFonts w:ascii="Arial" w:eastAsia="Verdana" w:hAnsi="Arial" w:cs="Arial"/>
          <w:sz w:val="22"/>
        </w:rPr>
        <w:t>. ЦЕ промовише продужење животног века производа кроз различите моделе, као што су дужи гаранцијски периоди, пружање услуга поправки и доступност резервних делова. Овај принцип подстиче промену традиционалних пословних модела који се фокусирају на једнократну потрошњу и одлагање производа;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3. </w:t>
      </w:r>
      <w:r w:rsidRPr="005761BD">
        <w:rPr>
          <w:rFonts w:ascii="Arial" w:eastAsia="Verdana" w:hAnsi="Arial" w:cs="Arial"/>
          <w:i/>
          <w:sz w:val="22"/>
        </w:rPr>
        <w:t xml:space="preserve">Смањен негативан утицај на животну средину и регенерација ресурса. </w:t>
      </w:r>
      <w:r w:rsidRPr="005761BD">
        <w:rPr>
          <w:rFonts w:ascii="Arial" w:eastAsia="Verdana" w:hAnsi="Arial" w:cs="Arial"/>
          <w:sz w:val="22"/>
        </w:rPr>
        <w:t>ЦЕ се ослања на употребу обновљивих извора енергије и сировина које су већ у оптицају. Уместо екстракције нових природних ресурса, циљ је користити ресурсе који се већ налазе у употреби како би се смањио негативни утицај на животну средину. Овај принцип такође подстиче регенерацију ресурса кроз процесе рециклирања и поновне употребе.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Програм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(у даљем тексту: Програм), са циљевима, мерама и активностима, представља наставак Програма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137/22). У претходне три године, Министарство заштите животне средине је са партнерима успешно реализовало активности из Акционог плана који је био део претходног програма. Добри резултати који су постигнути, показали су да је потребно и даље планирати и мапирати мере и активности којима ће се транзиција са линеарне на ЦЕ наставити и у наредним годинама. Како би се планирале мере и активности на дужи период, нови Програм је предвиђен на период од пет година, од 2026. до 2030. године, а пратиће га два акциона плана, један од две и други у трајању од три године. Програм је усклађен са осталим документима јавних политика који су усвојени у претходним годинама, а релевантни су за област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Програм се доноси ради системског смањења настанка отпада, повећања поновне употребе/рециклаже, развоја тржишта секундарних сировина и подстицања циркуларних пословних модела. Интервенција је неопходна због постојања тржишних изазова, недовољних подстицаја за Eко дизајн, инфраструктурних ограничења и потребе за бољом међусекторском координацијом.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Поред циљева који су дефинисани Агендом 2030 Уједињених нација за одрживи развој и Споразумом о клими из Париза из 2015. године, који је потврђен у Народној скупштини доношењем Закона о потврђивању Споразума из Париза (</w:t>
      </w:r>
      <w:r>
        <w:rPr>
          <w:rFonts w:ascii="Arial" w:eastAsia="Verdana" w:hAnsi="Arial" w:cs="Arial"/>
          <w:sz w:val="22"/>
        </w:rPr>
        <w:t>"</w:t>
      </w:r>
      <w:r w:rsidRPr="005761BD">
        <w:rPr>
          <w:rFonts w:ascii="Arial" w:eastAsia="Verdana" w:hAnsi="Arial" w:cs="Arial"/>
          <w:sz w:val="22"/>
        </w:rPr>
        <w:t xml:space="preserve">Службени гласник PC </w:t>
      </w:r>
      <w:r>
        <w:rPr>
          <w:rFonts w:ascii="Arial" w:eastAsia="Verdana" w:hAnsi="Arial" w:cs="Arial"/>
          <w:sz w:val="22"/>
        </w:rPr>
        <w:t>-</w:t>
      </w:r>
      <w:r w:rsidRPr="005761BD">
        <w:rPr>
          <w:rFonts w:ascii="Arial" w:eastAsia="Verdana" w:hAnsi="Arial" w:cs="Arial"/>
          <w:sz w:val="22"/>
        </w:rPr>
        <w:t xml:space="preserve"> Међународни уговори</w:t>
      </w:r>
      <w:r>
        <w:rPr>
          <w:rFonts w:ascii="Arial" w:eastAsia="Verdana" w:hAnsi="Arial" w:cs="Arial"/>
          <w:sz w:val="22"/>
        </w:rPr>
        <w:t>"</w:t>
      </w:r>
      <w:r w:rsidRPr="005761BD">
        <w:rPr>
          <w:rFonts w:ascii="Arial" w:eastAsia="Verdana" w:hAnsi="Arial" w:cs="Arial"/>
          <w:sz w:val="22"/>
        </w:rPr>
        <w:t xml:space="preserve">, број 4/17), Европска унија (у даљем тексту: ЕУ) је у последњих неколико година донела низ докумената који се односе на текстил, биоекономију, одрживе производе, извештавањe о одрживим активностима, ЕУ таксономију, амбалажу и амбалажни отпад и др. Све пoменуте теме представљају изазове са којима се суочава и Република Србија, стога Програм утврђује циљеве, мере и активности како би се наставио континуирани развој ЦЕ у Републици Србији и истовремено прилагодио новим глобалним трендовима. Програм такође укључује индикаторе за праћење </w:t>
      </w:r>
      <w:r w:rsidRPr="005761BD">
        <w:rPr>
          <w:rFonts w:ascii="Arial" w:eastAsia="Verdana" w:hAnsi="Arial" w:cs="Arial"/>
          <w:sz w:val="22"/>
        </w:rPr>
        <w:lastRenderedPageBreak/>
        <w:t>напретка имплементације циркуларне, чиме се постављају темељи и трасира пут ка циркуларној трансформацији и развоју циркуларних модела производње и потрошње.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Усвајањем Програма, Република Србија наставља да следи претходно дефинисан стратешки оквир за циркуларну економију који је започет 2019. године израдом </w:t>
      </w:r>
      <w:r w:rsidRPr="005761BD">
        <w:rPr>
          <w:rFonts w:ascii="Arial" w:eastAsia="Verdana" w:hAnsi="Arial" w:cs="Arial"/>
          <w:i/>
          <w:sz w:val="22"/>
        </w:rPr>
        <w:t>Еx-ante</w:t>
      </w:r>
      <w:r w:rsidRPr="005761BD">
        <w:rPr>
          <w:rFonts w:ascii="Arial" w:eastAsia="Verdana" w:hAnsi="Arial" w:cs="Arial"/>
          <w:sz w:val="22"/>
        </w:rPr>
        <w:t xml:space="preserve"> анализе ефеката за ЦЕ. Паралелно са израдом </w:t>
      </w:r>
      <w:r w:rsidRPr="005761BD">
        <w:rPr>
          <w:rFonts w:ascii="Arial" w:eastAsia="Verdana" w:hAnsi="Arial" w:cs="Arial"/>
          <w:i/>
          <w:sz w:val="22"/>
        </w:rPr>
        <w:t xml:space="preserve">Еx-ante </w:t>
      </w:r>
      <w:r w:rsidRPr="005761BD">
        <w:rPr>
          <w:rFonts w:ascii="Arial" w:eastAsia="Verdana" w:hAnsi="Arial" w:cs="Arial"/>
          <w:sz w:val="22"/>
        </w:rPr>
        <w:t>анализе ефеката, у 2020. години припремљена је и Мапа пута за циркуларну економију, чиме је Република Србија као прва од земаља у региону са оваквом врстом документа показала да је опредељена за процес зелене транзиције. Зелена транзиција је процес који подразумева економску, енергетску и инвестициону транзицију, које су засноване на одрживом коришћењу ресурса и енергије, смањењу негативног утицаја на животну средину, примени иновација и дигиталних алата, знању, додатој вредности и већој конкурентности привреде.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 складу са резултатима </w:t>
      </w:r>
      <w:r w:rsidRPr="005761BD">
        <w:rPr>
          <w:rFonts w:ascii="Arial" w:eastAsia="Verdana" w:hAnsi="Arial" w:cs="Arial"/>
          <w:i/>
          <w:sz w:val="22"/>
        </w:rPr>
        <w:t>Еx-ante</w:t>
      </w:r>
      <w:r w:rsidRPr="005761BD">
        <w:rPr>
          <w:rFonts w:ascii="Arial" w:eastAsia="Verdana" w:hAnsi="Arial" w:cs="Arial"/>
          <w:sz w:val="22"/>
        </w:rPr>
        <w:t xml:space="preserve"> анализе и Законом о планском систему Републике Србије (</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30/18), Министарство заштите животне средине је иницирало израду Програма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Документ је био припремљен у складу са Уредбом о методологији управљањa јавним политикама, анализом ефеката јавних политика и прописима и садржајима појединачних докумената јавних политика (</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 8/19 и 20/25 </w:t>
      </w:r>
      <w:r>
        <w:rPr>
          <w:rFonts w:ascii="Arial" w:eastAsia="Verdana" w:hAnsi="Arial" w:cs="Arial"/>
          <w:sz w:val="22"/>
        </w:rPr>
        <w:t>-</w:t>
      </w:r>
      <w:r w:rsidRPr="005761BD">
        <w:rPr>
          <w:rFonts w:ascii="Arial" w:eastAsia="Verdana" w:hAnsi="Arial" w:cs="Arial"/>
          <w:sz w:val="22"/>
        </w:rPr>
        <w:t xml:space="preserve"> др. пропис). Покривао је најважније области од значаја за ЦЕ: управљање отпадом; управљање водама; обновљиви извори енергије и енергетска ефикасност; управљање хемикалијама; зелене јавне набавке и добровољни инструменти; привредна политика; иновације и подизање јавне свести. Ове области разматране су у контексту тренутног стања и потенцијала за примену ЦЕ. Општи циљ овог документа био је стварање подстицајног окружења за развој ЦЕ у циљу подршке зеленој транзицији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 ЕУ се у послeдњих неколико година интензивно усвајају стратешка документа и директиве које усмеравају и подстичу процесе ка ЦЕ. Зелени договор је у децембру 2019. године представљен као нова развојна стратегија која настоји да ЕУ трансформише у праведно и просперитетно друштво са модерном, конкурентном привредом, заснованој на ефикасној потрошњи ресурса и очувању животне средине и здравља људи. Циљ ове стратегије је да до 2050. године Европа постане први климатски неутралан континет. Како би се успоставио оквир за раст и одрживу производњу, у марту 2020. године, донета су два веома важна документа: Нови акциони план за циркуларну економију </w:t>
      </w:r>
      <w:r>
        <w:rPr>
          <w:rFonts w:ascii="Arial" w:eastAsia="Verdana" w:hAnsi="Arial" w:cs="Arial"/>
          <w:sz w:val="22"/>
        </w:rPr>
        <w:t>-</w:t>
      </w:r>
      <w:r w:rsidRPr="005761BD">
        <w:rPr>
          <w:rFonts w:ascii="Arial" w:eastAsia="Verdana" w:hAnsi="Arial" w:cs="Arial"/>
          <w:sz w:val="22"/>
        </w:rPr>
        <w:t xml:space="preserve"> за чистију и конкурентнију Европу и Нова индустријска стратегија за Европу.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Као део Зеленог договора, у новембру 2020. године потписана је Софијска декларација о Зеленој агенди за западни Балкан. Чине је пет стубова од којих је један циркуларна економија. У октобру 2021. усвојен је Акциони план за Зелену агенду, у којем је припрема стратешког документа за циркуларну економију jедна од предвиђених активности. Република Србија је прва земља у региону која је испунила овај циљ кроз усвајање Програма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Програм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усклађен је са релевантним политикама и инструментима ЕУ, усмереним ка подстицању одрживог и ресурсно ефикасног привредног развоја. Конкретно, Програм је усклађен са: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Европским акционим планом за циркуларну економију (CEAP 2.0), који представља оквир за смањење притиска на природне ресурсе кроз дизајн производа, производне процесе и управљање отпадом;</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ЕУ таксономијом одрживих активности (EU Taxonomy for Sustainable Activities), која дефинише критеријуме за одређивање да ли је економска активност одржива са аспекта заштите животне средине;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Директивом о пластици за једнократну употребу (Single-Use Plastics Directive </w:t>
      </w:r>
      <w:r>
        <w:rPr>
          <w:rFonts w:ascii="Arial" w:eastAsia="Verdana" w:hAnsi="Arial" w:cs="Arial"/>
          <w:sz w:val="22"/>
        </w:rPr>
        <w:t>-</w:t>
      </w:r>
      <w:r w:rsidRPr="005761BD">
        <w:rPr>
          <w:rFonts w:ascii="Arial" w:eastAsia="Verdana" w:hAnsi="Arial" w:cs="Arial"/>
          <w:sz w:val="22"/>
        </w:rPr>
        <w:t xml:space="preserve"> SUPD), која има за циљ смањење утицаја одређених пластичних производа на животну средину;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Индустријским планом Европског зеленог договора (EU Green Deal Industrial Plan), који промовише иновације и инвестиције у зелене технологије и циркуларне моделе производње.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складу са овим приступима, индикатори дефинисани у Програму усаглашени су са Eurostat CE Monitoring Framework, чиме се обезбеђује транспарентно праћење напретка и упоредивост на регионалном нивоу. Предложени су и Индекс индустријске симбиозе (ИИС) локалних заједница, као и Интегрисан индекс циркуларних перформанси (ИИЦП) на локалном и националном нивоу, што омогућава континуирано праћење напретка, процену ефикасности спровођења мера и правовремено унапређење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Програмом су дефинисани циљеви који подстичу свеобухватну транзицију ка ЦЕ моделу, уз јачање капацитета свих релевантних актера, унапређење ефикасности коришћења ресурса и очување животне средине. Програм садржи општи циљ и пет посебних циљева: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Општи циљ</w:t>
      </w:r>
      <w:r w:rsidRPr="005761BD">
        <w:rPr>
          <w:rFonts w:ascii="Arial" w:eastAsia="Verdana" w:hAnsi="Arial" w:cs="Arial"/>
          <w:sz w:val="22"/>
        </w:rPr>
        <w:t>: Достизање циљева одрживог развоја кроз системску примену концепта ЦЕ за рационално коришћење ресурса и енергије засновано на знањима, иновацијама и дигитализацији;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Посебан циљ 1</w:t>
      </w:r>
      <w:r w:rsidRPr="005761BD">
        <w:rPr>
          <w:rFonts w:ascii="Arial" w:eastAsia="Verdana" w:hAnsi="Arial" w:cs="Arial"/>
          <w:sz w:val="22"/>
        </w:rPr>
        <w:t>: Подршка привредном сектору у транзицији ка циркуларним пословним моделима;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Посебан циљ 2</w:t>
      </w:r>
      <w:r w:rsidRPr="005761BD">
        <w:rPr>
          <w:rFonts w:ascii="Arial" w:eastAsia="Verdana" w:hAnsi="Arial" w:cs="Arial"/>
          <w:sz w:val="22"/>
        </w:rPr>
        <w:t>: Унапређење капацитета локалних самоуправа за примену принципа ЦЕ;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Посебан циљ 3</w:t>
      </w:r>
      <w:r w:rsidRPr="005761BD">
        <w:rPr>
          <w:rFonts w:ascii="Arial" w:eastAsia="Verdana" w:hAnsi="Arial" w:cs="Arial"/>
          <w:sz w:val="22"/>
        </w:rPr>
        <w:t>: Унапређење система управљања отпадом кроз промовисање ефикасног искоришћења ресурса и модела индустријске симбиозе;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Посебан циљ 4</w:t>
      </w:r>
      <w:r w:rsidRPr="005761BD">
        <w:rPr>
          <w:rFonts w:ascii="Arial" w:eastAsia="Verdana" w:hAnsi="Arial" w:cs="Arial"/>
          <w:sz w:val="22"/>
        </w:rPr>
        <w:t>: Подршка примени добровољних инструмената из области животне средине и зелених јавних набавки;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Посебан циљ 5</w:t>
      </w:r>
      <w:r w:rsidRPr="005761BD">
        <w:rPr>
          <w:rFonts w:ascii="Arial" w:eastAsia="Verdana" w:hAnsi="Arial" w:cs="Arial"/>
          <w:sz w:val="22"/>
        </w:rPr>
        <w:t>: Подизање свести јавности о концепту ЦЕ уз унапређење и примену научних сазнања у пракси.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циљу праћења напретка у имплементацији Програма, за сваки од дефинисаних посебних циљева Програм утврђује мере и показатеље резултата, који ће омогућити прецизно вредновање спроведених активности.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програм представља основ за стратешко деловање и стварање предуслова за одрживи раст, еколошку сигурност и већу отпорност друштва и привреде. Његова реализација зависиће од остваривања постављених циљева и ангажовања свих релевантних актера: државних органа, локалних самоуправа, привредних субјеката, научно-истраживачких и образовних институција, цивилног сектора и грађана. Од велике важности је и успостављање подстицајног регулаторног и институционалног оквира који ће обезбедити стабилно и предвидиво окружење за развој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Овакав оквир подразумева унапређење нормативног система, уклањање административних и тржишних баријера, као и увођење финансијских и нефинансијских инструмената подршке. Ефикасна међусекторска сарадња и механизми координације на националном и локалном нивоу, уз активно учешће свих заинтересованих страна, значајно ће допринети примени принципа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току припреме овог документа одржане су две радионице Радне групе за циркуларну економију, и то 17. и 18. октобра и 24. децембра 2024. године, коју су чинили представници 18 институција (42 члана Радне групе). Чланови Радне групе су дали своје предлоге за унапређење самог документа што је допринело квалитету овог документа јавне политике. Посебан допринос модификацији, унапређењу и побољшању Програма дали су и додатно укључени чланови академске заједнице, који су активно радили на усаглашавању стратешког оквира са савременим принципима ЦЕ. У процесу израде Програма идентификоване су и укључене кључне институције, заинтересоване стране и циљне групе релевантне за развој ЦЕ у Републици Србији. Међу њима су надлежна министарства и органи државне управе, јединице локалне самоуправе (у даљем тексту: ЈЛС), привредни субјекти и њихова удружења, научно-истраживачке и образовне институције, организације цивилног друштва, као и шира јавност. Циљне групе Програма обухватају привреду, локалне самоуправе, јавни сектор, академску заједницу и грађане, као крајње кориснике циркуларних производа и услуга. Консултативни процес је спроведен кроз рад Радне групе за циркуларну економију, тематске радионице и експертске консултације, чиме је обезбеђено да предложени циљеви, мере и активности одражавају потребе и капацитете релевантних актера и допринесу ефикасној и инклузивној имплементацији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Консултације са заинтересованим странама одржане су у периоду од 19. до 28. новембра 2025. године, објављивањем овог документа јавне политике на интернет страници Министарства заштите животне средине и на Порталу </w:t>
      </w:r>
      <w:r>
        <w:rPr>
          <w:rFonts w:ascii="Arial" w:eastAsia="Verdana" w:hAnsi="Arial" w:cs="Arial"/>
          <w:sz w:val="22"/>
        </w:rPr>
        <w:t>"</w:t>
      </w:r>
      <w:r w:rsidRPr="005761BD">
        <w:rPr>
          <w:rFonts w:ascii="Arial" w:eastAsia="Verdana" w:hAnsi="Arial" w:cs="Arial"/>
          <w:sz w:val="22"/>
        </w:rPr>
        <w:t>е-Консултације</w:t>
      </w:r>
      <w:r>
        <w:rPr>
          <w:rFonts w:ascii="Arial" w:eastAsia="Verdana" w:hAnsi="Arial" w:cs="Arial"/>
          <w:sz w:val="22"/>
        </w:rPr>
        <w:t>"</w:t>
      </w:r>
      <w:r w:rsidRPr="005761BD">
        <w:rPr>
          <w:rFonts w:ascii="Arial" w:eastAsia="Verdana" w:hAnsi="Arial" w:cs="Arial"/>
          <w:sz w:val="22"/>
        </w:rPr>
        <w:t xml:space="preserve">. Заинтересована јавност је имала могућност да на Обрасцу за коментаре достави своје мишљење на овај документ. О спроведеним консултацијама сачињен је Извештај о консултацијама који је објављен на интернет страници Министарства заштите животне средине и на Порталу </w:t>
      </w:r>
      <w:r>
        <w:rPr>
          <w:rFonts w:ascii="Arial" w:eastAsia="Verdana" w:hAnsi="Arial" w:cs="Arial"/>
          <w:sz w:val="22"/>
        </w:rPr>
        <w:t>"</w:t>
      </w:r>
      <w:r w:rsidRPr="005761BD">
        <w:rPr>
          <w:rFonts w:ascii="Arial" w:eastAsia="Verdana" w:hAnsi="Arial" w:cs="Arial"/>
          <w:sz w:val="22"/>
        </w:rPr>
        <w:t>е-Консултације</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Јавна расправа је одржана у периоду од 31. децембра 2025. године до 25. јануара 2026. године. Јавно представљање документа одржано је 12. јануара 2026. године у просторијама Министарства заштите животне средине, у хибридном формату. Укупно је учествовало 42 учесника. О јавној расправи сачињен је Извештај о спроведеној јавној расправи који је објављен на интернет страници Министарства заштите животне средине и на Порталу </w:t>
      </w:r>
      <w:r>
        <w:rPr>
          <w:rFonts w:ascii="Arial" w:eastAsia="Verdana" w:hAnsi="Arial" w:cs="Arial"/>
          <w:sz w:val="22"/>
        </w:rPr>
        <w:t>"</w:t>
      </w:r>
      <w:r w:rsidRPr="005761BD">
        <w:rPr>
          <w:rFonts w:ascii="Arial" w:eastAsia="Verdana" w:hAnsi="Arial" w:cs="Arial"/>
          <w:sz w:val="22"/>
        </w:rPr>
        <w:t>е-Консултације</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lastRenderedPageBreak/>
        <w:t>2. ПРЕГЛЕД И АНАЛИЗА ПОСТОЈЕЋЕГ СТАЊА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2.1. Сажетак налаза вредновања претходног документа јавне политике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Највећи изазови са којима се суочава савремено друштво у Републици Србији, као и у остатку света, односе се на прекомерну потрошњу ресурса, интензивно црпљење природних добара, убрзане климатске промене и растуће загађење животне средине. У том контексту, концепт ЦЕ све више добија на значају, јер представља системски одговор на наведене изазове. Прелазак са линеарног на кружни модел економије постаје императив у креирању одрживог економског, друштвеног и еколошког развоја Републике Србије.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Имајући у виду резултате спроведене </w:t>
      </w:r>
      <w:r w:rsidRPr="005761BD">
        <w:rPr>
          <w:rFonts w:ascii="Arial" w:eastAsia="Verdana" w:hAnsi="Arial" w:cs="Arial"/>
          <w:i/>
          <w:sz w:val="22"/>
        </w:rPr>
        <w:t>Ex-post</w:t>
      </w:r>
      <w:r w:rsidRPr="005761BD">
        <w:rPr>
          <w:rFonts w:ascii="Arial" w:eastAsia="Verdana" w:hAnsi="Arial" w:cs="Arial"/>
          <w:sz w:val="22"/>
        </w:rPr>
        <w:t xml:space="preserve"> анализе Програма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утврђено је да је имплементација овог стратешког документа била веома успешна. У релативно кратком временском року остварен је висок степен реализације планираних мера, нарочито оних усмерених на успостављањ</w:t>
      </w:r>
      <w:bookmarkStart w:id="0" w:name="_GoBack"/>
      <w:bookmarkEnd w:id="0"/>
      <w:r w:rsidRPr="005761BD">
        <w:rPr>
          <w:rFonts w:ascii="Arial" w:eastAsia="Verdana" w:hAnsi="Arial" w:cs="Arial"/>
          <w:sz w:val="22"/>
        </w:rPr>
        <w:t>е подстицајног окружења за развој ЦЕ. Остварени резултати представљају добру основу за дефинисање приоритета у наредном програмском периоду.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Исправно постављени приоритети, као што су подршка привредним субјектима у циљу унапређења ефикасности производње и уклањања отпада из ланаца снабдевања, задржавање компоненти и материјала у затвореном циклусу кроз поновну прераду и рециклажу, примена нових технологија и замена старих материјала напредним и обновљивим, као и прелазак на коришћење обновљивих извора енергије и материјала, представљају кључне кораке у циркуларној трансформацији. Продужавање животног века производа кроз пројектовање, одржавање и виртуелне испоруке робе и услуга и даље треба да буде у фокусу националних политика које промовишу транзицију ка ЦЕ. Посебну улогу у том процесу имају локалне самоуправе и грађани, кроз развој локалних мапа пута и континуирану едукацију. У 2023. години започета је израда четири локалне Мапе пута за циркуларну економију: Сомбор, Панчево, Медвеђа и Бујановац, чиме су остварене</w:t>
      </w:r>
      <w:r w:rsidRPr="005761BD">
        <w:rPr>
          <w:rFonts w:ascii="Arial" w:eastAsia="Verdana" w:hAnsi="Arial" w:cs="Arial"/>
          <w:sz w:val="22"/>
          <w:vertAlign w:val="superscript"/>
        </w:rPr>
        <w:t>1</w:t>
      </w:r>
      <w:r w:rsidRPr="005761BD">
        <w:rPr>
          <w:rFonts w:ascii="Arial" w:eastAsia="Verdana" w:hAnsi="Arial" w:cs="Arial"/>
          <w:sz w:val="22"/>
        </w:rPr>
        <w:t xml:space="preserve"> циљане вредности за 2022. и 2023. годину из Акционог плана за спровођење Програма. Такође, у изради су локалне Мапе пута за Крушевац и Тутин. Преко пројекта ИПА 2022 </w:t>
      </w:r>
      <w:r>
        <w:rPr>
          <w:rFonts w:ascii="Arial" w:eastAsia="Verdana" w:hAnsi="Arial" w:cs="Arial"/>
          <w:sz w:val="22"/>
        </w:rPr>
        <w:t>"</w:t>
      </w:r>
      <w:r w:rsidRPr="005761BD">
        <w:rPr>
          <w:rFonts w:ascii="Arial" w:eastAsia="Verdana" w:hAnsi="Arial" w:cs="Arial"/>
          <w:sz w:val="22"/>
        </w:rPr>
        <w:t>ЕУ за циркуларну економију у Србији</w:t>
      </w:r>
      <w:r>
        <w:rPr>
          <w:rFonts w:ascii="Arial" w:eastAsia="Verdana" w:hAnsi="Arial" w:cs="Arial"/>
          <w:sz w:val="22"/>
        </w:rPr>
        <w:t>"</w:t>
      </w:r>
      <w:r w:rsidRPr="005761BD">
        <w:rPr>
          <w:rFonts w:ascii="Arial" w:eastAsia="Verdana" w:hAnsi="Arial" w:cs="Arial"/>
          <w:sz w:val="22"/>
        </w:rPr>
        <w:t>, биће финансирана израда локалних мапа пута за пет одабраних ЈЛС: Аранђеловац, Ивањица, Нови Пазар, Осечина и Чајетина. Меморандуми о сарадњи потписани су у јулу 2025. године. Истовремено, важно је спроводити континуирану едукацију заинтересованих страна, укључујући образовне институције, медије, потрошаче и привреду. Такође, потребно је интензивирати сарадњу између академског и пословног сектора у области иновација, као и промовисати примену инструмената у области заштите животне средине.</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1 Укупан број ЈЛС зa које су израђене локалне Мапе пута: Циљана вредност у 2023. је три ЈЛС, а остварено је четири ЈЛС.</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2.2. Опис постојећег стања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 намери сагледавања тренутне заступљености аспеката ЦЕ и одрживог развоја у систему високог образовања, током 2024. године, у оквиру пројекта </w:t>
      </w:r>
      <w:r>
        <w:rPr>
          <w:rFonts w:ascii="Arial" w:eastAsia="Verdana" w:hAnsi="Arial" w:cs="Arial"/>
          <w:sz w:val="22"/>
        </w:rPr>
        <w:t>"</w:t>
      </w:r>
      <w:r w:rsidRPr="005761BD">
        <w:rPr>
          <w:rFonts w:ascii="Arial" w:eastAsia="Verdana" w:hAnsi="Arial" w:cs="Arial"/>
          <w:sz w:val="22"/>
        </w:rPr>
        <w:t>Смањење угљеничног отиска локалних заједница применом принципа циркуларне економије у Републици Србији</w:t>
      </w:r>
      <w:r>
        <w:rPr>
          <w:rFonts w:ascii="Arial" w:eastAsia="Verdana" w:hAnsi="Arial" w:cs="Arial"/>
          <w:sz w:val="22"/>
        </w:rPr>
        <w:t>"</w:t>
      </w:r>
      <w:r w:rsidRPr="005761BD">
        <w:rPr>
          <w:rFonts w:ascii="Arial" w:eastAsia="Verdana" w:hAnsi="Arial" w:cs="Arial"/>
          <w:sz w:val="22"/>
        </w:rPr>
        <w:t xml:space="preserve">, који се реализује у сарадњи Програма Уједињених нација за развој и Министарства заштите животне средине, израђен је документ </w:t>
      </w:r>
      <w:r>
        <w:rPr>
          <w:rFonts w:ascii="Arial" w:eastAsia="Verdana" w:hAnsi="Arial" w:cs="Arial"/>
          <w:sz w:val="22"/>
        </w:rPr>
        <w:t>"</w:t>
      </w:r>
      <w:r w:rsidRPr="005761BD">
        <w:rPr>
          <w:rFonts w:ascii="Arial" w:eastAsia="Verdana" w:hAnsi="Arial" w:cs="Arial"/>
          <w:sz w:val="22"/>
        </w:rPr>
        <w:t>Анализа стварног стања заступљености циркуларне економије на универзитетима у Републици Србији</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Класификација предмета и квалитативна анализа изведене су на основу 12 кључних аспеката ЦЕ, укључујући превенцију загађења, рециклажу и управљање отпадом, нове материјале, технолошке иновације, одрживу производњу и дизајн, зелену архитектуру, енергетску ефикасност, обновљиве изворе енергије, климатске промене, дигитализацију, зелене пословне моделе и политике одрживости. Анализом је обухваћено 12 универзитета (седам државних и пет приватних), односно 56 факултета, при чему је прегледано око 500 курикулума, а за детаљну квалитативну анализу издвојено је око 120 предмета. Резултати су показали да око 10% предмета не захтева измене курикулума, око 40% захтева мање корекције, док је више од 50% курикулума потребно значајније ревидирати. Око 60% анализираних предмета има статус изборних предмета.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Највиши степен усаглашености са принципима ЦЕ, уочен је код предмета из области политика одрживости, нових материјала и зелене архитектуре, док су области дигитализације и обновљивих извора енергије, као кључни аспекти ЦЕ, у најмањој мери биле препознате и заступљене у наставним програмима високошколских установа у Републици Србији. Ови налази указују на потребу да се у наредном програмском периоду системски ојача улога високог образовања у развоју знања и вештина неопходних за успешну примену принципа одрживог развоја и 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lastRenderedPageBreak/>
        <w:t>2.2.1. Природни ресурси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Сврха ЦЕ је смањење експлоатације нових сировина, што доприноси очувању природних ресурса, бољој животној средини и мањој зависности од увоза. Република Србија има значајне ресурсе као што су воде, шуме, пољопривредно земљиште и минералне сировине. </w:t>
      </w:r>
      <w:r w:rsidRPr="005761BD">
        <w:rPr>
          <w:rFonts w:ascii="Arial" w:eastAsia="Verdana" w:hAnsi="Arial" w:cs="Arial"/>
          <w:i/>
          <w:sz w:val="22"/>
        </w:rPr>
        <w:t>Водни ресурси</w:t>
      </w:r>
      <w:r w:rsidRPr="005761BD">
        <w:rPr>
          <w:rFonts w:ascii="Arial" w:eastAsia="Verdana" w:hAnsi="Arial" w:cs="Arial"/>
          <w:sz w:val="22"/>
        </w:rPr>
        <w:t xml:space="preserve"> су просторно и временски неравномерни, са малом количином површинских вода која се смањује, па се све више ослањају на транзитне воде. Квалитет вода је различит, са лошијим стањем у урбаним и индустријским подручјима, што указује на потребу бољег управљања отпадним водама.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 xml:space="preserve">Шуме </w:t>
      </w:r>
      <w:r w:rsidRPr="005761BD">
        <w:rPr>
          <w:rFonts w:ascii="Arial" w:eastAsia="Verdana" w:hAnsi="Arial" w:cs="Arial"/>
          <w:sz w:val="22"/>
        </w:rPr>
        <w:t>покривају око 2,85 милиона хектара, али су у незадовољавајућем стању и потребно је рационално управљање због дугог времена обнове и важности за климатске промене. Република Србија има повољне пољопривредне површине (39% територије), али су угрожене ерозијом, прекомерном употребом хемијских средстава и недостатком органских ђубрива, што захтева боље управљање земљиштем.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Према обиму и структури расположивих </w:t>
      </w:r>
      <w:r w:rsidRPr="005761BD">
        <w:rPr>
          <w:rFonts w:ascii="Arial" w:eastAsia="Verdana" w:hAnsi="Arial" w:cs="Arial"/>
          <w:i/>
          <w:sz w:val="22"/>
        </w:rPr>
        <w:t>пољопривредних површина</w:t>
      </w:r>
      <w:r w:rsidRPr="005761BD">
        <w:rPr>
          <w:rFonts w:ascii="Arial" w:eastAsia="Verdana" w:hAnsi="Arial" w:cs="Arial"/>
          <w:sz w:val="22"/>
        </w:rPr>
        <w:t>, Република Србија спада у ред европских земаља са повољним земљишним ресурсима. Око 39% површине територије се користи за пољопривредне активности, од чега је већи део (до 81%) под интензивним пољопривредним културама (оранице, баште, воћњаци и други вишегодишњи засади), а осталих 19% већином чине ливаде и пашњаци.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Рударски сектор</w:t>
      </w:r>
      <w:r w:rsidRPr="005761BD">
        <w:rPr>
          <w:rFonts w:ascii="Arial" w:eastAsia="Verdana" w:hAnsi="Arial" w:cs="Arial"/>
          <w:sz w:val="22"/>
        </w:rPr>
        <w:t xml:space="preserve"> има значајне резерве металичних и неметаличних минерала, али експлоатација има негативан утицај на животну средину. Република Србија је увозно зависна од енергената, домаће резерве гаса и нафте су ограничене, док се лигнит користи за већину производње електричне енергије. Постоји потреба за прелазак на обновљиве изворе енергије (соларна, ветар, биомаса и др.), који чине око 30% укупне домаће производње примарне енергије.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2.2.2. Привреда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Министарство привреде је у сарадњи са Центром за циркуларну економију Привредне коморе Србије, одржало низ активности ради промовисања зелене економије и едукације привредних субјеката у примени решења ЦЕ током 2023. године. Креирани су водичи: Циркуларна економија у пољопривреди (производња вина, пива и ракије), Водич за безбедно управљање хемикалијама, Водич за пољопривредне произвођаче и произвођаче хране за моделе постројења за прераду отпадних вода, као и Мапа пута за поновну употребу, рециклажу или валоризацију грађевинског бетонског отпада. Припремљено је и Упутство модел за утврђивање потенцијала привредних субјеката у индустријским градским зонама за развој индустријске симбиозе, са предлогом софтверског решења за имплементациону подршку.</w:t>
      </w:r>
      <w:r w:rsidRPr="005761BD">
        <w:rPr>
          <w:rFonts w:ascii="Arial" w:eastAsia="Verdana" w:hAnsi="Arial" w:cs="Arial"/>
          <w:sz w:val="22"/>
          <w:vertAlign w:val="superscript"/>
        </w:rPr>
        <w:t>2</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Програм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подржаваo je трансформацију привреде кроз едукацију, финансијске инструменте и сарадњу науке и привреде. Од 2022. до 2024. године финансирано је 35 иновативних пројеката и додељено 35 циркуларних ваучера као подстицај сарадњи науке и привреде.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2023. години реализовано је више радионица и промовисана сарадња са финансијским сектором. Услужни сектор, посебно ИКТ, показао је значајан раст, док је пољопривреда имала негативан допринос. Привреду Србије чине највише прерађивачка индустрија и трговина, са доминантним приватним власништвом, што је повољно за циркуларну транзицију, али је важно обезбедити подстицаје и прилагођен приступ за различите величине предузећа.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2024. години привреда је забележила реални раст бруто домаћег производа (у даљем тексту: БДП) од 3,9%, док према пројекцијама Народне банке Србије, БДП износи 3,5% за 2025. годину и 4,5% за 2026. годину. Пословање је било профитабилно, са позитивним резултатима у секторима трговине, индустрије и енергетике. Ипак, домаћа потрошња материјала по становнику расте, што указује на већи притисак на ресурсе и потребу за ефикаснијом употребом и развојем рециклирања. Према последњим подацима Републичког завода за статистику</w:t>
      </w:r>
      <w:r w:rsidRPr="005761BD">
        <w:rPr>
          <w:rFonts w:ascii="Arial" w:eastAsia="Verdana" w:hAnsi="Arial" w:cs="Arial"/>
          <w:sz w:val="22"/>
          <w:vertAlign w:val="superscript"/>
        </w:rPr>
        <w:t>3</w:t>
      </w:r>
      <w:r w:rsidRPr="005761BD">
        <w:rPr>
          <w:rFonts w:ascii="Arial" w:eastAsia="Verdana" w:hAnsi="Arial" w:cs="Arial"/>
          <w:sz w:val="22"/>
        </w:rPr>
        <w:t>, домаћа потрошња материјалних ресурса у Републици Србији у 2022. години износила је 146,22 милиона тона, што је за 7,1% више него у 2021. години, а 50% више у односу на 2001. годину. Такав тренд има негативно значење, јер се повећава годишња потрошња ресурса. У истом периоду у ЕУ забележено је смањење за 2,4% (Слика 2.1).</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2.1. Укупна потрошња материјала у Републици Србији и ЕУ</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Републички завод за статистику, https://publikacije.stat.gov.rs/G2024/HtmlL/G20241339.html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Домаћа потрошња материјала по становнику у Републици Србији је повећана са 12,98 тона у 2001. години на 21,94 тона у 2022. години, односно за 59%, док је у истом периоду у ЕУ опала за 8,2% (Слика 2.2). Домaћа </w:t>
      </w:r>
      <w:r w:rsidRPr="005761BD">
        <w:rPr>
          <w:rFonts w:ascii="Arial" w:eastAsia="Verdana" w:hAnsi="Arial" w:cs="Arial"/>
          <w:sz w:val="22"/>
        </w:rPr>
        <w:lastRenderedPageBreak/>
        <w:t>потрошња материјала по становнику у 2023. години износила је 24,6 тона, што је за 2,7 тона више у односу на претходну годину.</w:t>
      </w:r>
      <w:r w:rsidRPr="005761BD">
        <w:rPr>
          <w:rFonts w:ascii="Arial" w:eastAsia="Verdana" w:hAnsi="Arial" w:cs="Arial"/>
          <w:sz w:val="22"/>
          <w:vertAlign w:val="superscript"/>
        </w:rPr>
        <w:t>4</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3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4 Републички завод за статистику, https://publikacije.stat.gov.rs/G2024/HtmlL/G20241339.html.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2.2. Домаћа потрошња материјала по становнику у Републици Србији и ЕУ</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Републички завод за статистику, https://publikacije.stat.gov.rs/G2024/HtmlL/G20241339.html</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Продуктивност ресурса</w:t>
      </w:r>
      <w:r w:rsidRPr="005761BD">
        <w:rPr>
          <w:rFonts w:ascii="Arial" w:eastAsia="Verdana" w:hAnsi="Arial" w:cs="Arial"/>
          <w:sz w:val="22"/>
          <w:vertAlign w:val="superscript"/>
        </w:rPr>
        <w:t>5</w:t>
      </w:r>
      <w:r w:rsidRPr="005761BD">
        <w:rPr>
          <w:rFonts w:ascii="Arial" w:eastAsia="Verdana" w:hAnsi="Arial" w:cs="Arial"/>
          <w:sz w:val="22"/>
        </w:rPr>
        <w:t>, као основни индикатор одрживе производње и потрошње, у 2022. години у Републици Србији износила је 0,37 евра по килограму</w:t>
      </w:r>
      <w:r w:rsidRPr="005761BD">
        <w:rPr>
          <w:rFonts w:ascii="Arial" w:eastAsia="Verdana" w:hAnsi="Arial" w:cs="Arial"/>
          <w:sz w:val="22"/>
          <w:vertAlign w:val="superscript"/>
        </w:rPr>
        <w:t>6</w:t>
      </w:r>
      <w:r w:rsidRPr="005761BD">
        <w:rPr>
          <w:rFonts w:ascii="Arial" w:eastAsia="Verdana" w:hAnsi="Arial" w:cs="Arial"/>
          <w:sz w:val="22"/>
        </w:rPr>
        <w:t>, што је веће за 0,22 евра по килограму у односу на 2001. годину. Продуктивност ресурса, као однос између БДП и домаће потрошње материјала, у 2023. години износила је 0,35 евра по килограму, што је за 6,7% мање него 2022. године, односно раст потрошње материјала био је већи од раста БДП у односу на претходну годину.</w:t>
      </w:r>
      <w:r w:rsidRPr="005761BD">
        <w:rPr>
          <w:rFonts w:ascii="Arial" w:eastAsia="Verdana" w:hAnsi="Arial" w:cs="Arial"/>
          <w:sz w:val="22"/>
          <w:vertAlign w:val="superscript"/>
        </w:rPr>
        <w:t>7</w:t>
      </w:r>
      <w:r w:rsidRPr="005761BD">
        <w:rPr>
          <w:rFonts w:ascii="Arial" w:eastAsia="Verdana" w:hAnsi="Arial" w:cs="Arial"/>
          <w:sz w:val="22"/>
        </w:rPr>
        <w:t xml:space="preserve"> Ради поређења, у току последње две деценије продуктивност ресурса у ЕУ се повећала за 1,20 евра по килограму (Слика 2.3). Виша продуктивност ресурса значи да се више економске вредности ствара уз мање коришћење ресурса, што доприноси смањењу притиска на животну средину. Међутим, чини се да је пораст продуктивности у Републици Србији условљен интензивнијим растом БДП од раста потрошње материјала, јер је привредни раст последица раста БДП захваљујући секторима који не захтевају велики унос материјала (услуге, информационе технологије).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2.3. Продуктивност ресурса у Републици Србији и ЕУ-27</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Према доступним подацима</w:t>
      </w:r>
      <w:r w:rsidRPr="005761BD">
        <w:rPr>
          <w:rFonts w:ascii="Arial" w:eastAsia="Verdana" w:hAnsi="Arial" w:cs="Arial"/>
          <w:sz w:val="22"/>
          <w:vertAlign w:val="superscript"/>
        </w:rPr>
        <w:t>8</w:t>
      </w:r>
      <w:r w:rsidRPr="005761BD">
        <w:rPr>
          <w:rFonts w:ascii="Arial" w:eastAsia="Verdana" w:hAnsi="Arial" w:cs="Arial"/>
          <w:sz w:val="22"/>
        </w:rPr>
        <w:t>, инвестиције других сектора у заштиту животне средине у 2023. години достигле су 20,94 милијарди динара, односно 0,26% БДП. Ово представља значајно унапређење у односу на претходну годину када је било 0,10% БДП, што је приказано на Слици 2.4.</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5 Продуктивност ресурса израчунава се као однос између бруто домаћег производа (БДП) и домаће потрошње ресурса (DMC) и приказује колико продуктивно економија једне земље троши ресурсе приликом стварања производа и услуга за потребе тржишта.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6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7 Републички завод за статистику, https://publikacije.stat.gov.rs/G2024/HtmlL/G20241339.html.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8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2.4. Укупна улагања других сектора у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Анализа расподеле средстава према областима заштите животне средине показује да се највише средстава улаже у управљање отпадом (25,1%), енергетску ефикасност (24,0%), заштиту вода (19,0%), док се у ЦЕ улаже 0,6%, као што је приказано на Слици 2.5.</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2.5. Структура улагања према областима заштите животне средине 2023. године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2.2.3. Одрживи туризам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Одрживи туризам подразумева развој туристичких дестинација на начин који доприноси заштити животне средине, економском напретку малих и средњих предузећа у туристичким дестинацијама, као и промовисању њихове аутентичне културе и традиције. Програм УН за животну средину и Светска туристичка организација УН дефинишу одрживи туризам као</w:t>
      </w:r>
      <w:r>
        <w:rPr>
          <w:rFonts w:ascii="Arial" w:eastAsia="Verdana" w:hAnsi="Arial" w:cs="Arial"/>
          <w:sz w:val="22"/>
        </w:rPr>
        <w:t>,</w:t>
      </w:r>
      <w:r w:rsidRPr="005761BD">
        <w:rPr>
          <w:rFonts w:ascii="Arial" w:eastAsia="Verdana" w:hAnsi="Arial" w:cs="Arial"/>
          <w:sz w:val="22"/>
        </w:rPr>
        <w:t xml:space="preserve">,туризам који у потпуности узима у обзир своје садашње и будуће </w:t>
      </w:r>
      <w:r w:rsidRPr="005761BD">
        <w:rPr>
          <w:rFonts w:ascii="Arial" w:eastAsia="Verdana" w:hAnsi="Arial" w:cs="Arial"/>
          <w:sz w:val="22"/>
        </w:rPr>
        <w:lastRenderedPageBreak/>
        <w:t>економске, друштвене и еколошке утицаје, обраћајући се потребама посетилаца, индустрије, животне средине и заједница домаћина</w:t>
      </w:r>
      <w:r>
        <w:rPr>
          <w:rFonts w:ascii="Arial" w:eastAsia="Verdana" w:hAnsi="Arial" w:cs="Arial"/>
          <w:sz w:val="22"/>
        </w:rPr>
        <w:t>"</w:t>
      </w:r>
      <w:r w:rsidRPr="005761BD">
        <w:rPr>
          <w:rFonts w:ascii="Arial" w:eastAsia="Verdana" w:hAnsi="Arial" w:cs="Arial"/>
          <w:sz w:val="22"/>
        </w:rPr>
        <w:t>.</w:t>
      </w:r>
      <w:r w:rsidRPr="005761BD">
        <w:rPr>
          <w:rFonts w:ascii="Arial" w:eastAsia="Verdana" w:hAnsi="Arial" w:cs="Arial"/>
          <w:sz w:val="22"/>
          <w:vertAlign w:val="superscript"/>
        </w:rPr>
        <w:t>9</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 обзиром на повећање свести глобалне јавности о важности очувања природног и културног наслеђа дестинација, одрживи туризам последњих година све више добија на значају, посебно међу туристима који припадају млађим генерацијама. Према најновијим истраживањима веб платформе booking.com, преко три четвртине туриста жели искуство одрживог туризма и у складу са тим планирају своја путовања у наредних 12 месеци.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погледу учешћа укупном БДП, у 2022. години остварен је велики реални раст у сектору услуга смештаја и исхране од 32%, уз удео овог сектора у структури БДП од 1,4%. У поређењу са ранијим годинама, уочава се да овај сектор последњих година остварује значајан реални раст, уз изузетак тог доприноса у 2020. када је због опште познатих дешавања у вези са пандемијом COVID-19 и ограничења контаката и путовања рад у овом сектору био готово онемогућен (Табела 2.1).</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Табела 2.1. </w:t>
      </w:r>
      <w:r w:rsidRPr="005761BD">
        <w:rPr>
          <w:rFonts w:ascii="Arial" w:eastAsia="Verdana" w:hAnsi="Arial" w:cs="Arial"/>
          <w:sz w:val="22"/>
        </w:rPr>
        <w:t>Учешће сектора Услуга и смештаја у БДП у Републици Србији, за период 2019</w:t>
      </w:r>
      <w:r>
        <w:rPr>
          <w:rFonts w:ascii="Arial" w:eastAsia="Verdana" w:hAnsi="Arial" w:cs="Arial"/>
          <w:sz w:val="22"/>
        </w:rPr>
        <w:t>-</w:t>
      </w:r>
      <w:r w:rsidRPr="005761BD">
        <w:rPr>
          <w:rFonts w:ascii="Arial" w:eastAsia="Verdana" w:hAnsi="Arial" w:cs="Arial"/>
          <w:sz w:val="22"/>
        </w:rPr>
        <w:t>2022. године</w:t>
      </w:r>
    </w:p>
    <w:tbl>
      <w:tblPr>
        <w:tblW w:w="4950" w:type="pct"/>
        <w:tblInd w:w="10" w:type="dxa"/>
        <w:tblCellMar>
          <w:left w:w="10" w:type="dxa"/>
          <w:right w:w="10" w:type="dxa"/>
        </w:tblCellMar>
        <w:tblLook w:val="04A0" w:firstRow="1" w:lastRow="0" w:firstColumn="1" w:lastColumn="0" w:noHBand="0" w:noVBand="1"/>
      </w:tblPr>
      <w:tblGrid>
        <w:gridCol w:w="5150"/>
        <w:gridCol w:w="1741"/>
        <w:gridCol w:w="1124"/>
        <w:gridCol w:w="1124"/>
        <w:gridCol w:w="1124"/>
        <w:gridCol w:w="1124"/>
      </w:tblGrid>
      <w:tr w:rsidR="005761BD" w:rsidRPr="005761BD" w:rsidTr="00CF3A2D">
        <w:tblPrEx>
          <w:tblCellMar>
            <w:top w:w="0" w:type="dxa"/>
            <w:bottom w:w="0" w:type="dxa"/>
          </w:tblCellMar>
        </w:tblPrEx>
        <w:tc>
          <w:tcPr>
            <w:tcW w:w="0" w:type="auto"/>
            <w:gridSpan w:val="2"/>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Учешће сектора Услуга и смештаја у БДП</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2019</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2020</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2021</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2022</w:t>
            </w:r>
          </w:p>
        </w:tc>
      </w:tr>
      <w:tr w:rsidR="005761BD" w:rsidRPr="005761BD" w:rsidTr="00CF3A2D">
        <w:tblPrEx>
          <w:tblCellMar>
            <w:top w:w="0" w:type="dxa"/>
            <w:bottom w:w="0" w:type="dxa"/>
          </w:tblCellMar>
        </w:tblPrEx>
        <w:tc>
          <w:tcPr>
            <w:tcW w:w="0" w:type="auto"/>
            <w:gridSpan w:val="6"/>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Мил. РСД</w:t>
            </w:r>
          </w:p>
        </w:tc>
      </w:tr>
      <w:tr w:rsidR="005761BD" w:rsidRPr="005761BD" w:rsidTr="00CF3A2D">
        <w:tblPrEx>
          <w:tblCellMar>
            <w:top w:w="0" w:type="dxa"/>
            <w:bottom w:w="0" w:type="dxa"/>
          </w:tblCellMar>
        </w:tblPrEx>
        <w:tc>
          <w:tcPr>
            <w:tcW w:w="0" w:type="auto"/>
            <w:vMerge w:val="restart"/>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Услуге смештаја и исхране</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текуће цене</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75746</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58357</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79201</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118780</w:t>
            </w:r>
          </w:p>
        </w:tc>
      </w:tr>
      <w:tr w:rsidR="005761BD" w:rsidRPr="005761BD" w:rsidTr="00CF3A2D">
        <w:tblPrEx>
          <w:tblCellMar>
            <w:top w:w="0" w:type="dxa"/>
            <w:bottom w:w="0" w:type="dxa"/>
          </w:tblCellMar>
        </w:tblPrEx>
        <w:tc>
          <w:tcPr>
            <w:tcW w:w="0" w:type="auto"/>
            <w:vMerge/>
          </w:tcPr>
          <w:p w:rsidR="005761BD" w:rsidRPr="005761BD" w:rsidRDefault="005761BD" w:rsidP="00CF3A2D">
            <w:pPr>
              <w:rPr>
                <w:rFonts w:ascii="Arial" w:hAnsi="Arial" w:cs="Arial"/>
              </w:rPr>
            </w:pP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сталне цене</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75172</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53674</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77138</w:t>
            </w:r>
          </w:p>
        </w:tc>
        <w:tc>
          <w:tcPr>
            <w:tcW w:w="0" w:type="auto"/>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104521</w:t>
            </w:r>
          </w:p>
        </w:tc>
      </w:tr>
      <w:tr w:rsidR="005761BD" w:rsidRPr="005761BD" w:rsidTr="00CF3A2D">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 xml:space="preserve">Бруто домаћи производ (БДП), укупно </w:t>
            </w:r>
          </w:p>
          <w:p w:rsidR="005761BD" w:rsidRPr="005761BD" w:rsidRDefault="005761BD" w:rsidP="00CF3A2D">
            <w:pPr>
              <w:spacing w:line="210" w:lineRule="atLeast"/>
              <w:rPr>
                <w:rFonts w:ascii="Arial" w:hAnsi="Arial" w:cs="Arial"/>
              </w:rPr>
            </w:pPr>
            <w:r>
              <w:rPr>
                <w:rFonts w:ascii="Arial" w:eastAsia="Verdana" w:hAnsi="Arial" w:cs="Arial"/>
                <w:i/>
                <w:sz w:val="22"/>
              </w:rPr>
              <w:t>-</w:t>
            </w:r>
            <w:r w:rsidRPr="005761BD">
              <w:rPr>
                <w:rFonts w:ascii="Arial" w:eastAsia="Verdana" w:hAnsi="Arial" w:cs="Arial"/>
                <w:i/>
                <w:sz w:val="22"/>
              </w:rPr>
              <w:t xml:space="preserve">сви сектори </w:t>
            </w:r>
            <w:r>
              <w:rPr>
                <w:rFonts w:ascii="Arial" w:eastAsia="Verdana" w:hAnsi="Arial" w:cs="Arial"/>
                <w:i/>
                <w:sz w:val="22"/>
              </w:rPr>
              <w:t>-</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текуће цене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5421851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5504431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6271988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7097629</w:t>
            </w:r>
          </w:p>
        </w:tc>
      </w:tr>
      <w:tr w:rsidR="005761BD" w:rsidRPr="005761BD" w:rsidTr="00CF3A2D">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сталне цене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5292678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5372880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5929700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6431921</w:t>
            </w:r>
          </w:p>
        </w:tc>
      </w:tr>
      <w:tr w:rsidR="005761BD" w:rsidRPr="005761BD" w:rsidTr="00CF3A2D">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Удео у структури БДП, %</w:t>
            </w:r>
          </w:p>
        </w:tc>
      </w:tr>
      <w:tr w:rsidR="005761BD" w:rsidRPr="005761BD" w:rsidTr="00CF3A2D">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Услуге смештаја и исхране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1.7</w:t>
            </w:r>
          </w:p>
        </w:tc>
      </w:tr>
      <w:tr w:rsidR="005761BD" w:rsidRPr="005761BD" w:rsidTr="00CF3A2D">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Стопа реалног раста, %</w:t>
            </w:r>
          </w:p>
        </w:tc>
      </w:tr>
      <w:tr w:rsidR="005761BD" w:rsidRPr="005761BD" w:rsidTr="00CF3A2D">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Услуге смештаја и исхране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-29.1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32.2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32.0</w:t>
            </w:r>
          </w:p>
        </w:tc>
      </w:tr>
      <w:tr w:rsidR="005761BD" w:rsidRPr="005761BD" w:rsidTr="00CF3A2D">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Бруто домаћи производ (БДП), укупно-сви сектори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4.3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-0.9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7.7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2.5</w:t>
            </w:r>
          </w:p>
        </w:tc>
      </w:tr>
    </w:tbl>
    <w:p w:rsidR="005761BD" w:rsidRPr="005761BD" w:rsidRDefault="005761BD" w:rsidP="005761BD">
      <w:pPr>
        <w:spacing w:line="210" w:lineRule="atLeast"/>
        <w:rPr>
          <w:rFonts w:ascii="Arial" w:hAnsi="Arial" w:cs="Arial"/>
        </w:rPr>
      </w:pPr>
      <w:r w:rsidRPr="005761BD">
        <w:rPr>
          <w:rFonts w:ascii="Arial" w:eastAsia="Verdana" w:hAnsi="Arial" w:cs="Arial"/>
          <w:i/>
          <w:sz w:val="22"/>
        </w:rPr>
        <w:t xml:space="preserve">Извор: Саопштење </w:t>
      </w:r>
      <w:r>
        <w:rPr>
          <w:rFonts w:ascii="Arial" w:eastAsia="Verdana" w:hAnsi="Arial" w:cs="Arial"/>
          <w:i/>
          <w:sz w:val="22"/>
        </w:rPr>
        <w:t>-</w:t>
      </w:r>
      <w:r w:rsidRPr="005761BD">
        <w:rPr>
          <w:rFonts w:ascii="Arial" w:eastAsia="Verdana" w:hAnsi="Arial" w:cs="Arial"/>
          <w:sz w:val="22"/>
        </w:rPr>
        <w:t xml:space="preserve"> </w:t>
      </w:r>
      <w:r w:rsidRPr="005761BD">
        <w:rPr>
          <w:rFonts w:ascii="Arial" w:eastAsia="Verdana" w:hAnsi="Arial" w:cs="Arial"/>
          <w:i/>
          <w:sz w:val="22"/>
        </w:rPr>
        <w:t>Бруто домаћи производ, 2022, Републички завод за статистику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Република Србија је 2023. године званично постала чланица Глобалног савета за одрживи туризам (у даљем тексту: GSTC),</w:t>
      </w:r>
      <w:r w:rsidRPr="005761BD">
        <w:rPr>
          <w:rFonts w:ascii="Arial" w:eastAsia="Verdana" w:hAnsi="Arial" w:cs="Arial"/>
          <w:sz w:val="22"/>
          <w:vertAlign w:val="superscript"/>
        </w:rPr>
        <w:t>10</w:t>
      </w:r>
      <w:r w:rsidRPr="005761BD">
        <w:rPr>
          <w:rFonts w:ascii="Arial" w:eastAsia="Verdana" w:hAnsi="Arial" w:cs="Arial"/>
          <w:sz w:val="22"/>
        </w:rPr>
        <w:t xml:space="preserve"> који успоставља и управља глобалним стандардима за одржива путовања и туризам, познатијим као GSTC критеријуми. Ови критеријуми су засновани на циљевима Агенде 2030 Уједињених нација и користе се за едукацију и подизање свести, креирање политике пружалаца туристичких услуга, релевантних државних институција и других типова организација у туризму, мерење и евалуацију и као основа за GSTC сертификацију. GSTC критеријуми су преведени на многе језике и учињени јавно доступним на вeб страници GSTC</w:t>
      </w:r>
      <w:r w:rsidRPr="005761BD">
        <w:rPr>
          <w:rFonts w:ascii="Arial" w:eastAsia="Verdana" w:hAnsi="Arial" w:cs="Arial"/>
          <w:sz w:val="22"/>
          <w:vertAlign w:val="superscript"/>
        </w:rPr>
        <w:t>11</w:t>
      </w:r>
      <w:r w:rsidRPr="005761BD">
        <w:rPr>
          <w:rFonts w:ascii="Arial" w:eastAsia="Verdana" w:hAnsi="Arial" w:cs="Arial"/>
          <w:sz w:val="22"/>
        </w:rPr>
        <w:t>. С обзиром да свака туристичка дестинација има своју културу, окружење, обичаје и законе, критеријуми су осмишљени тако да буду прилагођени локалним условима и допуњени додатним критеријумима за конкретну локацију и делатност.</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9 https://www.undp.org/sr/serbia/news/srbija-se-pridruzila-globalnoj-inicijativi-za-odrzivi-turizam.</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10 Енгл. Global Sustainable Tourism Council </w:t>
      </w:r>
      <w:r>
        <w:rPr>
          <w:rFonts w:ascii="Arial" w:eastAsia="Verdana" w:hAnsi="Arial" w:cs="Arial"/>
          <w:sz w:val="22"/>
        </w:rPr>
        <w:t>-</w:t>
      </w:r>
      <w:r w:rsidRPr="005761BD">
        <w:rPr>
          <w:rFonts w:ascii="Arial" w:eastAsia="Verdana" w:hAnsi="Arial" w:cs="Arial"/>
          <w:sz w:val="22"/>
        </w:rPr>
        <w:t xml:space="preserve"> GSTC.</w:t>
      </w:r>
    </w:p>
    <w:p w:rsidR="005761BD" w:rsidRPr="005761BD" w:rsidRDefault="005761BD" w:rsidP="005761BD">
      <w:pPr>
        <w:spacing w:line="210" w:lineRule="atLeast"/>
        <w:rPr>
          <w:rFonts w:ascii="Arial" w:hAnsi="Arial" w:cs="Arial"/>
        </w:rPr>
      </w:pPr>
      <w:r w:rsidRPr="005761BD">
        <w:rPr>
          <w:rFonts w:ascii="Arial" w:eastAsia="Verdana" w:hAnsi="Arial" w:cs="Arial"/>
          <w:sz w:val="22"/>
        </w:rPr>
        <w:t>11 https://www.gstcouncil.org/gstc-criteria/criteria-translations/.</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Учлањивањем у GSTC, Република Србија је добила могућност да успостави националне стандарде одрживог туризма, што би пружаоцима туристичких услуга у нашој земљи омогућило да понесу званичну ознаку одрживости и тиме одговоре на захтеве модерних посетилаца из целог света. Министарство надлежно за </w:t>
      </w:r>
      <w:r w:rsidRPr="005761BD">
        <w:rPr>
          <w:rFonts w:ascii="Arial" w:eastAsia="Verdana" w:hAnsi="Arial" w:cs="Arial"/>
          <w:sz w:val="22"/>
        </w:rPr>
        <w:lastRenderedPageBreak/>
        <w:t>област туризма недавно је најавило израду националних критеријума за одрживи развој туризма, и то у три категорије: Критеријуми за развој туристичких дестинација, Критеријуми за хотелијерску индустрију и Критеријуми за организаторе путовања.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Добар пример пилот пројеката за одрживи развој туризма на локалном нивоу туристичке дестинације покренут је 2023. у Сомбору</w:t>
      </w:r>
      <w:r w:rsidRPr="005761BD">
        <w:rPr>
          <w:rFonts w:ascii="Arial" w:eastAsia="Verdana" w:hAnsi="Arial" w:cs="Arial"/>
          <w:sz w:val="22"/>
          <w:vertAlign w:val="superscript"/>
        </w:rPr>
        <w:t>12</w:t>
      </w:r>
      <w:r w:rsidRPr="005761BD">
        <w:rPr>
          <w:rFonts w:ascii="Arial" w:eastAsia="Verdana" w:hAnsi="Arial" w:cs="Arial"/>
          <w:sz w:val="22"/>
        </w:rPr>
        <w:t xml:space="preserve"> уз подршку Програмa Уједињених нација за развој (у даљем тексту: UNDP), а као наставак активности у вези приступања Републике Србије GSTC. У оквиру овог пројекта ће се радити на развоју туристичке понуде Сомбора уз фокусирање на унапређење пословања малих и средњих предузећа, развој ЦЕ, улагање у одрживу инфраструктуру, очување биодиверзитета, превенцију миграција и друге области кључне за одрживи развој и за јачање домаћинског туризма у Републици Србији. У наредном периоду очекује се укључивање других локалних дестинација у сличне иницијативе.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Висока стопа реалног раста сектора услуга смештаја и исхране, раст броја туриста и туристичких ноћења протеклих година, као и глобални трендови у погледу развоја одрживог туризма уз подстицање одрживе потрошње, коришћења воде и енергије из обновљивих извора и превенцији настанка отпада, указују на велики развојни потенцијал одрживог туризма уз примену принципа ЦЕ. Такав развој одрживог туризма може подстаћи одрживу потрошњу и производњу по циркуларном моделу и у повезаним привредним секторима (попут грађевинарства, пољопривреде и саобраћаја) и истовремено позитивно деловати на развој локалних заједница уз промовисање заштите животне средине и очувања природних ресурса и локалних вредности, те може деловати као снажан покретач транзиције ка циркуларности.</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 xml:space="preserve">2.3. Национални правни и плански оквир </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програм, у складу са одредбама члана 12. Закона о планском систему Републике Србије, представља документ јавне политике који се ослања на више сектора и области, те је у складу са чланом 2. тачка 6) Закона о планском систему Републике Србије, приликом његове израде извршено усклађивање са важећим правним оквиром и другим планским документима. Одређени број прописа из различитих области је у вези са елементима и принципима ЦЕ и на тај начин они креирају амбијент у коме ће се ресурси користити ефикасно, а притисак на животну средину смањити уз истовремени развој економије.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2.3.1. Закони који уређују области повезане са Програмом</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2.3.1.1. Животна средина и управљање отпадом</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Закон о заштити животне средине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xml:space="preserve">, бр. 135/04, 36/09, 36/09 </w:t>
      </w:r>
      <w:r>
        <w:rPr>
          <w:rFonts w:ascii="Arial" w:eastAsia="Verdana" w:hAnsi="Arial" w:cs="Arial"/>
          <w:sz w:val="22"/>
        </w:rPr>
        <w:t>-</w:t>
      </w:r>
      <w:r w:rsidRPr="005761BD">
        <w:rPr>
          <w:rFonts w:ascii="Arial" w:eastAsia="Verdana" w:hAnsi="Arial" w:cs="Arial"/>
          <w:sz w:val="22"/>
        </w:rPr>
        <w:t xml:space="preserve"> др. закон, 72/09 </w:t>
      </w:r>
      <w:r>
        <w:rPr>
          <w:rFonts w:ascii="Arial" w:eastAsia="Verdana" w:hAnsi="Arial" w:cs="Arial"/>
          <w:sz w:val="22"/>
        </w:rPr>
        <w:t>-</w:t>
      </w:r>
      <w:r w:rsidRPr="005761BD">
        <w:rPr>
          <w:rFonts w:ascii="Arial" w:eastAsia="Verdana" w:hAnsi="Arial" w:cs="Arial"/>
          <w:sz w:val="22"/>
        </w:rPr>
        <w:t xml:space="preserve"> др. закон, 43/11 </w:t>
      </w:r>
      <w:r>
        <w:rPr>
          <w:rFonts w:ascii="Arial" w:eastAsia="Verdana" w:hAnsi="Arial" w:cs="Arial"/>
          <w:sz w:val="22"/>
        </w:rPr>
        <w:t>-</w:t>
      </w:r>
      <w:r w:rsidRPr="005761BD">
        <w:rPr>
          <w:rFonts w:ascii="Arial" w:eastAsia="Verdana" w:hAnsi="Arial" w:cs="Arial"/>
          <w:sz w:val="22"/>
        </w:rPr>
        <w:t xml:space="preserve"> УС, 14/16, 76/18, 95/18 </w:t>
      </w:r>
      <w:r>
        <w:rPr>
          <w:rFonts w:ascii="Arial" w:eastAsia="Verdana" w:hAnsi="Arial" w:cs="Arial"/>
          <w:sz w:val="22"/>
        </w:rPr>
        <w:t>-</w:t>
      </w:r>
      <w:r w:rsidRPr="005761BD">
        <w:rPr>
          <w:rFonts w:ascii="Arial" w:eastAsia="Verdana" w:hAnsi="Arial" w:cs="Arial"/>
          <w:sz w:val="22"/>
        </w:rPr>
        <w:t xml:space="preserve"> др. закон, 95/18 </w:t>
      </w:r>
      <w:r>
        <w:rPr>
          <w:rFonts w:ascii="Arial" w:eastAsia="Verdana" w:hAnsi="Arial" w:cs="Arial"/>
          <w:sz w:val="22"/>
        </w:rPr>
        <w:t>-</w:t>
      </w:r>
      <w:r w:rsidRPr="005761BD">
        <w:rPr>
          <w:rFonts w:ascii="Arial" w:eastAsia="Verdana" w:hAnsi="Arial" w:cs="Arial"/>
          <w:sz w:val="22"/>
        </w:rPr>
        <w:t xml:space="preserve"> др. закон и 94/24 </w:t>
      </w:r>
      <w:r>
        <w:rPr>
          <w:rFonts w:ascii="Arial" w:eastAsia="Verdana" w:hAnsi="Arial" w:cs="Arial"/>
          <w:sz w:val="22"/>
        </w:rPr>
        <w:t>-</w:t>
      </w:r>
      <w:r w:rsidRPr="005761BD">
        <w:rPr>
          <w:rFonts w:ascii="Arial" w:eastAsia="Verdana" w:hAnsi="Arial" w:cs="Arial"/>
          <w:sz w:val="22"/>
        </w:rPr>
        <w:t xml:space="preserve"> др. закон) поставља основе за примену ЦЕ кроз унапређење интегралног приступа заштити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Као основна начела заштите животне средине, овим законом су дефинисана, између осталог, начело интегралности, начело превенције и предострожности, начело очувања природних вредности, начело одрживог развоја, начело загађивач плаћа и друго. Овим законом и одговарајућим подзаконским актима су дефинисани сви потребни услови за доделу и одузимање Еко знака који се може доделити за производе који испуњавају критеријуме по питању заштите животне средине, а произведени су на територији Републике Србије. У овом закону се наводи да се у Републици Србији примењују српски стандарди за систем менаџмента животном средином (SRPS ISO 14001), као и да правна лица, предузетници и организације, који имају успостављен систем менаџмента животном средином могу да се</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12 https://www.undp.org/sr/serbia/news/zajedno-za-razvoj-domacinskog-turizma-u-somboru.</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укључе у систем EcoManagement and Audit Scheme (EMAS). Овај закон даје основу и за подзаконски акт за EMAS који још увек није усвојен. Закон о заштити животне средине обезбеђује правни основ за успостављање система еколошког означавања, на који се непосредно надовезује Правилник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(,,Службени гласник РС</w:t>
      </w:r>
      <w:r>
        <w:rPr>
          <w:rFonts w:ascii="Arial" w:eastAsia="Verdana" w:hAnsi="Arial" w:cs="Arial"/>
          <w:sz w:val="22"/>
        </w:rPr>
        <w:t>"</w:t>
      </w:r>
      <w:r w:rsidRPr="005761BD">
        <w:rPr>
          <w:rFonts w:ascii="Arial" w:eastAsia="Verdana" w:hAnsi="Arial" w:cs="Arial"/>
          <w:sz w:val="22"/>
        </w:rPr>
        <w:t xml:space="preserve">, број 49/16), израђен је по угледу на Уредбу Европске комисије 66/2010 о ЕУ Еко знаку. Овај правилник тренутно садржи конкретне критеријуме за Еко знак Републике Србије за 26 различитих група производа и услуга. Критеријуми су израђени по угледу на одговарајуће критеријуме за ЕУ Еко знак који су важили у тренутку израде овог правилника. Овај правилник доприноси примени принципа ЦЕ кроз промоцију производа и услуга са смањеним утицајем на животну </w:t>
      </w:r>
      <w:r w:rsidRPr="005761BD">
        <w:rPr>
          <w:rFonts w:ascii="Arial" w:eastAsia="Verdana" w:hAnsi="Arial" w:cs="Arial"/>
          <w:sz w:val="22"/>
        </w:rPr>
        <w:lastRenderedPageBreak/>
        <w:t>средину током целог животног циклуса, подстичући одрживу производњу, потрошњу и одговорно коришћење ресурса.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управљању отпадом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109/25) уређује област управљања отпадом, кроз обезбеђивање услова за: превенцију настајања отпада, посебно развојем чистијих технологија и рационалним коришћењем природних богатстава, као и отклањање опасности од његовог штетног дејства на здравље људи и животну средину; поновно искоришћење и рециклажу отпада, издвајање секундарних сировина из отпада и коришћење отпада као енергента; развој поступака и метода за одлагање отпада; санацију неуређених одлагалишта отпада; праћење стања постојећих и новоформираних одлагалишта отпада; развијање свести о управљању отпадом. Овај закон је мењан током претходних година како би се делимично усагласио са одредбама европских директива, па је тако у 2016. години створен правни основ за дефинисање испуњености услова за нуспроизвод и престанак статуса отпада (регистар нуспроизвода и регистар отпада који је престао да буде отпад). Ове одредбе су од велике важности за ЦЕ јер се ствара основа да се отпад прогласи нуспроизводом и да се овим материјалом тргује, што може да утиче на повећање одвојеног сакупљања многих фракција отпада које се могу поново искористити. За примену концепта ЦЕ важан је и члан 50. Закона о управљању отпадом који се односи на поновну употребу и поновно искоришћење отпада. Наведеном чланом прописано је да надлежни орган за управљање отпадом предузима одговарајуће мере за подстицање поновне употребе и припреме за поновну употребу производа, где је то могуће, а нарочито развојем система за репарацију и поновну употребу производа, применом економских инструмената, критеријума при спровођењу поступка јавних набавки и утврђивањем других циљева и мера, као и да предузима мере којима обезбеђује и промовише или унапређује поновно искоришћење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Постојање ових чланова показује да постоји законски основ за примену принципа ЦЕ и у том смислу потребна је само доследна примена истих. Преношењем и осталих одредби ЕУ директива из пакета ЦЕ у национално законодавство створиће се додатни подстицаји за транзицију на циркуларну економију.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амбалажи и амбалажном отпаду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 36/09 и 95/18 </w:t>
      </w:r>
      <w:r>
        <w:rPr>
          <w:rFonts w:ascii="Arial" w:eastAsia="Verdana" w:hAnsi="Arial" w:cs="Arial"/>
          <w:sz w:val="22"/>
        </w:rPr>
        <w:t>-</w:t>
      </w:r>
      <w:r w:rsidRPr="005761BD">
        <w:rPr>
          <w:rFonts w:ascii="Arial" w:eastAsia="Verdana" w:hAnsi="Arial" w:cs="Arial"/>
          <w:sz w:val="22"/>
        </w:rPr>
        <w:t xml:space="preserve"> др. закон) регулише услове стављања амбалаже на тржиште Републике Србије, начин управљања амбалажним отпадом и обавезу доношења националних циљева, дефинише све субјекте у управљању амбалажом и амбалажним отпадом и заснован је на подели одговорности произвођача, увозника, пакера/пунилаца, дистрибутера, сакупљача, превозника, крајњег снабдевача и крајњег корисника, а дефинише и обавезе извештавања, финансијске и економске инструменте, надзор и казнену политику. За ЦЕ важне су одредбе које се односе на специфичне захтеве за поновну употребу амбалаже; специфичне захтеве за амбалажу која је поновно искористива рециклажом материјала; специфичне захтеве за амбалажу која је поновно искористива компостирањем и биоразградњом и специфичне захтеве за амбалажу која је поновно искористива у облику енергије. Такође се прописује обавеза да се амбалажа пројектује тако да након коришћења може да се поново искористи. Циркуларни дизајн је нужан за примену концепта ЦЕ и у том смислу потребно је даље примењивати иновације у пројектовању одговарајуће амбалаже, као и у врстама материјала који се користе за амбалажу.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Важећи подзаконски прописи којима се ближе уређују поменуте области, а који су од значаја у контексту ЦЕ: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начину и поступку управљања отпадом од грађења и рушења (,,Службени гласник РС</w:t>
      </w:r>
      <w:r>
        <w:rPr>
          <w:rFonts w:ascii="Arial" w:eastAsia="Verdana" w:hAnsi="Arial" w:cs="Arial"/>
          <w:sz w:val="22"/>
        </w:rPr>
        <w:t>"</w:t>
      </w:r>
      <w:r w:rsidRPr="005761BD">
        <w:rPr>
          <w:rFonts w:ascii="Arial" w:eastAsia="Verdana" w:hAnsi="Arial" w:cs="Arial"/>
          <w:sz w:val="22"/>
        </w:rPr>
        <w:t xml:space="preserve">, бр. 93/23 и 94/23 </w:t>
      </w:r>
      <w:r>
        <w:rPr>
          <w:rFonts w:ascii="Arial" w:eastAsia="Verdana" w:hAnsi="Arial" w:cs="Arial"/>
          <w:sz w:val="22"/>
        </w:rPr>
        <w:t>-</w:t>
      </w:r>
      <w:r w:rsidRPr="005761BD">
        <w:rPr>
          <w:rFonts w:ascii="Arial" w:eastAsia="Verdana" w:hAnsi="Arial" w:cs="Arial"/>
          <w:sz w:val="22"/>
        </w:rPr>
        <w:t xml:space="preserve"> исправка);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критеријумима за одређивање нуспроизвода и обрасцу извештаја о нуспроизводима, начину и роковима за његово достављање (,,Службени гласник РС</w:t>
      </w:r>
      <w:r>
        <w:rPr>
          <w:rFonts w:ascii="Arial" w:eastAsia="Verdana" w:hAnsi="Arial" w:cs="Arial"/>
          <w:sz w:val="22"/>
        </w:rPr>
        <w:t>"</w:t>
      </w:r>
      <w:r w:rsidRPr="005761BD">
        <w:rPr>
          <w:rFonts w:ascii="Arial" w:eastAsia="Verdana" w:hAnsi="Arial" w:cs="Arial"/>
          <w:sz w:val="22"/>
        </w:rPr>
        <w:t>, бр. 76/19, 95/22 и 29/24);</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садржини захтева за упис у Регистар нуспроизвода и Регистар отпада који је престао да буде отпад (,,Службени гласник РС</w:t>
      </w:r>
      <w:r>
        <w:rPr>
          <w:rFonts w:ascii="Arial" w:eastAsia="Verdana" w:hAnsi="Arial" w:cs="Arial"/>
          <w:sz w:val="22"/>
        </w:rPr>
        <w:t>"</w:t>
      </w:r>
      <w:r w:rsidRPr="005761BD">
        <w:rPr>
          <w:rFonts w:ascii="Arial" w:eastAsia="Verdana" w:hAnsi="Arial" w:cs="Arial"/>
          <w:sz w:val="22"/>
        </w:rPr>
        <w:t>, бр. 76/19 и 95/22);</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врстама отпада за које се може поднети захтев, дозвољеним поступцима и технологијама третмана за врсте отпада и другим посебним елементима за одређивање престанка (,,Службени гласник РС</w:t>
      </w:r>
      <w:r>
        <w:rPr>
          <w:rFonts w:ascii="Arial" w:eastAsia="Verdana" w:hAnsi="Arial" w:cs="Arial"/>
          <w:sz w:val="22"/>
        </w:rPr>
        <w:t>"</w:t>
      </w:r>
      <w:r w:rsidRPr="005761BD">
        <w:rPr>
          <w:rFonts w:ascii="Arial" w:eastAsia="Verdana" w:hAnsi="Arial" w:cs="Arial"/>
          <w:sz w:val="22"/>
        </w:rPr>
        <w:t>, бр. 19/24 и 47/24);</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листи мера превенције стварања отпада (,,Службени гласник РС</w:t>
      </w:r>
      <w:r>
        <w:rPr>
          <w:rFonts w:ascii="Arial" w:eastAsia="Verdana" w:hAnsi="Arial" w:cs="Arial"/>
          <w:sz w:val="22"/>
        </w:rPr>
        <w:t>"</w:t>
      </w:r>
      <w:r w:rsidRPr="005761BD">
        <w:rPr>
          <w:rFonts w:ascii="Arial" w:eastAsia="Verdana" w:hAnsi="Arial" w:cs="Arial"/>
          <w:sz w:val="22"/>
        </w:rPr>
        <w:t>, број 7/19).</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Закон о хемикалијама</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xml:space="preserve">, бр. 36/09, 88/10, 92/11, 93/12 и 25/15), је кровни пропис који уређује управљање хемикалијама у Републици Србији, а заснива се на начелу предострожности и начелу да произвођач, увозник или даљи корисник производи, ставља у промет и користи хемикалије тако да нема непожељних ефеката по здравље људи и животну средину. Овај закон, заједно са подзаконским актима, усаглашен је са REACH (Уредбa 1907/2006/ЕЗ) и другим ЕУ прописима у области хемикалија, укључујући и </w:t>
      </w:r>
      <w:r w:rsidRPr="005761BD">
        <w:rPr>
          <w:rFonts w:ascii="Arial" w:eastAsia="Verdana" w:hAnsi="Arial" w:cs="Arial"/>
          <w:sz w:val="22"/>
        </w:rPr>
        <w:lastRenderedPageBreak/>
        <w:t>одредбе које се односе на класификацију и комуникацију опасности од хемикалија. У погледу одредби које се односе на најопасније хемикалије, прописана суограничења и забранекоје се односе на њихову производњу, стављање у промет и коришћење, укључујући и листу забрањених и ограничених POPs супстанци које су обухваћене Стокхолмском конвенцијом. Такође, транспоноване су Листе супстанци које изазивају забринутост (</w:t>
      </w:r>
      <w:r w:rsidRPr="005761BD">
        <w:rPr>
          <w:rFonts w:ascii="Arial" w:eastAsia="Verdana" w:hAnsi="Arial" w:cs="Arial"/>
          <w:i/>
          <w:sz w:val="22"/>
        </w:rPr>
        <w:t xml:space="preserve">Substances of Very High Concern </w:t>
      </w:r>
      <w:r>
        <w:rPr>
          <w:rFonts w:ascii="Arial" w:eastAsia="Verdana" w:hAnsi="Arial" w:cs="Arial"/>
          <w:i/>
          <w:sz w:val="22"/>
        </w:rPr>
        <w:t>-</w:t>
      </w:r>
      <w:r w:rsidRPr="005761BD">
        <w:rPr>
          <w:rFonts w:ascii="Arial" w:eastAsia="Verdana" w:hAnsi="Arial" w:cs="Arial"/>
          <w:i/>
          <w:sz w:val="22"/>
        </w:rPr>
        <w:t xml:space="preserve"> SVHC</w:t>
      </w:r>
      <w:r w:rsidRPr="005761BD">
        <w:rPr>
          <w:rFonts w:ascii="Arial" w:eastAsia="Verdana" w:hAnsi="Arial" w:cs="Arial"/>
          <w:sz w:val="22"/>
        </w:rPr>
        <w:t>), као и Листа супстанци кандидата за листу SVHC. Свима у ланцу снабдевања, укључујући и крајње потрошаче, дато јеправо информисања о евентуалном присуству оваквих супстанци у производима. У складу са овим законом, Министарство заштите животне средине води Регистар хемикалија које се производе или увозе на тржиште Републике Србије и спроводи поступке у вези увоза и извоза одређених опасних хемикалија које су обухваћене Ротердамском конвенцијом. Овим законом се ствара правни оквир који подржава ЦЕ, јер регулише безбедно управљање хемикалијама током целог животног циклуса производа, омогућавајући рециклажу, поновну употребу и смањење ризика по здравље и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Закон о интегрисаном спречавању и контроли загађивања животне средине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бр. 135/04, 25/15 и 109/21), уређује услове и поступак издавања интегрисане дозволе за постројења и активности која могу имати негативне утицаје на здравље људи, животну средину или материјална добра, врсте активности и постројења, надзор и друга питања. У поступку издавања дозволе, оператер је дужан да достави детаљне податке о постројењу и активностима које се у њему одвијају, изворима емисије, природи и количинама предвиђених емисија, али и мерама за смањење настајања и уклањања отпада, мерама за ефикасно коришћење енергије и другим мерама које се од њега очекује да предузме ради достизања захтева у погледу заштите животне средине. Поред тога, оператер је у обавези да уради детаљан преглед усклађености рада постројења са најбољим доступним техникама (</w:t>
      </w:r>
      <w:r w:rsidRPr="005761BD">
        <w:rPr>
          <w:rFonts w:ascii="Arial" w:eastAsia="Verdana" w:hAnsi="Arial" w:cs="Arial"/>
          <w:i/>
          <w:sz w:val="22"/>
        </w:rPr>
        <w:t>BAT</w:t>
      </w:r>
      <w:r w:rsidRPr="005761BD">
        <w:rPr>
          <w:rFonts w:ascii="Arial" w:eastAsia="Verdana" w:hAnsi="Arial" w:cs="Arial"/>
          <w:sz w:val="22"/>
        </w:rPr>
        <w:t>), као и план мера за усаглашавање са овим техникама и достизање граничних вредности емисија повезаних са њима. Овај закон доприноси имплементацији принципа ЦЕ кроз обавезу примене мера за смањење отпада, ефикасно коришћење енергије и увођење најбољих доступних техника у индустријским постројењима ради минимизирања негативних утицаја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Законом о заштити ваздуха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51/25), уређује се управљање квалитетом ваздуха и одређују мере, начин организовања и контроле спровођења заштите и побољшања квалитета ваздуха као природне вредности од општег интереса под посебном заштитом. Новим законом створен је нормативни оквир за ефикаснију примену мера заштите ваздуха у пракси. Позитиван допринос огледа се у томе да се на одговоран начин доприноси остваривању принципа ЦЕ кроз унапређење управљања квалитетом ваздуха, смањење загађења и одговорно коришћење ресурса у складу са међународним обавезама Републике Србије.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водама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 30/10, 93/12, 101/16, 95/18 и 95/18 </w:t>
      </w:r>
      <w:r>
        <w:rPr>
          <w:rFonts w:ascii="Arial" w:eastAsia="Verdana" w:hAnsi="Arial" w:cs="Arial"/>
          <w:sz w:val="22"/>
        </w:rPr>
        <w:t>-</w:t>
      </w:r>
      <w:r w:rsidRPr="005761BD">
        <w:rPr>
          <w:rFonts w:ascii="Arial" w:eastAsia="Verdana" w:hAnsi="Arial" w:cs="Arial"/>
          <w:sz w:val="22"/>
        </w:rPr>
        <w:t xml:space="preserve"> др. закон) и сет подзаконских аката представљају правни основ за управљање и заштиту водама у Републици Србији којима се дефинишу одређени специфични захтеви. Одредбе овог закона односе се на све површинске и подземне воде на територији Републике Србије, укључујући термалне и минералне воде, осим подземних вода из којих се могу добити корисне минералне сировине и геотермална енергија. Овај закон прописује рационално коришћење површинских и подземних вода, праћење статуса водотокова и намеће ограничења по питању емисија загађујућих материја у води. Најважније одредбе овог закона огледају се у обавезама пречишћавања отпадних вода, мерењу количине захваћених вода, мерењу количине и испитивању квалитета отпадних вода, као и обавезама у погледу контроле исправности објеката и уређаја. Интегрално управљање водама дефинисано овим законом је између осталог засновано на начелу одрживог развоја по коме коришћење вода мора да буде базирано на дугорочној заштити расположивих водних ресурса, по количини и квалитету, и начелу уважавања најбољих доступних техника, које укључују и технике за ефикасно коришћење воде. Оба начела су комплементарна са концептом ЦЕ и представљају основ за његов развој, па је с тог аспекта овај закон кључан за увођење ЦЕ у области управљања водама. Концепт ЦЕ на пољу управљања водама заснива се на ефикасном коришћењу вода, пречишћавању отпадних токова, рециклирању и поновној употреби вода.</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2.3.1.2. Енергетика и климатске промене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Законом о енергетици</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xml:space="preserve">, бр. 145/14, 95/18 </w:t>
      </w:r>
      <w:r>
        <w:rPr>
          <w:rFonts w:ascii="Arial" w:eastAsia="Verdana" w:hAnsi="Arial" w:cs="Arial"/>
          <w:sz w:val="22"/>
        </w:rPr>
        <w:t>-</w:t>
      </w:r>
      <w:r w:rsidRPr="005761BD">
        <w:rPr>
          <w:rFonts w:ascii="Arial" w:eastAsia="Verdana" w:hAnsi="Arial" w:cs="Arial"/>
          <w:sz w:val="22"/>
        </w:rPr>
        <w:t xml:space="preserve"> др. закон, 40/21, 35/23 </w:t>
      </w:r>
      <w:r>
        <w:rPr>
          <w:rFonts w:ascii="Arial" w:eastAsia="Verdana" w:hAnsi="Arial" w:cs="Arial"/>
          <w:sz w:val="22"/>
        </w:rPr>
        <w:t>-</w:t>
      </w:r>
      <w:r w:rsidRPr="005761BD">
        <w:rPr>
          <w:rFonts w:ascii="Arial" w:eastAsia="Verdana" w:hAnsi="Arial" w:cs="Arial"/>
          <w:sz w:val="22"/>
        </w:rPr>
        <w:t xml:space="preserve"> др. закон, 62/23, 94/24, 109/25 </w:t>
      </w:r>
      <w:r>
        <w:rPr>
          <w:rFonts w:ascii="Arial" w:eastAsia="Verdana" w:hAnsi="Arial" w:cs="Arial"/>
          <w:sz w:val="22"/>
        </w:rPr>
        <w:t>-</w:t>
      </w:r>
      <w:r w:rsidRPr="005761BD">
        <w:rPr>
          <w:rFonts w:ascii="Arial" w:eastAsia="Verdana" w:hAnsi="Arial" w:cs="Arial"/>
          <w:sz w:val="22"/>
        </w:rPr>
        <w:t xml:space="preserve"> др. закон, 109/25 </w:t>
      </w:r>
      <w:r>
        <w:rPr>
          <w:rFonts w:ascii="Arial" w:eastAsia="Verdana" w:hAnsi="Arial" w:cs="Arial"/>
          <w:sz w:val="22"/>
        </w:rPr>
        <w:t>-</w:t>
      </w:r>
      <w:r w:rsidRPr="005761BD">
        <w:rPr>
          <w:rFonts w:ascii="Arial" w:eastAsia="Verdana" w:hAnsi="Arial" w:cs="Arial"/>
          <w:sz w:val="22"/>
        </w:rPr>
        <w:t xml:space="preserve"> др. закон и 109/25 </w:t>
      </w:r>
      <w:r>
        <w:rPr>
          <w:rFonts w:ascii="Arial" w:eastAsia="Verdana" w:hAnsi="Arial" w:cs="Arial"/>
          <w:sz w:val="22"/>
        </w:rPr>
        <w:t>-</w:t>
      </w:r>
      <w:r w:rsidRPr="005761BD">
        <w:rPr>
          <w:rFonts w:ascii="Arial" w:eastAsia="Verdana" w:hAnsi="Arial" w:cs="Arial"/>
          <w:sz w:val="22"/>
        </w:rPr>
        <w:t xml:space="preserve"> др. закон) утврђени су дугорочни циљеви у области енергетике, као и обезбеђивање услова за унапређење енергетске ефикасности и повећања употребе обновљивих извора енергије у обављању енергетских делатности и потрошњи енергије. Овим законом су препознати главни актери у области енергетике, као и успостављени принципи који дефинишу њихове дужности, а које су детаљније прописане законима којимa се уређују обновљиви извори енергије, као и енергетска ефикасност. Овим законом се омогућава стварање услова за поуздан и безбедан рад и одрживи </w:t>
      </w:r>
      <w:r w:rsidRPr="005761BD">
        <w:rPr>
          <w:rFonts w:ascii="Arial" w:eastAsia="Verdana" w:hAnsi="Arial" w:cs="Arial"/>
          <w:sz w:val="22"/>
        </w:rPr>
        <w:lastRenderedPageBreak/>
        <w:t>развој енергетских система. Препознавање идеје ЦЕ у енергетици заснива се на уређењу области управљања енергијом, повећању енергетске ефикасности и коришћењу обновљивих извора енергије за енергетске и неенергетске сврхе, што је у складу са циљевима и принципима утврђеним Законом о енергетици, којим се подстиче одржива употреба ресурса и развој енергетских система усмерених на смањење негативних утицаја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Законом о енергетској ефикасности и рационалној употреби енергије</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40/21) уређују се услови и начин ефикасног коришћења енергије и енергената, политика ефикасног коришћења енергије; систем енергетског менаџмента; мере политике енергетске ефикасности; енергетско означавање и захтеви у погледу еко-дизајна; финансирање, подстицајне и друге мере, као и друга питања од значаја у вези са ефикасним коришћењем енергије. Овим законом успоставља се нормативни оквир за одговорно и ефикасно коришћење енергије, што представља један од кључних принципа ЦЕ, нарочито у делу смањења потрошње ресурса, унапређења енергетског менаџмента и подстицања одрживих модела производње и потрошње.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Најважнији подзаконски прописи којима се ближе уређује област енергетске ефикасности, а који су од значаја у контексту ЦЕ су: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енергетском означавању производа који утичу на потрошњу енергије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21/23 и 34/23);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грејача воде, резервоара топле воде и комплета грејача воде и соларног уређаја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67/18);</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грејача простора, комбинованих грејача, комплета грејача простора, опреме за регулацију температуре и соларног уређаја и комплета комбинованог грејача, опреме за регулацију температуре и соларног уређаја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17/18);</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машина за сушење веша са бубњем за домаћинство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24/17 и 31/25);</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пећница и напа за домаћинство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19/17);</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уређаја за климатизацију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24/14);</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електричних извора светлости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30/22);</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машина за прање веша у домаћинству и машина за прање и сушење веша у домаћинству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43/21);</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машина за прање судова у домаћинству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брoj 43/21);</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расхладних уређаја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брoj 43/21);</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захтевима еко-дизајна за расхладне уређаје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брoj 111/22);</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означавању енергетске ефикасности електронских екрана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92/21 и 28/25);</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захтевима еко-дизајна у погледу потрошње електричне енергије у стању приправности, искљученом стању и умреженом стању приправности за електричне и електронске уређаје у домаћинству и канцеларијску опрему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65/23);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обвезницима система енергетског менаџмента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59/22);</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енергетском означавању производа који утичу на потрошњу енергије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21/23 и 34/23);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обрасцу годишњег извештаја о остваривању циљева уштеде енергије и начину његовог достављања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67/22 и 60/23);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ближим условима за именовање енергетских менаџера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137/22).</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Законом о коришћењу обновљивих извора енергије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xml:space="preserve">, бр. 40/21, 35/23 и 94/24 </w:t>
      </w:r>
      <w:r>
        <w:rPr>
          <w:rFonts w:ascii="Arial" w:eastAsia="Verdana" w:hAnsi="Arial" w:cs="Arial"/>
          <w:sz w:val="22"/>
        </w:rPr>
        <w:t>-</w:t>
      </w:r>
      <w:r w:rsidRPr="005761BD">
        <w:rPr>
          <w:rFonts w:ascii="Arial" w:eastAsia="Verdana" w:hAnsi="Arial" w:cs="Arial"/>
          <w:sz w:val="22"/>
        </w:rPr>
        <w:t xml:space="preserve"> др. закон) се уређује коришћење енергије и дефинишу циљеви из обновљивих извора, начин одређивања удела обновљивих извора енергије Републике Србије у бруто финалној потрошњи енергије, интеграција енергије из обновљивих извора на тржиште, системи подстицаја производње електричне енергије из обновљивих извора итд. Неки од најзначајнијих циљева овог закона су у потпуности у складу са принципима ЦЕ, као што су смањење употребе фосилних горива и повећањe коришћења обновљивих извора енергије ради заштите животне средине и подстицањe истраживања, иновација и конкурентности у области коришћења обновљивих извора енергије.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климатским променама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26/21) пружа основу за ефикасан и транспарентан систем за мониторинг, извештавање и верификацију (МRV систем), који ће пружити детаљне информације о напретку у испуњавању домаћих и међународних обавеза и осигурати праћење постизања национално утврђеног доприноса. Сврха овог закона је успостављање система како би се смањиле емисије гасова са ефектом стаклене баште (GHG гасова) на исплатив и економски ефикасан начин и тиме избегле опасне промене климе на глобалном нивоу и неповољни утицаји промене климе. Такође сврха овог закона је и смањење емисија GHG и прилагођавање на измењене климатске услове усвајањем и спровођењем докумената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 основу овлашћења из Закона о климатским променама, усвојено је шест подзаконских прописа који су од значаја за остварење ЦЕ: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врстама активности и гасовима са ефектом стаклене баште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13/22);</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Уредба о врстама података, органима и организацијама и другим физичким и правним лицима која достављају податке за израду националног инвентара гасова са ефектом стаклене баште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43/23);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верификацији и акредитацији верификатора извештаја о емисијама гасова са ефектом стаклене баште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107/21);</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подацима о економичности потрошње горива и емисијама CО</w:t>
      </w:r>
      <w:r w:rsidRPr="005761BD">
        <w:rPr>
          <w:rFonts w:ascii="Arial" w:eastAsia="Verdana" w:hAnsi="Arial" w:cs="Arial"/>
          <w:sz w:val="22"/>
          <w:vertAlign w:val="subscript"/>
        </w:rPr>
        <w:t>2</w:t>
      </w:r>
      <w:r w:rsidRPr="005761BD">
        <w:rPr>
          <w:rFonts w:ascii="Arial" w:eastAsia="Verdana" w:hAnsi="Arial" w:cs="Arial"/>
          <w:sz w:val="22"/>
        </w:rPr>
        <w:t xml:space="preserve"> из нових путничких возила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107/22 и 71/23);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садржини Националног инвентара гасова са ефектом стаклене баште и Националног извештаја о инвентару гасова са ефектом стаклене баште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55/23);</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мониторингу и извештавању о емисијама гасова са ефектом стаклене баште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118/23).</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2.3.1.3. Институционални и економски оквир</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Законом о јавним набавкама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 91/19 и 92/23)(у даљем тексту: ЈН) предвиђена је могућност набавке добара, услуга и радова са бољим перформансама по животну средину (укључујући и разматрање одговарајућег означавања и успостављеног система менаџмента животном средином), кроз укључивање одговарајућих захтева у техничким спецификацијама, критеријума за доделу уговора, а који се односе на предности у вези са животном средином и укупне трошкове животног циклуса предмета јавне набавке. Посебна пажња је посвећена трошковима животног циклуса што је од великог значаја за разумевање концепта зелених јавних набавки (у даљем тексту: ЗеЈН) и за саму примену у пракси. Последњим изменама овог закона из 2023. године, утврђена је обавеза Канцеларије за јавне набавке (у даљем тексту: КЈН) да својим актом пропише врсте добара, услуга и радова за које су наручиоци у обавези да примењују еколошке аспекте приликом одређивања техничких спецификација, критеријума за доделу уговора или услова за извршење. У складу са овом обавезом из закона, донет је Правилник о врстама добара за која су наручиоци у обавези да примењују еколошке аспекте у поступцима јавних набавки (</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115/23). У 2025. години донет је нови Правилник o врстама добара и услуга за које су наручиоци у обавези да примењују еколошке аспекте приликом спровођења поступака јавних набавки (</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број 118/25). На одабир понуде утицаће и скуп еколошких аспеката као што су животни век производа, трошкови одржавања, воде и струје и рециклаже добара када постану отпад.Еколошки аспекти односе се на набавку фотокопир папира, рачунарске опреме, канцеларијске електронске опреме, клима уређаја, средстава за чишћење, услуге чишћења и електричне апарате за домаћинства. Удео предмета набавке са еколошким аспектима у поступцима јавних набавки добара износи најмање 10% у односу на укупан обим предмета јавне набавке. Закон о јавним набавкама директно подржава принципе ЦЕ, подстичући ефикасно коришћење ресурса, смањење отпада и еколошки одговорну потрошњу. Почев од 2024. године, применом обавезног система </w:t>
      </w:r>
      <w:r w:rsidRPr="005761BD">
        <w:rPr>
          <w:rFonts w:ascii="Arial" w:eastAsia="Verdana" w:hAnsi="Arial" w:cs="Arial"/>
          <w:sz w:val="22"/>
        </w:rPr>
        <w:lastRenderedPageBreak/>
        <w:t>зелених јавних набавки (у даљем тексту: ЗеЈН), утврђена је дужност наручилаца да у одређеним категоријама добара и услуга (попут папира, ИТ и климатизационе опреме, средстава за чишћење) укључе еколошке аспекте у техничке спецификације и критеријуме за доделу уговора, критеријуме за избор привредног субјекта и услове за извршење уговора, што представља важан корак ка институционализацији ЦЕ у јавном сектору.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Законом о јавно-приватном партнерству и концесијама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 88/11, 15/16 и 104/16) уређени су између осталог: услови и начин израде, предлагања и одобравања пројеката јавно-приватног партнерства; права и обавезе јавних и приватних партнера; услови и начин давања концесије. Кроз одговарајуће чланове закона су укључени и елементи који су релевантни за зелене јавне набавке (начело заштите животне средине, захтеви у области заштите животне средине у вези са јавно-приватним партнерствима и концесионим делатностима).Закон о јавно-приватном партнерству и концесијама, који предвиђа дугорочну сарадњу између јавног и приватног сектора, пружа одличан регулаторни основ за унапређење индустријске симбиозе (ИС), као једног од кључних механизама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Законом о иновационој делатности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129/21) уређују се основна начела, циљеви и организација примене научних сазнања, техничких и технолошких знања, инвентивности и проналазаштва, у функцији стварања и реализације, у односу на постојећу техничко-технолошку основу, нових и побољшаних производа, процеса и услуга, као покретача развоја Републике Србије. Иако директно не прописује развој и примену ЦЕ, примена овог закона омогућава подршку развоју иновација. Стога он представља основ за подстицајне мере и из области ЦЕ који се додатно операционализују кроз Правилник о Регистру субјеката националног иновационог система (</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93/23) уређује критеријуме и поступак за упис у електронски регистар субјеката иновационог система за стартапове, спинофове (правна лица која су основала постојећа правна лица ради подршке развоју сопствених иновација), развојно-производне центре, истраживачко-развојне центре, иновационе центре, центре за развој технологија. Правилник уређује и услове за упис у регистар субјеката иновационе инфраструктуре (организација за подршку стартаповима, научно-технолошких паркова и других установа за подршку развоју иновационог система). Правилник о регистру субјеката националног иновационог система доприноси примени циркуларне економије кроз подршку стартаповима, спинофовима и иновационим центрима који развијају одржива решења за ефикасније коришћење ресурса и смањење отпада.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планирању и изградњи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 72/09, 81/09 </w:t>
      </w:r>
      <w:r>
        <w:rPr>
          <w:rFonts w:ascii="Arial" w:eastAsia="Verdana" w:hAnsi="Arial" w:cs="Arial"/>
          <w:sz w:val="22"/>
        </w:rPr>
        <w:t>-</w:t>
      </w:r>
      <w:r w:rsidRPr="005761BD">
        <w:rPr>
          <w:rFonts w:ascii="Arial" w:eastAsia="Verdana" w:hAnsi="Arial" w:cs="Arial"/>
          <w:sz w:val="22"/>
        </w:rPr>
        <w:t xml:space="preserve"> исправка, 64/10 </w:t>
      </w:r>
      <w:r>
        <w:rPr>
          <w:rFonts w:ascii="Arial" w:eastAsia="Verdana" w:hAnsi="Arial" w:cs="Arial"/>
          <w:sz w:val="22"/>
        </w:rPr>
        <w:t>-</w:t>
      </w:r>
      <w:r w:rsidRPr="005761BD">
        <w:rPr>
          <w:rFonts w:ascii="Arial" w:eastAsia="Verdana" w:hAnsi="Arial" w:cs="Arial"/>
          <w:sz w:val="22"/>
        </w:rPr>
        <w:t xml:space="preserve"> УС, 24/11, 121/12, 42/13 </w:t>
      </w:r>
      <w:r>
        <w:rPr>
          <w:rFonts w:ascii="Arial" w:eastAsia="Verdana" w:hAnsi="Arial" w:cs="Arial"/>
          <w:sz w:val="22"/>
        </w:rPr>
        <w:t>-</w:t>
      </w:r>
      <w:r w:rsidRPr="005761BD">
        <w:rPr>
          <w:rFonts w:ascii="Arial" w:eastAsia="Verdana" w:hAnsi="Arial" w:cs="Arial"/>
          <w:sz w:val="22"/>
        </w:rPr>
        <w:t xml:space="preserve"> УС, 50/13 </w:t>
      </w:r>
      <w:r>
        <w:rPr>
          <w:rFonts w:ascii="Arial" w:eastAsia="Verdana" w:hAnsi="Arial" w:cs="Arial"/>
          <w:sz w:val="22"/>
        </w:rPr>
        <w:t>-</w:t>
      </w:r>
      <w:r w:rsidRPr="005761BD">
        <w:rPr>
          <w:rFonts w:ascii="Arial" w:eastAsia="Verdana" w:hAnsi="Arial" w:cs="Arial"/>
          <w:sz w:val="22"/>
        </w:rPr>
        <w:t xml:space="preserve"> УС, 98/13 </w:t>
      </w:r>
      <w:r>
        <w:rPr>
          <w:rFonts w:ascii="Arial" w:eastAsia="Verdana" w:hAnsi="Arial" w:cs="Arial"/>
          <w:sz w:val="22"/>
        </w:rPr>
        <w:t>-</w:t>
      </w:r>
      <w:r w:rsidRPr="005761BD">
        <w:rPr>
          <w:rFonts w:ascii="Arial" w:eastAsia="Verdana" w:hAnsi="Arial" w:cs="Arial"/>
          <w:sz w:val="22"/>
        </w:rPr>
        <w:t xml:space="preserve"> УС, 132/14, 145/14, 83/18, 31/19, 37/19 </w:t>
      </w:r>
      <w:r>
        <w:rPr>
          <w:rFonts w:ascii="Arial" w:eastAsia="Verdana" w:hAnsi="Arial" w:cs="Arial"/>
          <w:sz w:val="22"/>
        </w:rPr>
        <w:t>-</w:t>
      </w:r>
      <w:r w:rsidRPr="005761BD">
        <w:rPr>
          <w:rFonts w:ascii="Arial" w:eastAsia="Verdana" w:hAnsi="Arial" w:cs="Arial"/>
          <w:sz w:val="22"/>
        </w:rPr>
        <w:t xml:space="preserve"> др. закон, 9/20, 52/21, 62/23 и 91/25) уређује услове и начин уређења простора, уређивање и коришћење грађевинског земљишта и изградњу објеката; вршење надзора над применом одредаба овог закона и инспекцијски надзор. Последњим изменама закона из 2023. прописана је обавеза да се приликом сваке овере уговора о купопродаји непокретности или закључења уговора о закупу, уз исте прилаже Сертификат о енергетским својствима зграде, односно њеног посебног дела, који није старији од десет година. Сертификат морају поседовати све нове зграде од дана ступања на снагу ових измена, док је рок за власнике постојећих пословних зграда пет година а стамбених десет година. Прописана је обавеза за инвеститоре свих нових зграда са преко 10.000 m² бруто развијене грађевинске површине, да по издавању употребне дозволе прибаве сертификат зелене градње (доказ о смањењу емисије гасова са ефектом стаклене баште, коришћењу еколошки сертификованих материјала, ефикасног коришћења ресурса, смањења отпада од грађења и рушења по моделу циркуларности и коришћења обновљивих извора енергије). Инвеститори који прибаве сертификат зелене градње имају право на умањење обрачунатог доприноса за уређивање грађевинског земљишта за 10%. Закон о планирању и изградњи подржава транзицију ка циркуларној економији у области урбаног развоја, нарочито кроз увођење обавезе енергетских сертификата и сертификата зелене градње за нове објекте, што обухвата ефикасно коришћење ресурса, смањење грађевинског отпада и примену обновљивих извора енергије. Ове мере су усклађене са концептом паметних градова (smart cities), где је ЦЕ постављена као један од кључних стубова одрживог и технолошки иновативног урбаног развоја.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Закон о комуналним делатностима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 88/11, 104/16, 95/18 и 94/24) утврђује комуналне делатности и уређује опште услове и начин њиховог пружања и омогућава организовање и пружање комуналних услуга за две или више општина и/или градовa, под условима предвиђеним законом и споразумима између скупштина општина. Овај закон омогућава сарадњу јединица локалне самоуправе и јавно-комуналних предузећа кроз заједничко организовање и пружање комуналних услуга, што представља важан предуслов за развој и имплементацију циркуларне економије на локалном нивоу, укључујући управљање отпадом, компостирање, воду и енергетску ефикасност.</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Закон о локалној самоуправи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xml:space="preserve">, бр. 129/07, 83/14 </w:t>
      </w:r>
      <w:r>
        <w:rPr>
          <w:rFonts w:ascii="Arial" w:eastAsia="Verdana" w:hAnsi="Arial" w:cs="Arial"/>
          <w:sz w:val="22"/>
        </w:rPr>
        <w:t>-</w:t>
      </w:r>
      <w:r w:rsidRPr="005761BD">
        <w:rPr>
          <w:rFonts w:ascii="Arial" w:eastAsia="Verdana" w:hAnsi="Arial" w:cs="Arial"/>
          <w:sz w:val="22"/>
        </w:rPr>
        <w:t xml:space="preserve"> др. закон, 101/16 </w:t>
      </w:r>
      <w:r>
        <w:rPr>
          <w:rFonts w:ascii="Arial" w:eastAsia="Verdana" w:hAnsi="Arial" w:cs="Arial"/>
          <w:sz w:val="22"/>
        </w:rPr>
        <w:t>-</w:t>
      </w:r>
      <w:r w:rsidRPr="005761BD">
        <w:rPr>
          <w:rFonts w:ascii="Arial" w:eastAsia="Verdana" w:hAnsi="Arial" w:cs="Arial"/>
          <w:sz w:val="22"/>
        </w:rPr>
        <w:t xml:space="preserve"> др. закон, 47/18 и 111/21 </w:t>
      </w:r>
      <w:r>
        <w:rPr>
          <w:rFonts w:ascii="Arial" w:eastAsia="Verdana" w:hAnsi="Arial" w:cs="Arial"/>
          <w:sz w:val="22"/>
        </w:rPr>
        <w:t>-</w:t>
      </w:r>
      <w:r w:rsidRPr="005761BD">
        <w:rPr>
          <w:rFonts w:ascii="Arial" w:eastAsia="Verdana" w:hAnsi="Arial" w:cs="Arial"/>
          <w:sz w:val="22"/>
        </w:rPr>
        <w:t xml:space="preserve"> др. закон) прописује права и одговорности јединице локалне самоуправе утврђене Уставом, законом, другим прописом и статутом (изворне и поверене послове), могућност сарадње и удруживања јединица локалне самоуправе ради остваривања заједничких циљева, планова и развојних програма, као и других послова од заједничког интереса. Чланом 20. овог закона уређене су надлежности јединице локалне самоуправе које, између осталог, обухватају и доношење просторног и урбанистичког плана и програма развоја општине, стратешких планова и планова локалног економског развоја, уређивање и обезбеђивање обављања и развоја комуналних делатности као и старање о заштити животне средине. Овај закон пружа оквир за иновативну, интегрисану и проактивну улогу јединица локалне самоуправе у развоју циркуларне економије, омогућавајући им да кроз доношење просторних и урбанистичких планова, развојних програма, стратешких планова и мапа пута за циркуларну економију, као и уређење комуналних делатности и заштиту животне средине, подстакну примену иновација и одрживих решења на локалном нивоу.</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2.3.2. Документи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Република Србија је у процесу придруживања ЕУ и у том смислу је у обавези да усагласи национална стратешка документа и законодавство са европским. Република Србија је усвојила низ стратешких докумената који доприносе постепеној интеграцији принципа ЦЕ, као што су:</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2.3.2.1. Животна средина, отпад, ваздух, муљ</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Преговарачка позиција за Поглавље 27</w:t>
      </w:r>
      <w:r>
        <w:rPr>
          <w:rFonts w:ascii="Arial" w:eastAsia="Verdana" w:hAnsi="Arial" w:cs="Arial"/>
          <w:b/>
          <w:sz w:val="22"/>
        </w:rPr>
        <w:t>,</w:t>
      </w:r>
      <w:r w:rsidRPr="005761BD">
        <w:rPr>
          <w:rFonts w:ascii="Arial" w:eastAsia="Verdana" w:hAnsi="Arial" w:cs="Arial"/>
          <w:b/>
          <w:sz w:val="22"/>
        </w:rPr>
        <w:t>,Животна средина и климатске промене</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кластер 4, израђена за процес преговора о приступању Републике Србије ЕУ, даје полазне основе за израду и доношење докумената јавних политика у области животне средине. Између осталог дефинише и неопходне кораке за усклађивање националне политике и законодавства са новим захтевима које уводи ЕУ Пакет циркуларне економије. Између осталог, дефинише и неопходне кораке за усклађивање националне политике и законодавства са новим захтевима које уводи ЕУ Пакет циркуларне економије. Овај документ је тренутно у фази спровођења и процес је и даље отворен, а затварање преговора у овом поглављу условљено је испуњењем кључних критеријума у свим сегментима заштите животне средине и климатских промена.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Програм управљања отпадом у Републици Србији за период 2022</w:t>
      </w:r>
      <w:r>
        <w:rPr>
          <w:rFonts w:ascii="Arial" w:eastAsia="Verdana" w:hAnsi="Arial" w:cs="Arial"/>
          <w:b/>
          <w:sz w:val="22"/>
        </w:rPr>
        <w:t>-</w:t>
      </w:r>
      <w:r w:rsidRPr="005761BD">
        <w:rPr>
          <w:rFonts w:ascii="Arial" w:eastAsia="Verdana" w:hAnsi="Arial" w:cs="Arial"/>
          <w:b/>
          <w:sz w:val="22"/>
        </w:rPr>
        <w:t>2031. године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број 12/22) поставља нове стратешке циљеве у складу са принципима циркуларне економије и фокусира се на животном циклусу производа. Програм треба да омогући не само смањење негативних утицаја на животну средину и климу, већ и искоришћавање отпада као ресурса. Он представља наставак Стратегије управљања отпадом из 2010. године, али и реакцију на непостигнуте циљеве из претходног периода, као што су недовољан обухват организованим прикупљањем и сепарацијом отпада, слаба примена економских инструмената и недостатак одрживог финансирања. Нови програм усклађује националне политике са ЕУ директивама из пакета ЦЕ (усвојеног 2018), које уводе циљеве у погледу смањења депоновања, повећања рециклаже и управљања посебним токовима отпада (амбалажни, електронски, батерије, возила). Усклађивање са европским политичким оквиром обухвата мере из акционих планова ЕУ: од првог плана</w:t>
      </w:r>
      <w:r>
        <w:rPr>
          <w:rFonts w:ascii="Arial" w:eastAsia="Verdana" w:hAnsi="Arial" w:cs="Arial"/>
          <w:sz w:val="22"/>
        </w:rPr>
        <w:t>,</w:t>
      </w:r>
      <w:r w:rsidRPr="005761BD">
        <w:rPr>
          <w:rFonts w:ascii="Arial" w:eastAsia="Verdana" w:hAnsi="Arial" w:cs="Arial"/>
          <w:sz w:val="22"/>
        </w:rPr>
        <w:t>,Затварање круга</w:t>
      </w:r>
      <w:r>
        <w:rPr>
          <w:rFonts w:ascii="Arial" w:eastAsia="Verdana" w:hAnsi="Arial" w:cs="Arial"/>
          <w:sz w:val="22"/>
        </w:rPr>
        <w:t>"</w:t>
      </w:r>
      <w:r w:rsidRPr="005761BD">
        <w:rPr>
          <w:rFonts w:ascii="Arial" w:eastAsia="Verdana" w:hAnsi="Arial" w:cs="Arial"/>
          <w:sz w:val="22"/>
        </w:rPr>
        <w:t xml:space="preserve"> (2015), преко Стратегије за пластику у циркуларној економији (2018), до новог акционог плана за циркуларну економију (2020), који има за сврху смањење отпада, унапређење рециклаже и изградњу тржишта за секундарне сировине. Софијска декларација из 2020. године додатно обавезује земље Западног Балкана, укључујући Републику Србију, на примену циркуларних принципа, развој инфраструктуре, спречавање загађења пластиком и подизање свести грађана. У том контексту, у Републици Србији се планира успостављање система биолошког третмана отпада, проширена одговорност произвођача и примена мера као што су депозити. Сврха је развој ефикасног, модерног и економски одрживог система управљања отпадом, који доприноси заштити животне средине, смањењу емисија и отварању нових радних места.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Програм заштите ваздуха у Републици Србији за период од 2022. до 2030. године са акционом планом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140/22), наводи да се у ЕУ примењује еко-дизајн којим се уређују еколошке карактеристике више од 20 сетова производа, а од њих, два прописа ЕУ се односе на котлове на чврста горива и локалне грејаче простора на чврста горива у домаћинствима, која су од значајног интереса за смањење емисија суспендованих честица из малих грејних тела за домаћинства која користе биомасу или чврста фосилна горива. На тај начин се доприноси смањењу емисија и интеграцији принципа ЦЕ који се односе на квалитет животне средине и ефикасне употребе енергије и ресурса.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Програм управљања муљем у Републици Србији за период 2023</w:t>
      </w:r>
      <w:r>
        <w:rPr>
          <w:rFonts w:ascii="Arial" w:eastAsia="Verdana" w:hAnsi="Arial" w:cs="Arial"/>
          <w:b/>
          <w:sz w:val="22"/>
        </w:rPr>
        <w:t>-</w:t>
      </w:r>
      <w:r w:rsidRPr="005761BD">
        <w:rPr>
          <w:rFonts w:ascii="Arial" w:eastAsia="Verdana" w:hAnsi="Arial" w:cs="Arial"/>
          <w:b/>
          <w:sz w:val="22"/>
        </w:rPr>
        <w:t xml:space="preserve">2032. године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84/23), има за циљ успостављање безбедног, одрживог и исплативог система управљања муљем у складу са принципима ЦЕ. Опредељење ка циркуларној економији у оквиру Европског зеленог договора (</w:t>
      </w:r>
      <w:r w:rsidRPr="005761BD">
        <w:rPr>
          <w:rFonts w:ascii="Arial" w:eastAsia="Verdana" w:hAnsi="Arial" w:cs="Arial"/>
          <w:i/>
          <w:sz w:val="22"/>
        </w:rPr>
        <w:t xml:space="preserve">The </w:t>
      </w:r>
      <w:r w:rsidRPr="005761BD">
        <w:rPr>
          <w:rFonts w:ascii="Arial" w:eastAsia="Verdana" w:hAnsi="Arial" w:cs="Arial"/>
          <w:i/>
          <w:sz w:val="22"/>
        </w:rPr>
        <w:lastRenderedPageBreak/>
        <w:t>European Green Deal</w:t>
      </w:r>
      <w:r w:rsidRPr="005761BD">
        <w:rPr>
          <w:rFonts w:ascii="Arial" w:eastAsia="Verdana" w:hAnsi="Arial" w:cs="Arial"/>
          <w:sz w:val="22"/>
        </w:rPr>
        <w:t xml:space="preserve">, COM/2019/640) истакло је чињеницу да се муљ више не уклапа у потпуности у постојеће дефиниције отпада, јер он не треба да се одбацује, већ да се поново користи. Због тога се очекује да ће бити посвећена додатна пажња управљању и одлагању муља, кроз регулисање </w:t>
      </w:r>
      <w:r>
        <w:rPr>
          <w:rFonts w:ascii="Arial" w:eastAsia="Verdana" w:hAnsi="Arial" w:cs="Arial"/>
          <w:sz w:val="22"/>
        </w:rPr>
        <w:t>"</w:t>
      </w:r>
      <w:r w:rsidRPr="005761BD">
        <w:rPr>
          <w:rFonts w:ascii="Arial" w:eastAsia="Verdana" w:hAnsi="Arial" w:cs="Arial"/>
          <w:sz w:val="22"/>
        </w:rPr>
        <w:t>животног</w:t>
      </w:r>
      <w:r>
        <w:rPr>
          <w:rFonts w:ascii="Arial" w:eastAsia="Verdana" w:hAnsi="Arial" w:cs="Arial"/>
          <w:sz w:val="22"/>
        </w:rPr>
        <w:t>"</w:t>
      </w:r>
      <w:r w:rsidRPr="005761BD">
        <w:rPr>
          <w:rFonts w:ascii="Arial" w:eastAsia="Verdana" w:hAnsi="Arial" w:cs="Arial"/>
          <w:sz w:val="22"/>
        </w:rPr>
        <w:t xml:space="preserve"> циклуса муља од његовог стварања до коначног одлагања или поновне употребе, као што је коришћење енергије и искоришћење кључних нутријената, пре свега азота и фосфора, као елемента који су од великог интереса за сектор пољопривреде ЕУ у контексту ЦЕ и тежње ка нултом загађењу. Муљ из постројења за пречишћавање отпадних вода у Републици Србији се још увек не користи у складу са принципима ЦЕ, јер недостају адекватна инфраструктура, технолошка решења и стандарди који би омогућили његово безбедно и корисно искоришћење. У складу са ЕУ директивама, као прелазно решење предвиђено је коришћење осушеног муља за дневно прекривање депонија, уз неопходну изградњу постројења за његов предтретман.</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2.3.2.2. Основни секторски стратешки документи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пољопривреде и руралног развоја Републике Србије за период 2014</w:t>
      </w:r>
      <w:r>
        <w:rPr>
          <w:rFonts w:ascii="Arial" w:eastAsia="Verdana" w:hAnsi="Arial" w:cs="Arial"/>
          <w:b/>
          <w:sz w:val="22"/>
        </w:rPr>
        <w:t>-</w:t>
      </w:r>
      <w:r w:rsidRPr="005761BD">
        <w:rPr>
          <w:rFonts w:ascii="Arial" w:eastAsia="Verdana" w:hAnsi="Arial" w:cs="Arial"/>
          <w:b/>
          <w:sz w:val="22"/>
        </w:rPr>
        <w:t xml:space="preserve">2024. године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85/14)дефинише циљеве за: постизање технолошког развоја и модернизације пољопривредне производње и прераде кроз унапређење технологије и ефикаснији систем преношења искуства и иновација; повећање продуктивности и ефикасности у производњи на свим нивоима у ланцу производње хране; јачање способности прехрамбене индустрије за креирање производа више додате вредности уз употребу домаћих сировина. Поред тога, област заштите и унапређења животне средине и очувања природних ресурса дефинише оперативне циљеве: подизање свести о значају коришћења обновљивих извора енергије и производњи енергетских усева; контролисано управљање отпадом из примарне пољопривредне производње; развој и унапређење система управљања споредним производима прехрамбене индустрије, што је у складу са принципима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Стратегија развоја енергетике Републике Србије до 2040. године са пројекцијама до 2050. године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xml:space="preserve">, број 94/24) и </w:t>
      </w:r>
      <w:r w:rsidRPr="005761BD">
        <w:rPr>
          <w:rFonts w:ascii="Arial" w:eastAsia="Verdana" w:hAnsi="Arial" w:cs="Arial"/>
          <w:b/>
          <w:sz w:val="22"/>
        </w:rPr>
        <w:t xml:space="preserve">Програм остваривања Стратегије развоја енергетике Републике Србије до 2040. године са пројекцијама до 2050. године, за период од 2026. до 2028. године </w:t>
      </w:r>
      <w:r w:rsidRPr="005761BD">
        <w:rPr>
          <w:rFonts w:ascii="Arial" w:eastAsia="Verdana" w:hAnsi="Arial" w:cs="Arial"/>
          <w:sz w:val="22"/>
        </w:rPr>
        <w:t>(</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број 25/26) дају основне смернице и правце примене принципа ефикасног коришћења енергије које воде ефикаснијој економији и већем друштвеном благостању уз одрживе билансе природних ресурса и што ниже нивое загађења.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паметне специјализације у Републици Србији за период од 2020. до 2027. године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xml:space="preserve">, бр. 21/20 и 96/23) представља документ настао ради даљег друштвеног и економског развоја путем подизања конкурентности привреде, привредног раста и напретка друштва кроз повезивање истраживачких, индустријских и иновационих снага и ресурса. У овом документу идентификоване су приоритетне области у које је потребно даље инвестирати: информационо-комуникационе технологије; храна за будућност; машине и производни процеси будућности и креативне индустрије. Фокусирањем на ове области, стратегија пружа подстицај за развој технолошких и организационих решења, која доприносе ефикаснијем коришћењу ресурса и смањењу негативног утицаја на животну средину, у складу са принципима ЦЕ. У оквиру креативних индустрија један од приоритета који ће бити подржани је развој паметне амбалаже, што подразумева развој зелених материјала (деградабилни, из обновљивих ресурса); развој нових боја и пигмената који ће омогућити прелазак на паметне врсте паковања и развој информационих технологија које се примењују у свим деловима производног процеса. У области производње хране акценат је на комплетном искоришћењу пољопривредних производа тако да се на оптималан начин искористе сви нутртијенти, а да се кроз валоризацију отпад смањи на минимум и искористи за добијање различитих производа. Поред тога, подржавају се модели као што су </w:t>
      </w:r>
      <w:r>
        <w:rPr>
          <w:rFonts w:ascii="Arial" w:eastAsia="Verdana" w:hAnsi="Arial" w:cs="Arial"/>
          <w:sz w:val="22"/>
        </w:rPr>
        <w:t>"</w:t>
      </w:r>
      <w:r w:rsidRPr="005761BD">
        <w:rPr>
          <w:rFonts w:ascii="Arial" w:eastAsia="Verdana" w:hAnsi="Arial" w:cs="Arial"/>
          <w:sz w:val="22"/>
        </w:rPr>
        <w:t>производ као услуга</w:t>
      </w:r>
      <w:r>
        <w:rPr>
          <w:rFonts w:ascii="Arial" w:eastAsia="Verdana" w:hAnsi="Arial" w:cs="Arial"/>
          <w:sz w:val="22"/>
        </w:rPr>
        <w:t>"</w:t>
      </w:r>
      <w:r w:rsidRPr="005761BD">
        <w:rPr>
          <w:rFonts w:ascii="Arial" w:eastAsia="Verdana" w:hAnsi="Arial" w:cs="Arial"/>
          <w:sz w:val="22"/>
        </w:rPr>
        <w:t xml:space="preserve"> и индустријска симбиоза, који доприносе продужетку животног века производа и повезивању различитих индустријских грана кроз размену ресурса. Овом стратегијом је обухваћена и дигитализација, као важан алат за ЦЕ. Свеобухватним приступом и повезивањем различитих сектора, укључујући подстицање индустријске симбиозе и циркуларних пословних модела, стратегија подстиче формирање иновационог и инвестиционог екосистема који подржава одржив економски раст и зелену транзицију Србије.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индустријске политике Републике Србије од 2021. до 2030. године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xml:space="preserve">, број 35/20) има за циљ подизање конкурентности индустрије. Између осталог у стратегији се констатује да се услед примене линеарног модела привређивања у Републици Србији јављају значајни губици у токовима сировина, материјала и производа, који доводе до нерационалне употребе ресурса. Један од посебних циљева (циљ 5) односи се на трансформацију индустрије од линеарног ка циркуларном моделу. Идентификовани сектори који у Републици Србији имају највећи потенцијал за примену концепта циркуларне економије су: прерађивачка индустрија (посебно прехрамбена), грађевинарство, као и примарна </w:t>
      </w:r>
      <w:r w:rsidRPr="005761BD">
        <w:rPr>
          <w:rFonts w:ascii="Arial" w:eastAsia="Verdana" w:hAnsi="Arial" w:cs="Arial"/>
          <w:sz w:val="22"/>
        </w:rPr>
        <w:lastRenderedPageBreak/>
        <w:t xml:space="preserve">пољопривреда. У оквиру овог циља, у Акционом плану за спровођење стратегије за период 2024 </w:t>
      </w:r>
      <w:r>
        <w:rPr>
          <w:rFonts w:ascii="Arial" w:eastAsia="Verdana" w:hAnsi="Arial" w:cs="Arial"/>
          <w:sz w:val="22"/>
        </w:rPr>
        <w:t>-</w:t>
      </w:r>
      <w:r w:rsidRPr="005761BD">
        <w:rPr>
          <w:rFonts w:ascii="Arial" w:eastAsia="Verdana" w:hAnsi="Arial" w:cs="Arial"/>
          <w:sz w:val="22"/>
        </w:rPr>
        <w:t xml:space="preserve"> 2025. године посебно је наглашена дигитализација токова отпада као предуслов за успостављање индустријске симбиозе, као и потреба за сарадњом са универзитетима у области зелене трансформације, трансфера знања и оснивања специјализованих истраживачких и иновационих центара. У Акционом плану у оквиру посебног циља 5 дефинисане су три мере и осам активности које ће се реализовати до краја 2025. године. Мере су: 1. Промоција ЦЕ и едукација привредних субјеката; 2. Подстицање инвестиција у решења циркуларне и нискоугљеничне економије као генераторе раста; 3. Подстицање ефикасније употребе материјалних ресурса и енергетске ефикасности у индустријским процесима. Такође, у Акционом плану је предвиђена сарадња са Привредном комором Србије ради дигитализације токова отпада у циљу успостављања индустријске симбиозе, што представља кључни корак ка бољем управљању ресурсима и отпадом у индустрији.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нискоугљеничног развоја Републике Србије за период од 2023. до 2030. године са пројекцијама до 2050.</w:t>
      </w:r>
      <w:r w:rsidRPr="005761BD">
        <w:rPr>
          <w:rFonts w:ascii="Arial" w:eastAsia="Verdana" w:hAnsi="Arial" w:cs="Arial"/>
          <w:sz w:val="22"/>
        </w:rPr>
        <w:t xml:space="preserve"> </w:t>
      </w:r>
      <w:r w:rsidRPr="005761BD">
        <w:rPr>
          <w:rFonts w:ascii="Arial" w:eastAsia="Verdana" w:hAnsi="Arial" w:cs="Arial"/>
          <w:b/>
          <w:sz w:val="22"/>
        </w:rPr>
        <w:t>године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број 46/23), наводи да јавно финансирање представља катализатор за дугорочни прелазак на циркуларну економију и економију са ниским емисијама угљеника, јер омогућава покретање ширих инвестиција из приватног и међународног сектора. Оквир за зелене обвезнице подржава ову транзицију омогућавајући Републици Србији приступ средствима са међународног тржишта капитала за финансирање зелених пројеката. Средства прикупљена овим путем биће усмерена на приоритетне области ЦЕ као што су управљање отпадом, енергетска ефикасност, заштита природних ресурса и одржива пољопривреда.</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 xml:space="preserve">2.3.2.3. Еколошки критеријуми </w:t>
      </w:r>
      <w:r w:rsidRPr="005761BD">
        <w:rPr>
          <w:rFonts w:ascii="Arial" w:eastAsia="Verdana" w:hAnsi="Arial" w:cs="Arial"/>
          <w:sz w:val="22"/>
        </w:rPr>
        <w:br/>
        <w:t>и тржишни инструменти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Правилник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49/16)представља кључни регулаторни механизам за подстицање производње и потрошње еколошки прихватљивих производа и услуга. Он доприноси смањењу негативног утицаја на животну средину, промовише одрживе производне праксе и омогућава потрошачима да лакше препознају и бирају производе са мањим еколошким отиском. Успостављањем система еколошког означавања подстиче се прелазак са линеарног на циркуларни модел економије, у којем се вредност ресурса одржава што дуже у употреби, а отпад и емисије своде на минимум.</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Правилником о врстама добара и услуга за које су наручиоци у обавези да примењују еколошке аспекте приликом спровођења поступака јавних набавки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118/25)прописују се врсте добара и услуга за које су наручиоци у обавези да примењују еколошке аспекте приликом одређивања техничких спецификација, критеријума за избор привредног субјекта, критеријума за доделу уговора или услова за извршење уговора о јавној набавци, у оквиру једног или више делова документације о набавци. Наручиоци су у обавези да примењују еколошке аспекте у поступцима јавних набавки приликом одређивања техничких спецификација, критеријума за избор привредног субјекта, критеријума за доделу уговора или услова за извршење уговора о јавној набавци за следећа добра: фотокопир папир, рачунарска опрема, канцеларијска електронска опрема, клима уређаји, средства за чишћење, услуге чишћења и електрични апарати за домаћинство. Удео предмета набавке са еколошким аспектима у поступцима јавних набавки треба да износи најмање 10% у односу на укупан обим предмета јавне набавке. На овај начин даје се предност производима и услугама који имају мањи негативан утицај на животну средину, стимулише се тражња за циркуларним и еколошки прихватљивим решењима. У вези са тим, јавне набавке постају инструмент унапређења одрживе производње и потрошње, што је један од кључних приоритета Програма.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2.3.2.4. Урбани, образовни и инфраструктурни развој</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Стратегија одрживог урбаног развоја Републике Србије до 2030. године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47/19) представља још један документ који подржава принципе ЦЕ. Као мере за постизање циљева урбаног развоја, наведене су и мере за ублажавање климатских промена унапређењем квалитета свих параметара животне средине, система управљања отпадом и мере унапређења енергетске ефикасности. У оквиру Пакета мера 1.1: Унапређење услова за локални одрживи економски и урбани развој, ова стратегија дефинише као меру 1.1.1. Иновације и развој нискоугљеничне, ресурсно ефикасне</w:t>
      </w:r>
      <w:r>
        <w:rPr>
          <w:rFonts w:ascii="Arial" w:eastAsia="Verdana" w:hAnsi="Arial" w:cs="Arial"/>
          <w:sz w:val="22"/>
        </w:rPr>
        <w:t>,</w:t>
      </w:r>
      <w:r w:rsidRPr="005761BD">
        <w:rPr>
          <w:rFonts w:ascii="Arial" w:eastAsia="Verdana" w:hAnsi="Arial" w:cs="Arial"/>
          <w:sz w:val="22"/>
        </w:rPr>
        <w:t>,зелене</w:t>
      </w:r>
      <w:r>
        <w:rPr>
          <w:rFonts w:ascii="Arial" w:eastAsia="Verdana" w:hAnsi="Arial" w:cs="Arial"/>
          <w:sz w:val="22"/>
        </w:rPr>
        <w:t>"</w:t>
      </w:r>
      <w:r w:rsidRPr="005761BD">
        <w:rPr>
          <w:rFonts w:ascii="Arial" w:eastAsia="Verdana" w:hAnsi="Arial" w:cs="Arial"/>
          <w:sz w:val="22"/>
        </w:rPr>
        <w:t xml:space="preserve"> економије, која је у складу са принципима ЦЕ. Поред тога, Урбана агенда Европске уније идентификује циркуларну економију као једну од 12 приоритетних тема урбаног развоја за државе чланице, што додатно потврђује важност интеграције ових принципа у националне стратегије урбаног планирања и развоја.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Стратегија развоја образовања и васпитања у Републици Србији до 2030. године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63/21), поставила је темеље развоја образовања који се односе на повећање квалитета, обухвата, релевантности и ефикасности образовања, а ради стварања услова за лични и професионални развој сваког појединца, као и за развој друштва и државе, заснованих на знању. У том контексту, стратегија предвиђа и реализацију посебних програма подршке усмерених на унапређење практичне наставе, као и на набавку и развој савремених дидактичких средстава, посебно у областима као што су нови материјали и технологије, информационе и комуникационе технологије, медицинске науке, Индустрија 4.0, одрживи развој, екологија и обновљиви извори енергије. На тај начин, образовни систем се све више отвара ка подршци зеленим и циркуларним трансформацијама друштва и привреде.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Стратегија управљања водама на територији Републике Србије до 2034. године </w:t>
      </w:r>
      <w:r w:rsidRPr="005761BD">
        <w:rPr>
          <w:rFonts w:ascii="Arial" w:eastAsia="Verdana" w:hAnsi="Arial" w:cs="Arial"/>
          <w:sz w:val="22"/>
        </w:rPr>
        <w:t>(,,Службени гласник РС</w:t>
      </w:r>
      <w:r>
        <w:rPr>
          <w:rFonts w:ascii="Arial" w:eastAsia="Verdana" w:hAnsi="Arial" w:cs="Arial"/>
          <w:sz w:val="22"/>
        </w:rPr>
        <w:t>"</w:t>
      </w:r>
      <w:r w:rsidRPr="005761BD">
        <w:rPr>
          <w:rFonts w:ascii="Arial" w:eastAsia="Verdana" w:hAnsi="Arial" w:cs="Arial"/>
          <w:sz w:val="22"/>
        </w:rPr>
        <w:t>, број 3/17), представља плански документ којим се утврђују дугорочни правци управљања водама на територији Републике Србије. Са аспекта ЦЕ посебно су важне области снабдевања водом становништва и индустрије, као и управљања отпадним водама. У областима снабдевања водом циљеви Стратегије су углавном усмерени ка проширењу система водоснабдевања и њиховом унапређењу у погледу расположивости и квалитета воде, остваривању рационалне потрошње воде, кроз едукацију становништва и примену најбољих доступних техника у индустрији, као и остваривање ефикасније наплате, што све доприноси развоју ЦЕ. У области управљања отпадним водама, између осталог, Стратегијом је предвиђена даља изградња канализационих система, доношење неопходних планских и подзаконских аката за заштиту вода од загађивања, као и примена административних мера за стимулисање рециркулације и поновног коришћења воде. У том контексту, отпадне воде из производних процеса могу представљати вредан ресурс, на пример, путем примене индустријске симбиозе, топлотна енергија из пречишћених отпадних вода може се користити за грејање јавних објеката, као што су школе, болнице или спортски центри. Овакви модели доприносе енергетској ефикасности, смањењу емисија и оптималном коришћењу ресурса у урбаним и индустријским срединама.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2.3.2.5. Финансијски и управљачки инструменти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Програм развоја јавних набавки у Републици Србији за период 2024 </w:t>
      </w:r>
      <w:r>
        <w:rPr>
          <w:rFonts w:ascii="Arial" w:eastAsia="Verdana" w:hAnsi="Arial" w:cs="Arial"/>
          <w:b/>
          <w:sz w:val="22"/>
        </w:rPr>
        <w:t>-</w:t>
      </w:r>
      <w:r w:rsidRPr="005761BD">
        <w:rPr>
          <w:rFonts w:ascii="Arial" w:eastAsia="Verdana" w:hAnsi="Arial" w:cs="Arial"/>
          <w:b/>
          <w:sz w:val="22"/>
        </w:rPr>
        <w:t xml:space="preserve"> 2028. године</w:t>
      </w:r>
      <w:r w:rsidRPr="005761BD">
        <w:rPr>
          <w:rFonts w:ascii="Arial" w:eastAsia="Verdana" w:hAnsi="Arial" w:cs="Arial"/>
          <w:sz w:val="22"/>
        </w:rPr>
        <w:t xml:space="preserve"> (,,Службени гласник РС</w:t>
      </w:r>
      <w:r>
        <w:rPr>
          <w:rFonts w:ascii="Arial" w:eastAsia="Verdana" w:hAnsi="Arial" w:cs="Arial"/>
          <w:sz w:val="22"/>
        </w:rPr>
        <w:t>"</w:t>
      </w:r>
      <w:r w:rsidRPr="005761BD">
        <w:rPr>
          <w:rFonts w:ascii="Arial" w:eastAsia="Verdana" w:hAnsi="Arial" w:cs="Arial"/>
          <w:sz w:val="22"/>
        </w:rPr>
        <w:t>, број 68/24) заједно са Акционим планом за 2024. годину предвиђа израду практичних алата за зелене набавке, израду водича и модела конкурсне документације. Један од циљева унапређења система јавних набавки је промовисање и подстицање еколошког и социјалног аспекта у јавним набавкама. Зелене јавне набавке могу представљати снажан покретач иновација, јер подстичу индустрију да развија еколошки одрживе производе и услуге. Поред доприноса ЦЕ, оне могу обезбедити и значајне финансијске уштеде за органе јавне власти, посебно када се у обзир узму трошкови целокупног животног циклуса производа.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Оквирни документ за зелене обвезнице Републике Србије</w:t>
      </w:r>
      <w:r w:rsidRPr="005761BD">
        <w:rPr>
          <w:rFonts w:ascii="Arial" w:eastAsia="Verdana" w:hAnsi="Arial" w:cs="Arial"/>
          <w:sz w:val="22"/>
        </w:rPr>
        <w:t>, објављен је у контексту прве емисије зелених обвезница Републике Србије у септембру 2021. године. Документ је усаглашен са међународним стандардима (</w:t>
      </w:r>
      <w:r w:rsidRPr="005761BD">
        <w:rPr>
          <w:rFonts w:ascii="Arial" w:eastAsia="Verdana" w:hAnsi="Arial" w:cs="Arial"/>
          <w:i/>
          <w:sz w:val="22"/>
        </w:rPr>
        <w:t>Green Bond Principles</w:t>
      </w:r>
      <w:r w:rsidRPr="005761BD">
        <w:rPr>
          <w:rFonts w:ascii="Arial" w:eastAsia="Verdana" w:hAnsi="Arial" w:cs="Arial"/>
          <w:sz w:val="22"/>
        </w:rPr>
        <w:t xml:space="preserve">, ICMA) и односи се на све емисије зелених обвезница које Република Србија планира од те године па надаље. Овај документ представља стратешки инструмент за финансирање пројеката који доприносе одрживом развоју, дефинишући </w:t>
      </w:r>
      <w:r>
        <w:rPr>
          <w:rFonts w:ascii="Arial" w:eastAsia="Verdana" w:hAnsi="Arial" w:cs="Arial"/>
          <w:sz w:val="22"/>
        </w:rPr>
        <w:t>"</w:t>
      </w:r>
      <w:r w:rsidRPr="005761BD">
        <w:rPr>
          <w:rFonts w:ascii="Arial" w:eastAsia="Verdana" w:hAnsi="Arial" w:cs="Arial"/>
          <w:sz w:val="22"/>
        </w:rPr>
        <w:t>зелене критеријуме</w:t>
      </w:r>
      <w:r>
        <w:rPr>
          <w:rFonts w:ascii="Arial" w:eastAsia="Verdana" w:hAnsi="Arial" w:cs="Arial"/>
          <w:sz w:val="22"/>
        </w:rPr>
        <w:t>"</w:t>
      </w:r>
      <w:r w:rsidRPr="005761BD">
        <w:rPr>
          <w:rFonts w:ascii="Arial" w:eastAsia="Verdana" w:hAnsi="Arial" w:cs="Arial"/>
          <w:sz w:val="22"/>
        </w:rPr>
        <w:t xml:space="preserve"> улагања, укључујући и оне које се односе на спречавање загађења и подршку циркуларној економији. Овај документ директно се надовезује на обавезе које је Република Србија преузела потписивањем Декларације из Софије у новембру 2020. године, чиме се придружила напорима Западног Балкана ка примени Европског зеленог договора. Република Србија је тиме прихватила спровођење пет приоритетних области, међу којима се посебно истиче циркуларна економија као оквир за прелазак са линеарног на одрживи модел производње и потрошње. У складу с тим, зелени финансијски инструменти подржавају пројекте управљања отпадом, рециклирања, санације дивљих депонија, управљања опасним отпадом и подстицања поновне употребе ресурса. Индикатори утицаја обухватају број финансираних иницијатива, количину обрађеног отпада, број рехабилитованих локација и обим производње која се може рециклирати, чиме се подржава примена принципа ЦЕ и унапређује еколошка одрживост.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Документ је допуњен у јуну 2024. године тако да поред зелених пројеката обухвата и социјалне пројекте, чиме је успостављен нови Оквирни документ Републике Србије за издавање зелених и социјално одрживих обвезница. Наведени документ је усаглашен са међународним стандардима (Green Bond Principles, Social Bond Principles and Sustainability Bond Guidelines-ICMA; Green Loan Principles and Social Loan Principles-LMA) и односи се на емисију зелених и социјално одрживих обвезница којима се финансира одрживи развој, зелени пројекти и пројекти којима се подстиче друштвена одговорност. На основу наведеног Оквирног документа Влада је у јуну 2024. године емитовала зелене и социјалне обвезнице.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lastRenderedPageBreak/>
        <w:t>2.3.3. Стандарди, инструменти и модели за подршку реализацији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Релевантни стандарди, инструменти и модели подразумевају испуњавање високих захтева у области заштите животне средине, укључујући ефикасније коришћење сировина и енергије, уз смањивање емисија и генерисања отпада, те стога могу дати и подстицај увођењу 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2.3.3.1. Стандарди релевантни за циркуларну економију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Поред правног и стратешког оквира, у спровођењу Програма важну улогу имају и међународно признати стандарди који подржавају имплементацију принципа одрживости и ЦЕ, као што су ISO 14001 (систем управљања животном средином), ISO 50001 (управљање енергијом), као и EMAS (Eco-Management and Audit Scheme) регулатива ЕУ. Ови стандарди доприносе интеграцији одрживих пракси у пословне активности и у системе јавне управе.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Примена стандарда ISO 14001 доприноси доприноси транзицији ка ЦЕ, кроз унапређење управљања ресурсима, смањење отпада и интеграцију еколошких аспеката у пословне процесе. Примена нових ISO стандарда у области ЦЕ, попут ISO 59010 и ISO 59020, треба да буде усклађена са EU Taxonomy Regulation (EU 2020/852), којa дефинише критеријуме за одрживе економске активности и извештавање у финансијском сектору.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 14001, </w:t>
      </w:r>
      <w:r w:rsidRPr="005761BD">
        <w:rPr>
          <w:rFonts w:ascii="Arial" w:eastAsia="Verdana" w:hAnsi="Arial" w:cs="Arial"/>
          <w:sz w:val="22"/>
        </w:rPr>
        <w:t xml:space="preserve">односно његова важећа верзија на српском језику основни стандард SRPS ISO 14001:2015 укључујући и његову измену SRPS ISO 14001:2015/Амд. 1:2024 (Системи менаџмента животном средином </w:t>
      </w:r>
      <w:r>
        <w:rPr>
          <w:rFonts w:ascii="Arial" w:eastAsia="Verdana" w:hAnsi="Arial" w:cs="Arial"/>
          <w:sz w:val="22"/>
        </w:rPr>
        <w:t>-</w:t>
      </w:r>
      <w:r w:rsidRPr="005761BD">
        <w:rPr>
          <w:rFonts w:ascii="Arial" w:eastAsia="Verdana" w:hAnsi="Arial" w:cs="Arial"/>
          <w:sz w:val="22"/>
        </w:rPr>
        <w:t xml:space="preserve"> Захтеви са упутством за коришћење), Системи менаџмента животном средином </w:t>
      </w:r>
      <w:r>
        <w:rPr>
          <w:rFonts w:ascii="Arial" w:eastAsia="Verdana" w:hAnsi="Arial" w:cs="Arial"/>
          <w:sz w:val="22"/>
        </w:rPr>
        <w:t>-</w:t>
      </w:r>
      <w:r w:rsidRPr="005761BD">
        <w:rPr>
          <w:rFonts w:ascii="Arial" w:eastAsia="Verdana" w:hAnsi="Arial" w:cs="Arial"/>
          <w:sz w:val="22"/>
        </w:rPr>
        <w:t xml:space="preserve"> Захтеви са упутством за коришћење </w:t>
      </w:r>
      <w:r>
        <w:rPr>
          <w:rFonts w:ascii="Arial" w:eastAsia="Verdana" w:hAnsi="Arial" w:cs="Arial"/>
          <w:sz w:val="22"/>
        </w:rPr>
        <w:t>-</w:t>
      </w:r>
      <w:r w:rsidRPr="005761BD">
        <w:rPr>
          <w:rFonts w:ascii="Arial" w:eastAsia="Verdana" w:hAnsi="Arial" w:cs="Arial"/>
          <w:sz w:val="22"/>
        </w:rPr>
        <w:t xml:space="preserve"> Измена 1: Мере у вези са климатским променама, дефинише захтеве за организацију у погледу заштите животне средине и тичe се систeмa мeнaџмeнтa свих процеса у oргaнизaциjи. Интересовање организација у Републици Србији за развој пословања уз примену овог стандарда је континуирано расло, уз извесне флуктуације. Подаци ISO</w:t>
      </w:r>
      <w:r w:rsidRPr="005761BD">
        <w:rPr>
          <w:rFonts w:ascii="Arial" w:eastAsia="Verdana" w:hAnsi="Arial" w:cs="Arial"/>
          <w:sz w:val="22"/>
          <w:vertAlign w:val="superscript"/>
        </w:rPr>
        <w:t>13</w:t>
      </w:r>
      <w:r w:rsidRPr="005761BD">
        <w:rPr>
          <w:rFonts w:ascii="Arial" w:eastAsia="Verdana" w:hAnsi="Arial" w:cs="Arial"/>
          <w:sz w:val="22"/>
        </w:rPr>
        <w:t xml:space="preserve"> (Слика 3.1.) показују да број ISO 14001 сертификованих организација у Републици Србији у 2022. години износио је 1.921, што је скоро четири пута више у</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13 Међународна организација за стандардизацију објављује податке о истраживању броја сертификата у свету, тзв </w:t>
      </w:r>
      <w:r>
        <w:rPr>
          <w:rFonts w:ascii="Arial" w:eastAsia="Verdana" w:hAnsi="Arial" w:cs="Arial"/>
          <w:sz w:val="22"/>
        </w:rPr>
        <w:t>"</w:t>
      </w:r>
      <w:r w:rsidRPr="005761BD">
        <w:rPr>
          <w:rFonts w:ascii="Arial" w:eastAsia="Verdana" w:hAnsi="Arial" w:cs="Arial"/>
          <w:sz w:val="22"/>
        </w:rPr>
        <w:t>ISO survey</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односу на 2011. годину. Овакав тренд указује да растуће интересовање предузећа у Републици Србији за примену стандарда SRPS ISO 14001:2015 сугерише на све веће препознавање улоге система менаџмента животном средином у њиховој транзицији ка ЦЕ, јер овај стандард подстиче ефикасније коришћење ресурса, смањење отпада и интеграцију одрживих пракси у пословање.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2.6. Развој броја ISO 14001 сертификата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Стандардизација у области ЦЕ на међународном нивоу (ISO) покренута је 2019. године, а први стандарди објављени су у првој половини 2024. Институт за стандардизацију Србије је, преко националне комисије ISS/KS 183 (ЦЕ и управљање отпадом), од почетка рада на овим стандардима пратио и активно учествовао у њиховом развоју, тако да су кровни стандарди преузети на националном нивоу и објављени и на српском језику током октобра 2024. године Серија ISO стандарда у области ЦЕ</w:t>
      </w:r>
      <w:r w:rsidRPr="005761BD">
        <w:rPr>
          <w:rFonts w:ascii="Arial" w:eastAsia="Verdana" w:hAnsi="Arial" w:cs="Arial"/>
          <w:sz w:val="22"/>
          <w:vertAlign w:val="superscript"/>
        </w:rPr>
        <w:t>14</w:t>
      </w:r>
      <w:r w:rsidRPr="005761BD">
        <w:rPr>
          <w:rFonts w:ascii="Arial" w:eastAsia="Verdana" w:hAnsi="Arial" w:cs="Arial"/>
          <w:sz w:val="22"/>
        </w:rPr>
        <w:t>: (SRPS ISO 59004:2024, SRPS ISO 59010:2024. SRPS ISO 59020:2024, ISO/TR 59031:2025, SRPS ISO/TR 59032:2024, ISO 59040:2025).</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 59004:2024, Речник, принципи и смернице за имплементацију циркуларне економије. </w:t>
      </w:r>
      <w:r w:rsidRPr="005761BD">
        <w:rPr>
          <w:rFonts w:ascii="Arial" w:eastAsia="Verdana" w:hAnsi="Arial" w:cs="Arial"/>
          <w:sz w:val="22"/>
        </w:rPr>
        <w:t>Овим документом се дефинишу кључни термини, успоставља се визија и принципи за ЦЕ, и даје се упутство, укључујући могуће активности, како их имплементирати у организацији, а примењив је на организације које желе да разумеју и да буду посвећене или да допринесу ЦЕ заједно са доприносом одрживом развоју. Те организације могу да буду приватне или јавне, да делују самостално или заједнички, без обзира на врсту и величину и законодавног оквира у коме послују, или положају унутар специфичног ланца вредности.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 59010:2024, Циркуларна економија </w:t>
      </w:r>
      <w:r>
        <w:rPr>
          <w:rFonts w:ascii="Arial" w:eastAsia="Verdana" w:hAnsi="Arial" w:cs="Arial"/>
          <w:b/>
          <w:sz w:val="22"/>
        </w:rPr>
        <w:t>-</w:t>
      </w:r>
      <w:r w:rsidRPr="005761BD">
        <w:rPr>
          <w:rFonts w:ascii="Arial" w:eastAsia="Verdana" w:hAnsi="Arial" w:cs="Arial"/>
          <w:b/>
          <w:sz w:val="22"/>
        </w:rPr>
        <w:t xml:space="preserve"> Водич за транзицију пословних модела и мреже вредности. </w:t>
      </w:r>
      <w:r w:rsidRPr="005761BD">
        <w:rPr>
          <w:rFonts w:ascii="Arial" w:eastAsia="Verdana" w:hAnsi="Arial" w:cs="Arial"/>
          <w:sz w:val="22"/>
        </w:rPr>
        <w:t>Овај документ даје детаљно упутство за организације које желе да изврше транзицију модела вредности и мрежа вредности са линеарних на циркуларне, а примењив је на било коју организацију без обзира на величину, сектор или регион.</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ISO 59020:2024, Циркуларна економија </w:t>
      </w:r>
      <w:r>
        <w:rPr>
          <w:rFonts w:ascii="Arial" w:eastAsia="Verdana" w:hAnsi="Arial" w:cs="Arial"/>
          <w:b/>
          <w:sz w:val="22"/>
        </w:rPr>
        <w:t>-</w:t>
      </w:r>
      <w:r w:rsidRPr="005761BD">
        <w:rPr>
          <w:rFonts w:ascii="Arial" w:eastAsia="Verdana" w:hAnsi="Arial" w:cs="Arial"/>
          <w:b/>
          <w:sz w:val="22"/>
        </w:rPr>
        <w:t xml:space="preserve"> Мерење и оцењивање перформанси циркуларности. </w:t>
      </w:r>
      <w:r w:rsidRPr="005761BD">
        <w:rPr>
          <w:rFonts w:ascii="Arial" w:eastAsia="Verdana" w:hAnsi="Arial" w:cs="Arial"/>
          <w:sz w:val="22"/>
        </w:rPr>
        <w:t>Овај документ специфицира захтеве и даје смернице организацијама за мерење и oцењивање дефинисаног економског система како би се одредиле њихове перформансе циркуларности у одређеном тренутку. Мерење и оцењивање се врши прикупљањем података и израчунавањем уз помоћ обавезних и опционих индикатора циркуларности. Овај документ пружа оквир за упутство корисницима у организацијама свих врста и величина кроз процес мерења и оцењивања, укључујући постављање граница система и избор индикатора, као и обраду и тумачење података на доследан и поновљив начин како би се генерисали смислени и проверљиви резултати. Оквир је применљив на више нивоа економског система, од регионалног, међуорганизацијског и организационог, до нивоа производа. За мерење и оцењивање друштвених, еколошких и економских утицаја који су изазвани активностима организације за постизање циркуларних циљева и задатака, документ даје списак комплементарних метода које се могу користити као додатак овом документу. Паралелно са применом ISO 59020:2024, потребно је осигурати усклађеност са критеријумима из EU Taxonomy Regulation (EU 2020/852), који дефинишу одрживе економске активности.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ISO/СD TR 59031:2025, Циркуларна економија </w:t>
      </w:r>
      <w:r>
        <w:rPr>
          <w:rFonts w:ascii="Arial" w:eastAsia="Verdana" w:hAnsi="Arial" w:cs="Arial"/>
          <w:b/>
          <w:sz w:val="22"/>
        </w:rPr>
        <w:t>-</w:t>
      </w:r>
      <w:r w:rsidRPr="005761BD">
        <w:rPr>
          <w:rFonts w:ascii="Arial" w:eastAsia="Verdana" w:hAnsi="Arial" w:cs="Arial"/>
          <w:b/>
          <w:sz w:val="22"/>
        </w:rPr>
        <w:t xml:space="preserve"> Приступ заснован на перформансама </w:t>
      </w:r>
      <w:r>
        <w:rPr>
          <w:rFonts w:ascii="Arial" w:eastAsia="Verdana" w:hAnsi="Arial" w:cs="Arial"/>
          <w:b/>
          <w:sz w:val="22"/>
        </w:rPr>
        <w:t>-</w:t>
      </w:r>
      <w:r w:rsidRPr="005761BD">
        <w:rPr>
          <w:rFonts w:ascii="Arial" w:eastAsia="Verdana" w:hAnsi="Arial" w:cs="Arial"/>
          <w:b/>
          <w:sz w:val="22"/>
        </w:rPr>
        <w:t xml:space="preserve"> анализа студија случајева. </w:t>
      </w:r>
      <w:r w:rsidRPr="005761BD">
        <w:rPr>
          <w:rFonts w:ascii="Arial" w:eastAsia="Verdana" w:hAnsi="Arial" w:cs="Arial"/>
          <w:sz w:val="22"/>
        </w:rPr>
        <w:t>Први</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14 Институт за стандардизацију Србије, https://iss.rs/sr_Cyrl/project/show/iss:proj:109183.</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семинар ради едукације о овим стандардима Институт за стандардизацију је организовао у септембру 2024. године. Даље промовисање ових стандарда међу стручњацима који се баве заштитом животне средине, управљањем отпадом, ЦЕ, менаџерима и запосленима у било којој делатности са потенцијалом за увођење ЦЕ представљаће подстицај за прелазак компанија на циркуларни модел пословања.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ISO/TR 59032:2025, Циркуларна економија </w:t>
      </w:r>
      <w:r>
        <w:rPr>
          <w:rFonts w:ascii="Arial" w:eastAsia="Verdana" w:hAnsi="Arial" w:cs="Arial"/>
          <w:b/>
          <w:sz w:val="22"/>
        </w:rPr>
        <w:t>-</w:t>
      </w:r>
      <w:r w:rsidRPr="005761BD">
        <w:rPr>
          <w:rFonts w:ascii="Arial" w:eastAsia="Verdana" w:hAnsi="Arial" w:cs="Arial"/>
          <w:b/>
          <w:sz w:val="22"/>
        </w:rPr>
        <w:t xml:space="preserve"> Преглед постојећих мрежа вредности. </w:t>
      </w:r>
      <w:r w:rsidRPr="005761BD">
        <w:rPr>
          <w:rFonts w:ascii="Arial" w:eastAsia="Verdana" w:hAnsi="Arial" w:cs="Arial"/>
          <w:sz w:val="22"/>
        </w:rPr>
        <w:t>Овај документ даје преглед карактеристика и структуре неких постојећих мрежа вредности као примера за убрзавање процеса транзиције ЦЕ. ISO 59010 даје смернице о критичном аспекту у транзицији пословног модела и процеса организације са линеарног на циркуларни и трансформацији пословног екосистема организације у мрежу вредности. Овај документ допуњује ISO 59010 пружањем додатних информација о мрежама вредности.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ISO/FDIS 59040:2025, Циркуларна економија </w:t>
      </w:r>
      <w:r>
        <w:rPr>
          <w:rFonts w:ascii="Arial" w:eastAsia="Verdana" w:hAnsi="Arial" w:cs="Arial"/>
          <w:b/>
          <w:sz w:val="22"/>
        </w:rPr>
        <w:t>-</w:t>
      </w:r>
      <w:r w:rsidRPr="005761BD">
        <w:rPr>
          <w:rFonts w:ascii="Arial" w:eastAsia="Verdana" w:hAnsi="Arial" w:cs="Arial"/>
          <w:b/>
          <w:sz w:val="22"/>
        </w:rPr>
        <w:t xml:space="preserve"> Подаци о циркуларности производа. </w:t>
      </w:r>
      <w:r w:rsidRPr="005761BD">
        <w:rPr>
          <w:rFonts w:ascii="Arial" w:eastAsia="Verdana" w:hAnsi="Arial" w:cs="Arial"/>
          <w:sz w:val="22"/>
        </w:rPr>
        <w:t>С обзиром на повезаност адекватног управљања у контексту заштите животне средине са принципима ЦЕ, до 2024. године алати за сертификацију у погледу управљања животном средином (првенствено међународни стандард ISO 14001, као и Еко знак) су представљали сертификационе алате и у контексту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EMAS (Eco-Management and Audit Scheme) </w:t>
      </w:r>
      <w:r w:rsidRPr="005761BD">
        <w:rPr>
          <w:rFonts w:ascii="Arial" w:eastAsia="Verdana" w:hAnsi="Arial" w:cs="Arial"/>
          <w:sz w:val="22"/>
        </w:rPr>
        <w:t>је шема еко-менаџмента и провере којом организације процењују утицај своје делатности на околину, информишу јавност о тренутној процени стања утицаја и унапређују ефикасност рада у складу са захтевима везаним за животну средину. Укључивање организација у систем EMAS је добровољно и доступно свим економским секторима (јавним и приватним делатностима), односно правним лицима и предузетницима. Кључни елементи EMAS су: ефикасност, транспарентност и тачност. У процедури је усвајање Правилника о EMAS који треба да пружи додатну помоћ организацијама из Републике Србије да остваре регистрацију у EMAS регистар у оквиру ЕУ. EMAS у складу са Регулативом (EC) No 1221/2009, представља признат систем еколошког менаџмента и ревизије у ЕУ, који осигурава транспарентност и усклађеност организација са еколошким стандардима.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Сертификације за управљање животном средином представљају добровољне механизме, при чему број ISO 14001 сертификата континуирано расте, док је број EMAS регистрација и компанија са националним Еко знаком стагнантан. EMAS регистрација за компаније ван ЕУ могућа је искључиво преко надлежних органа држава чланица ЕУ. Република Србија, као </w:t>
      </w:r>
      <w:r>
        <w:rPr>
          <w:rFonts w:ascii="Arial" w:eastAsia="Verdana" w:hAnsi="Arial" w:cs="Arial"/>
          <w:sz w:val="22"/>
        </w:rPr>
        <w:t>"</w:t>
      </w:r>
      <w:r w:rsidRPr="005761BD">
        <w:rPr>
          <w:rFonts w:ascii="Arial" w:eastAsia="Verdana" w:hAnsi="Arial" w:cs="Arial"/>
          <w:sz w:val="22"/>
        </w:rPr>
        <w:t>трећа земља</w:t>
      </w:r>
      <w:r>
        <w:rPr>
          <w:rFonts w:ascii="Arial" w:eastAsia="Verdana" w:hAnsi="Arial" w:cs="Arial"/>
          <w:sz w:val="22"/>
        </w:rPr>
        <w:t>"</w:t>
      </w:r>
      <w:r w:rsidRPr="005761BD">
        <w:rPr>
          <w:rFonts w:ascii="Arial" w:eastAsia="Verdana" w:hAnsi="Arial" w:cs="Arial"/>
          <w:sz w:val="22"/>
        </w:rPr>
        <w:t>, може на захтев издавати потврде о подацима из службене евиденције ради укључења у EMAS. Међутим, у 2023. години, као ни раније, није било EMAS регистрација у Републици Србији. Према подацима Европске комисије, ISO 14001 сертификат поседује знатно више организација него EMAS регистрацију, што је последица захтевнијег поступка за EMAS и ширег признавања ISO 14001 на неевропском тржишту.</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2.3.3.2. Инструменти за подршку циркуларној економији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Инструменти за подршку ЦЕ, као што су зелене јавне набавке, еко-дизајн, Еко знак и зелене обвезнице, представљају кључне механизме за спровођење зелене транзиције засноване на принципима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Зелене јавне набавке (ЗеЈН)</w:t>
      </w:r>
      <w:r w:rsidRPr="005761BD">
        <w:rPr>
          <w:rFonts w:ascii="Arial" w:eastAsia="Verdana" w:hAnsi="Arial" w:cs="Arial"/>
          <w:sz w:val="22"/>
        </w:rPr>
        <w:t xml:space="preserve"> су један од инструмената који може значајно да допринесе остваривању одрживог развоја Републике Србије кроз ефикасније коришћење природних ресурса, подстицање иновација и пословања по принципима циркуларне економије. Користећи своју куповну моћ да бирају добра, услуге и радове са мањим утицајем на животну средину, корисници ЗеЈН пружају привреди реалне подстицаје за развој зелених производа и услуга уз ефикасније и сврсисходније коришћење ресурса, и тако дају важан подстицај за транзицију у смеру одрживости и циркуларности. Увођење и промоција зелених јавних набавки у Републици Србији је директно повезано са испуњењем циља одрживог развоја SDG 12 (одржива потрошња и производња), а посебно подциљева 12.2 (одрживо управљање природним ресурсима) и 12.7 (промоција одрживих пракси у јавним набавкама у складу са националним политикама и приоритетима).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Унапређење система зелених јавних набавки и добровољних еколошких алата у Републици Србији се врши у складу са Директивом 2014/24/EU Европског парламента и Савета о јавним набавкама, као и у контексту приступања Републике Србије ЕУ и обавеза преузетих у оквиру Зелене агенде за Западни Балкан и Споразума о стабилизацији и придруживању.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Протеклих година у Републици Србији учињени су значајни кораци на увођењу и промоцији зелених јавних набавки. Законом о изменама и допунама Закона о јавним набавкама уведено је начело заштите животне средине у поступцима јавних набавки које подстиче наручиоце да набављају добра, услуге или радове који минимално утичу на животну средину, као и одредбе које уводе квалитет услуга као битан критеријум за доделу уговора за одређене категорије услуга (услуге развоја рачунарског програма, архитектонске услуге, инжењерске услуге, услуге превођења или саветодавне услуге).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Од 2020. године, постоји техничка могућност евидентирања података о зеленим јавним набавкама кроз Портал за јавне набавке. На основу података објављених у Годишњем извештају о јавним набавкама у Републици Србији, у 2023. години, покренуто је 1.592 поступка јавних набавки и закључено укупно 27.695 уговора у којима су наручиоци применили еколошке аспекте. Учешће поступака јавних набавки са еколошким аспектима у укупном броју покренутих поступака је износило 3,32%, а учешће уговора о јавној набавци са еколошким аспектима у укупном броју закључених уговора 8,24% (Табела 3.1). Подаци о ЗеЈН треба да буду укључени у индикаторски систем за праћење SDG циљева на националном нивоу.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Табела 2.2. </w:t>
      </w:r>
      <w:r w:rsidRPr="005761BD">
        <w:rPr>
          <w:rFonts w:ascii="Arial" w:eastAsia="Verdana" w:hAnsi="Arial" w:cs="Arial"/>
          <w:sz w:val="22"/>
        </w:rPr>
        <w:t>Примена еколошких аспеката у јавним набавкама у Републици Србији, у 2024. години</w:t>
      </w:r>
    </w:p>
    <w:tbl>
      <w:tblPr>
        <w:tblW w:w="4950" w:type="pct"/>
        <w:tblInd w:w="10" w:type="dxa"/>
        <w:tblCellMar>
          <w:left w:w="10" w:type="dxa"/>
          <w:right w:w="10" w:type="dxa"/>
        </w:tblCellMar>
        <w:tblLook w:val="04A0" w:firstRow="1" w:lastRow="0" w:firstColumn="1" w:lastColumn="0" w:noHBand="0" w:noVBand="1"/>
      </w:tblPr>
      <w:tblGrid>
        <w:gridCol w:w="5867"/>
        <w:gridCol w:w="1122"/>
        <w:gridCol w:w="4398"/>
      </w:tblGrid>
      <w:tr w:rsidR="005761BD" w:rsidRPr="005761BD" w:rsidTr="00CF3A2D">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Примена еколошких аспеката у 2024. години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Укупан број</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учешћа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Поступци јавних набавки за еколошким аспектима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3.244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6,91%</w:t>
            </w:r>
          </w:p>
          <w:p w:rsidR="005761BD" w:rsidRPr="005761BD" w:rsidRDefault="005761BD" w:rsidP="00CF3A2D">
            <w:pPr>
              <w:spacing w:line="210" w:lineRule="atLeast"/>
              <w:rPr>
                <w:rFonts w:ascii="Arial" w:hAnsi="Arial" w:cs="Arial"/>
              </w:rPr>
            </w:pPr>
            <w:r w:rsidRPr="005761BD">
              <w:rPr>
                <w:rFonts w:ascii="Arial" w:eastAsia="Verdana" w:hAnsi="Arial" w:cs="Arial"/>
                <w:sz w:val="22"/>
              </w:rPr>
              <w:t>у односу на укупан број поступака јавних набавки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Уговори о јавној набавци у којима су примењени еколошки аспекти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35.374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11,10%</w:t>
            </w:r>
          </w:p>
          <w:p w:rsidR="005761BD" w:rsidRPr="005761BD" w:rsidRDefault="005761BD" w:rsidP="00CF3A2D">
            <w:pPr>
              <w:spacing w:line="210" w:lineRule="atLeast"/>
              <w:rPr>
                <w:rFonts w:ascii="Arial" w:hAnsi="Arial" w:cs="Arial"/>
              </w:rPr>
            </w:pPr>
            <w:r w:rsidRPr="005761BD">
              <w:rPr>
                <w:rFonts w:ascii="Arial" w:eastAsia="Verdana" w:hAnsi="Arial" w:cs="Arial"/>
                <w:sz w:val="22"/>
              </w:rPr>
              <w:t>у односу на укупан број закључених уговора</w:t>
            </w:r>
          </w:p>
        </w:tc>
      </w:tr>
    </w:tbl>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Годишњи извештај о јавним набавкама у Републици Србији за 2023. годину, Канцеларија за јавне набавке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поређењу са 2021. годином када су се наручиоци изјаснили да су у 650 поступака (0,41%) јавних набавки користили еколошке аспекте, резултати за 2023. показују значајан раст, али удео од 3,32% је још увек мали и треба даље радити на повећању овог удела.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Програму развоја јавних набавки у Републици Србији за период 2024</w:t>
      </w:r>
      <w:r>
        <w:rPr>
          <w:rFonts w:ascii="Arial" w:eastAsia="Verdana" w:hAnsi="Arial" w:cs="Arial"/>
          <w:sz w:val="22"/>
        </w:rPr>
        <w:t>-</w:t>
      </w:r>
      <w:r w:rsidRPr="005761BD">
        <w:rPr>
          <w:rFonts w:ascii="Arial" w:eastAsia="Verdana" w:hAnsi="Arial" w:cs="Arial"/>
          <w:sz w:val="22"/>
        </w:rPr>
        <w:t>2028. године, који као посебан циљ дефинише</w:t>
      </w:r>
      <w:r>
        <w:rPr>
          <w:rFonts w:ascii="Arial" w:eastAsia="Verdana" w:hAnsi="Arial" w:cs="Arial"/>
          <w:sz w:val="22"/>
        </w:rPr>
        <w:t>,</w:t>
      </w:r>
      <w:r w:rsidRPr="005761BD">
        <w:rPr>
          <w:rFonts w:ascii="Arial" w:eastAsia="Verdana" w:hAnsi="Arial" w:cs="Arial"/>
          <w:sz w:val="22"/>
        </w:rPr>
        <w:t>,Ширу примену еколошког и социјалног аспекта и техника и инструмената у јавним набавкама</w:t>
      </w:r>
      <w:r>
        <w:rPr>
          <w:rFonts w:ascii="Arial" w:eastAsia="Verdana" w:hAnsi="Arial" w:cs="Arial"/>
          <w:sz w:val="22"/>
        </w:rPr>
        <w:t>"</w:t>
      </w:r>
      <w:r w:rsidRPr="005761BD">
        <w:rPr>
          <w:rFonts w:ascii="Arial" w:eastAsia="Verdana" w:hAnsi="Arial" w:cs="Arial"/>
          <w:sz w:val="22"/>
        </w:rPr>
        <w:t>, препознато је да је ово област којој се у наредном периоду мора посветити додатна пажња, а узимајући у обзир све што је већ постигнуто кроз активности Канцеларије за јавне набавке, као нова законска решења. У том погледу, активности у наредном периоду треба да буду усмерене на подстицање повећања удела зелених јавних набавки у укупним јавним набавкама, њиховом додатном афирмацијом и едукацијом заинтересованих страна.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Еко знак Републике Србије </w:t>
      </w:r>
      <w:r w:rsidRPr="005761BD">
        <w:rPr>
          <w:rFonts w:ascii="Arial" w:eastAsia="Verdana" w:hAnsi="Arial" w:cs="Arial"/>
          <w:sz w:val="22"/>
        </w:rPr>
        <w:t>(национални Еко знак Републике Србије:</w:t>
      </w:r>
      <w:r>
        <w:rPr>
          <w:rFonts w:ascii="Arial" w:eastAsia="Verdana" w:hAnsi="Arial" w:cs="Arial"/>
          <w:sz w:val="22"/>
        </w:rPr>
        <w:t>,</w:t>
      </w:r>
      <w:r w:rsidRPr="005761BD">
        <w:rPr>
          <w:rFonts w:ascii="Arial" w:eastAsia="Verdana" w:hAnsi="Arial" w:cs="Arial"/>
          <w:sz w:val="22"/>
        </w:rPr>
        <w:t>,Пријатељ животне средине</w:t>
      </w:r>
      <w:r>
        <w:rPr>
          <w:rFonts w:ascii="Arial" w:eastAsia="Verdana" w:hAnsi="Arial" w:cs="Arial"/>
          <w:sz w:val="22"/>
        </w:rPr>
        <w:t>"</w:t>
      </w:r>
      <w:r w:rsidRPr="005761BD">
        <w:rPr>
          <w:rFonts w:ascii="Arial" w:eastAsia="Verdana" w:hAnsi="Arial" w:cs="Arial"/>
          <w:sz w:val="22"/>
        </w:rPr>
        <w:t>), као и ЕУ Еко знак</w:t>
      </w:r>
      <w:r w:rsidRPr="005761BD">
        <w:rPr>
          <w:rFonts w:ascii="Arial" w:eastAsia="Verdana" w:hAnsi="Arial" w:cs="Arial"/>
          <w:sz w:val="22"/>
          <w:vertAlign w:val="superscript"/>
        </w:rPr>
        <w:t>15</w:t>
      </w:r>
      <w:r w:rsidRPr="005761BD">
        <w:rPr>
          <w:rFonts w:ascii="Arial" w:eastAsia="Verdana" w:hAnsi="Arial" w:cs="Arial"/>
          <w:sz w:val="22"/>
        </w:rPr>
        <w:t xml:space="preserve"> су добровољне ознаке, којима се промовишу производи са мањим негативним утицајем на животну средину од других, сличних производа на тржишту. Ове ознаке припадају Програму означавања у вези са животном средином типа I (у складу са стандардом ISO 14024</w:t>
      </w:r>
      <w:r w:rsidRPr="005761BD">
        <w:rPr>
          <w:rFonts w:ascii="Arial" w:eastAsia="Verdana" w:hAnsi="Arial" w:cs="Arial"/>
          <w:sz w:val="22"/>
          <w:vertAlign w:val="superscript"/>
        </w:rPr>
        <w:t>16</w:t>
      </w:r>
      <w:r w:rsidRPr="005761BD">
        <w:rPr>
          <w:rFonts w:ascii="Arial" w:eastAsia="Verdana" w:hAnsi="Arial" w:cs="Arial"/>
          <w:sz w:val="22"/>
        </w:rPr>
        <w:t xml:space="preserve"> и ISO 14050</w:t>
      </w:r>
      <w:r w:rsidRPr="005761BD">
        <w:rPr>
          <w:rFonts w:ascii="Arial" w:eastAsia="Verdana" w:hAnsi="Arial" w:cs="Arial"/>
          <w:sz w:val="22"/>
          <w:vertAlign w:val="superscript"/>
        </w:rPr>
        <w:t>17</w:t>
      </w:r>
      <w:r w:rsidRPr="005761BD">
        <w:rPr>
          <w:rFonts w:ascii="Arial" w:eastAsia="Verdana" w:hAnsi="Arial" w:cs="Arial"/>
          <w:sz w:val="22"/>
        </w:rPr>
        <w:t>). Еко знаком се подстиче примена ЦЕ, јер се фокус ставља на смањење негативних утицаја на животну средину, продужавање века трајања производа кроз одговарајући еко-дизајн</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15 EU Еcolabel.</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16 ISO 14024 Ознаке и декларације у вези са животном средином </w:t>
      </w:r>
      <w:r>
        <w:rPr>
          <w:rFonts w:ascii="Arial" w:eastAsia="Verdana" w:hAnsi="Arial" w:cs="Arial"/>
          <w:sz w:val="22"/>
        </w:rPr>
        <w:t>-</w:t>
      </w:r>
      <w:r w:rsidRPr="005761BD">
        <w:rPr>
          <w:rFonts w:ascii="Arial" w:eastAsia="Verdana" w:hAnsi="Arial" w:cs="Arial"/>
          <w:sz w:val="22"/>
        </w:rPr>
        <w:t xml:space="preserve"> Означавање типа I у вези са животном средином </w:t>
      </w:r>
      <w:r>
        <w:rPr>
          <w:rFonts w:ascii="Arial" w:eastAsia="Verdana" w:hAnsi="Arial" w:cs="Arial"/>
          <w:sz w:val="22"/>
        </w:rPr>
        <w:t>-</w:t>
      </w:r>
      <w:r w:rsidRPr="005761BD">
        <w:rPr>
          <w:rFonts w:ascii="Arial" w:eastAsia="Verdana" w:hAnsi="Arial" w:cs="Arial"/>
          <w:sz w:val="22"/>
        </w:rPr>
        <w:t xml:space="preserve"> Принципи и процедуре.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17 ISO 14050 Менаџмент животном средином </w:t>
      </w:r>
      <w:r>
        <w:rPr>
          <w:rFonts w:ascii="Arial" w:eastAsia="Verdana" w:hAnsi="Arial" w:cs="Arial"/>
          <w:sz w:val="22"/>
        </w:rPr>
        <w:t>-</w:t>
      </w:r>
      <w:r w:rsidRPr="005761BD">
        <w:rPr>
          <w:rFonts w:ascii="Arial" w:eastAsia="Verdana" w:hAnsi="Arial" w:cs="Arial"/>
          <w:sz w:val="22"/>
        </w:rPr>
        <w:t xml:space="preserve"> Речник (у овом стандарду су дати одговарајући термини из области из области животне средине, укључујућ и термин: </w:t>
      </w:r>
      <w:r>
        <w:rPr>
          <w:rFonts w:ascii="Arial" w:eastAsia="Verdana" w:hAnsi="Arial" w:cs="Arial"/>
          <w:sz w:val="22"/>
        </w:rPr>
        <w:t>"</w:t>
      </w:r>
      <w:r w:rsidRPr="005761BD">
        <w:rPr>
          <w:rFonts w:ascii="Arial" w:eastAsia="Verdana" w:hAnsi="Arial" w:cs="Arial"/>
          <w:sz w:val="22"/>
        </w:rPr>
        <w:t>Програм означавања у вези са животном средином типа I</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производа, једноставна поправка и одржавање, водећи рачуна и о смањивању или елиминисању одређених опасних материја које улазе у састав производа. Тренутно у Републици Србији, само две организације, имају производе за које је додељен национални Еко знак, а које су 2022. године захтевале ресертификацију права на коришћење Еко знака за своје производе. Министарство заштите животне средине је у 2023. години издало пет Решења о додели права на коришћење Еко знака Републике Србије. Право да носе ову престижну Националну ознаку о заштити животне средине добило је укупно 277 производа, из асортимана дрвених подова и пресованог црепа, које производе две компаније.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Слика 2.7. Развој броја Еко знак сертификованих компанија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Извештај о стању животне средине у Републици Србији за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Поступак и услови за додељивања националног Еко знака у Републици Србији су дефинисани Законом о заштити животне средине и пратећим подзаконским прописом</w:t>
      </w:r>
      <w:r w:rsidRPr="005761BD">
        <w:rPr>
          <w:rFonts w:ascii="Arial" w:eastAsia="Verdana" w:hAnsi="Arial" w:cs="Arial"/>
          <w:sz w:val="22"/>
          <w:vertAlign w:val="superscript"/>
        </w:rPr>
        <w:t>18</w:t>
      </w:r>
      <w:r w:rsidRPr="005761BD">
        <w:rPr>
          <w:rFonts w:ascii="Arial" w:eastAsia="Verdana" w:hAnsi="Arial" w:cs="Arial"/>
          <w:sz w:val="22"/>
        </w:rPr>
        <w:t xml:space="preserve"> који садржи и конкретне критеријуме за Еко знак за 26 различитих група производа. Критеријуми су израђени по угледу на одговарајуће критеријуме за ЕУ Еко знак који су важили у тренутку израде наведеног правилника. Групе производа и услуга за које се може доделити национални Еко знак, као и критеријуми по појединачним групама, треба да буду истоветни као групе производа и критеријуми за доделу европског Еко знака </w:t>
      </w:r>
      <w:r>
        <w:rPr>
          <w:rFonts w:ascii="Arial" w:eastAsia="Verdana" w:hAnsi="Arial" w:cs="Arial"/>
          <w:sz w:val="22"/>
        </w:rPr>
        <w:t>-,</w:t>
      </w:r>
      <w:r w:rsidRPr="005761BD">
        <w:rPr>
          <w:rFonts w:ascii="Arial" w:eastAsia="Verdana" w:hAnsi="Arial" w:cs="Arial"/>
          <w:sz w:val="22"/>
        </w:rPr>
        <w:t>,Цвета</w:t>
      </w:r>
      <w:r>
        <w:rPr>
          <w:rFonts w:ascii="Arial" w:eastAsia="Verdana" w:hAnsi="Arial" w:cs="Arial"/>
          <w:sz w:val="22"/>
        </w:rPr>
        <w:t>"</w:t>
      </w:r>
      <w:r w:rsidRPr="005761BD">
        <w:rPr>
          <w:rFonts w:ascii="Arial" w:eastAsia="Verdana" w:hAnsi="Arial" w:cs="Arial"/>
          <w:sz w:val="22"/>
        </w:rPr>
        <w:t xml:space="preserve"> у складу са одговарајућом Уредбом ЕУ</w:t>
      </w:r>
      <w:r w:rsidRPr="005761BD">
        <w:rPr>
          <w:rFonts w:ascii="Arial" w:eastAsia="Verdana" w:hAnsi="Arial" w:cs="Arial"/>
          <w:sz w:val="22"/>
          <w:vertAlign w:val="superscript"/>
        </w:rPr>
        <w:t>19</w:t>
      </w:r>
      <w:r w:rsidRPr="005761BD">
        <w:rPr>
          <w:rFonts w:ascii="Arial" w:eastAsia="Verdana" w:hAnsi="Arial" w:cs="Arial"/>
          <w:sz w:val="22"/>
        </w:rPr>
        <w:t>. Због измена које су се у међувремену догодиле у критеријумима за Еко знак ЕУ, тренутно постоје одређена неслагања у критеријумима националног Еко знака и ЕУ Еко знака. Због тога је потребно урадити ревизију сада важећег Правилника узимајући у обзир додатне групе производа и услуга, као и приоритете који ће бити дефинисани за зелене јавне набавке и заступљеност одговарајућих производа/услуга на тржишту Републике Србије.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EMAS (EMAS </w:t>
      </w:r>
      <w:r>
        <w:rPr>
          <w:rFonts w:ascii="Arial" w:eastAsia="Verdana" w:hAnsi="Arial" w:cs="Arial"/>
          <w:b/>
          <w:sz w:val="22"/>
        </w:rPr>
        <w:t>-</w:t>
      </w:r>
      <w:r w:rsidRPr="005761BD">
        <w:rPr>
          <w:rFonts w:ascii="Arial" w:eastAsia="Verdana" w:hAnsi="Arial" w:cs="Arial"/>
          <w:b/>
          <w:sz w:val="22"/>
        </w:rPr>
        <w:t xml:space="preserve"> Eco Management and Audit Scheme) </w:t>
      </w:r>
      <w:r w:rsidRPr="005761BD">
        <w:rPr>
          <w:rFonts w:ascii="Arial" w:eastAsia="Verdana" w:hAnsi="Arial" w:cs="Arial"/>
          <w:sz w:val="22"/>
        </w:rPr>
        <w:t>представља програм ЕУ којим се омогућава организацијама да верификују свој систем менаџмента животном средином у складу са одговарајућом Уредбом ЕУ (Уредба (ЕЗ) бр. 1221/2009).</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Са аспекта ЦЕ, EMAS је изузетно значајан јер је препознат као најкредибилнији систем менаџмента животном средином који помаже организацијама да примене ефективан систем менаџмента животном средином, да у континуитету побољшавају своје перформансе животне средине и о томе на транспарентан начин јавно извештавају. У оквиру EMAS, садржани су и захтеви у вези са препознавањем релевантних потреба и очекивања заинтересованих страна у вези са животном средином, директним и индиректним утицајима на животну средину, сталним побољшавањима перформанси у вези са животном средином, што је уједно и основа за системски приступ за примену ЦЕ у оквиру одговарајућих организација.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EMAS се може директно повезати са Циљем одрживог развоја број 12 Одговорна потрошња и производња.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EMAS је у Републици Србији делимично дефинисан Законом о заштити животне средине, који је 2016. године измењен, између осталог, са циљем да се и реално у пракси подстакну прве EMAS регистрације организација из Републике Србије. Регистрација организација из Републике Србије у ЕУ EMAS регистар је могућа кроз посебне услове за Глобал EMAS регистрацију и регистрацију организација из трећих земаља, а који су дати у оквиру ЕУ EMAS прописа за треће земље. Нажалост, ни једна организација из Републике Србије још увек није остварила EMAS регистрацију.</w:t>
      </w:r>
    </w:p>
    <w:p w:rsidR="005761BD" w:rsidRPr="005761BD" w:rsidRDefault="005761BD" w:rsidP="005761BD">
      <w:pPr>
        <w:spacing w:line="210" w:lineRule="atLeast"/>
        <w:rPr>
          <w:rFonts w:ascii="Arial" w:hAnsi="Arial" w:cs="Arial"/>
        </w:rPr>
      </w:pPr>
      <w:r>
        <w:rPr>
          <w:rFonts w:ascii="Arial" w:eastAsia="Verdana" w:hAnsi="Arial" w:cs="Arial"/>
          <w:sz w:val="22"/>
        </w:rPr>
        <w:lastRenderedPageBreak/>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18 Правилник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(,,Службени гласник РС</w:t>
      </w:r>
      <w:r>
        <w:rPr>
          <w:rFonts w:ascii="Arial" w:eastAsia="Verdana" w:hAnsi="Arial" w:cs="Arial"/>
          <w:sz w:val="22"/>
        </w:rPr>
        <w:t>"</w:t>
      </w:r>
      <w:r w:rsidRPr="005761BD">
        <w:rPr>
          <w:rFonts w:ascii="Arial" w:eastAsia="Verdana" w:hAnsi="Arial" w:cs="Arial"/>
          <w:sz w:val="22"/>
        </w:rPr>
        <w:t>, број 49/16).</w:t>
      </w:r>
    </w:p>
    <w:p w:rsidR="005761BD" w:rsidRPr="005761BD" w:rsidRDefault="005761BD" w:rsidP="005761BD">
      <w:pPr>
        <w:spacing w:line="210" w:lineRule="atLeast"/>
        <w:rPr>
          <w:rFonts w:ascii="Arial" w:hAnsi="Arial" w:cs="Arial"/>
        </w:rPr>
      </w:pPr>
      <w:r w:rsidRPr="005761BD">
        <w:rPr>
          <w:rFonts w:ascii="Arial" w:eastAsia="Verdana" w:hAnsi="Arial" w:cs="Arial"/>
          <w:sz w:val="22"/>
        </w:rPr>
        <w:t>19 Уредба ЕЗ бр. 66/2010 о Еко знаку.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би се организације из Републике Србије регистровале у EMAS систему ЕУ, потребно је да испуне читав сет захтева од којих се одређени број захтева односи и на испуњавање законских захтева из области животне средине у Републици Србији. Тај део у поступку EMAS регистрације проверава независни, овлашћени EMAS верификатор. Додатно је важно да постоји и неки вид комуникације надлежних органа за EMAS из ЕУ, где се врши регистрација, са релевантним надлежним органом у Републици Србији (са министарством надлежним за послове животне средине) и неки вид потврде од стране надлежних органа из Републике Србије да конкретна организација нема евидентираних неусклађености са законским прописима из области животне средине. Издавање овакве потврде, која би помогла организацијама у поступку EMAS регистрације, је предвиђено посебним подзаконским актом за EMAS (основа је дата чланом 44. став 9. Закона о заштити животне средине). Усвајање овог подзаконског акта за EMAS би помогло да се организације додатно подстакну на поступак EMAS регистрације.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Веома важни предуслови за ширу примену добровољних инструмената (укључујући и EMAS) су и добра упознатост привреде и корисника о њима, али и различити подстицаји на нивоу државе за оне организације које се одлуче на увођење и примену неких од добровољних инструмената. Постоје већ примери добре праксе из земаља ЕУ који би могли да се искористе за даљу афирмацију добровољних инструмената као што су EMAS и национални Еко знак, које би уз додатну анализу и прилагођавање, могли да се примене и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Еко-дизајн </w:t>
      </w:r>
      <w:r w:rsidRPr="005761BD">
        <w:rPr>
          <w:rFonts w:ascii="Arial" w:eastAsia="Verdana" w:hAnsi="Arial" w:cs="Arial"/>
          <w:sz w:val="22"/>
        </w:rPr>
        <w:t>је један од кључних инструмената ЦЕ, јер већ у фази пројектовања омогућава смањење утицаја производа на животну средину, продужавање његовог века трајања, лаку поправку, поновну употребу, рециклажу и ефикасније коришћење ресурса и енергије. Еко-дизајн производа је скуп услова које производ који користи енергију мора да испуњава у погледу заштите животне средине и енергетске ефикасности у периоду који обухвата процес његовог настанка, употребе и стављања ван употребе. Министарство рударства и енергетике припрема измене и допуне Закона о ефикасном коришћењу енергије како би се створио правни основ за имплементацију европске Директиве ЕУ 2009/125/ЕЗ, познатије као Директива о еко-дизајну. У 2024. години донета је нова Уредба ЕУ 2024/1781 којом се претходна директива ставља ван снаге, а овом уредбом се успоставља оквир за утврђивање захтева за еколошки дизајн одрживих производа.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Еко-дизајн значи интегрисање еколошких разматрања од саме фазе пројектовања производа. Предузећа би требало да обуче своје развојне тимове да дизајнирају робу која је издржљива, лака за поправку и демонтажу и рециклабилна на крају животног века. Конкретно, ово може да укључује: коришћење једнокомпонентних материјала (ради олакшавања рециклаже), избегавање тешко раздвојивих комбинација материјала, пројектовање стандардизованих и заменљивих модула, лак приступ кључним компонентама за поправку и минимизирање токсичних или тешких супстанци (трајни лепкови, токсичне боје итд.). Предузећа би такође требало да сарађују са испоручиоцима како би изабрали рециклиране или обновљиве материјале у производима (нпр. употреба рециклиране пластике након потрошње у производњи беле технике). Када се ове праксе пројектовања уведу, кључно је да производи буду транспарентно означени у вези са својим карактеристикама циркуларности. Треба пружити потрошачима јасне информације о процењеном животном веку производа, начину на који се могу поправити (доступна упутства за поправку, мрежа сервисних партнера), садржају који се може рециклирати и исправном начину њиховог одлагања на крају животног века. Поред поштовања законских захтева (нпр. нова правила ЕУ ће захтевати укључивање индикатора трајности и могућности поправке у информације о производу), ова транспарентност гради поверење код потрошача. Ако је производ посебно одржив, треба отпочети са процесом добијања признатих еколошких сертификата (као што су EU Ecolabel, Blue Angel, Nordic Swan), који ће диференцирати производ на тржишту и уверити потрошаче у истинитост спецификације. Закључно, претварањем еко-дизајна у стандардну праксу и отвореним комуницирањем еколошких перформанси производа, компаније могу смањити будуће трошкове усклађености (у очекивању регулативе), привући нове сегменте потрошача који су оријентисани на квалитет и одрживост, као и минимизирати утицај свог пословања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Зелене обвезнице </w:t>
      </w:r>
      <w:r w:rsidRPr="005761BD">
        <w:rPr>
          <w:rFonts w:ascii="Arial" w:eastAsia="Verdana" w:hAnsi="Arial" w:cs="Arial"/>
          <w:sz w:val="22"/>
        </w:rPr>
        <w:t xml:space="preserve">настале су као одговор на све већу потребу за сузбијањем климатских промена и преласком ка нискоугљеничној економији. Њихов основни задатак је да привуку средства за пројекте који </w:t>
      </w:r>
      <w:r w:rsidRPr="005761BD">
        <w:rPr>
          <w:rFonts w:ascii="Arial" w:eastAsia="Verdana" w:hAnsi="Arial" w:cs="Arial"/>
          <w:sz w:val="22"/>
        </w:rPr>
        <w:lastRenderedPageBreak/>
        <w:t>доносе корист животној средини. Нето средства добијена њиховим издавањем користе се за финансирање или рефинансирање нових и постојећих трошкова, као што су капитална улагања, оперативни расходи, порези и трансфери, који су укључени у државни буџет. Циљ ових улагања је да се убрза прелазак Републике Србије ка еколошки одрживој економији и остваре циљеви одрживог развоја УН. Да би трошкови били прихватљиви, морају се сврстати у најмање једну од дефинисаних зелених области, као што су обновљива енергија, енергетска ефикасност, одрживи транспорт, управљање водама, ЦЕ, или заштита природе.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Влада је 2021. године први пут емитовала зелену обвезницу у вредности од милијарду евра на међународном тржишту капитала. Пре тога је усвојен Оквирни документ у складу са стандардима Међународног удружења тржишта капитала. Прикупљени приходи намењени су спровођењу Зелене агенде, кроз улагања у железничку и метро инфраструктуру, изградњу канализације, управљање отпадним водама, заштиту од поплава, очување биодиверзитета, контролу загађења, енергетску ефикасност, обновљиве изворе енергије и друге мере које доприносе еколошким циљевима. У 2024. години успостављен је нови Оквирни документ на основу којег је Влада емитовала зелене и социјално одрживе обвезнице.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2.3.3.3. Циркуларни пословни модели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Циркуларни пословни модели представљају оперативно језгро транзиције ка ЦЕ на микро, мезо и макро нивоу. Они конкретизују начине на које се вредност пројектује, испоручује и задржава тако да се материјали, енергија и информације крећу у затвореним или успореним петљама, уз минималан губитак корисности и уз повећање економске ефикасности. Суштинске одлике циркуларних модела произилазе из четири међузависне промене: затварања материјалних петљи, продужавања времена употребе, интензивирања искоришћења капацитета и дематеријализације вредности кроз прелазак са производа на услугу. Такви модели подразумевају реинжењеринг понуде вредности, испоруке и механизама задржавања вредности, активну улогу широке мреже заинтересованих страна, као и вредносни оквир у ком су еколошки и, често, друштвени исходи интегрисани са економским. Разлика у односу на шири појам</w:t>
      </w:r>
      <w:r>
        <w:rPr>
          <w:rFonts w:ascii="Arial" w:eastAsia="Verdana" w:hAnsi="Arial" w:cs="Arial"/>
          <w:sz w:val="22"/>
        </w:rPr>
        <w:t>,</w:t>
      </w:r>
      <w:r w:rsidRPr="005761BD">
        <w:rPr>
          <w:rFonts w:ascii="Arial" w:eastAsia="Verdana" w:hAnsi="Arial" w:cs="Arial"/>
          <w:sz w:val="22"/>
        </w:rPr>
        <w:t>,одрживих пословних модела</w:t>
      </w:r>
      <w:r>
        <w:rPr>
          <w:rFonts w:ascii="Arial" w:eastAsia="Verdana" w:hAnsi="Arial" w:cs="Arial"/>
          <w:sz w:val="22"/>
        </w:rPr>
        <w:t>"</w:t>
      </w:r>
      <w:r w:rsidRPr="005761BD">
        <w:rPr>
          <w:rFonts w:ascii="Arial" w:eastAsia="Verdana" w:hAnsi="Arial" w:cs="Arial"/>
          <w:sz w:val="22"/>
        </w:rPr>
        <w:t>, огледа се у томе што циркуларни модели експлицитно захтевају затварање или успоравање токова ресурса дуж читавог животног циклуса. Кружност није бинарна, већ континуум од линеарног ка потпуно циркуларном, степен кружности се зато мери кроз скупове индикатора перформанси који омогућавају позиционирање модела и праћење напретка.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За потребе Програма, усваја се функционална класификација која обухвата пет основних типова циркуларних пословних модела, покривајући кључне механизме кружности и омогућавајући прецизно усмеравање јавних политика, финансијских подстицаја и мера подршке.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Пословни модел циркуларних сировина. </w:t>
      </w:r>
      <w:r w:rsidRPr="005761BD">
        <w:rPr>
          <w:rFonts w:ascii="Arial" w:eastAsia="Verdana" w:hAnsi="Arial" w:cs="Arial"/>
          <w:sz w:val="22"/>
        </w:rPr>
        <w:t>Базира се на систематској замени ретких и необновљивих улаза обновљивим, биоразградивим или рециклираним материјалима високог квалитета, уз минимизацију отпада у производњи и интеграцију рециклаже у повратне токове. Премештањем фокуса са најниже цене примарне сировине на обезбеђење стабилних токова секундарних ресурса, компаније снижавају ризике нестабилности цена, смањују угљенични отисак и подижу ефикасност процеса. Кључна је дубинска сарадња са испоручиоцима и развој спецификација које захтевају материјале погодне за поновну употребу и рециклажу, као и увођење стандарда квалитета који обезбеђују трајно задржавање вредности у кружном процесу. Овај пословни модел описује начин на који се вредност ствара и испоручује, уважавајући захтеве друштва и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Пословни модел рекуперације ресурса. </w:t>
      </w:r>
      <w:r w:rsidRPr="005761BD">
        <w:rPr>
          <w:rFonts w:ascii="Arial" w:eastAsia="Verdana" w:hAnsi="Arial" w:cs="Arial"/>
          <w:sz w:val="22"/>
        </w:rPr>
        <w:t xml:space="preserve">Његова логика је да се из производа и токова на крају употребе извуче максимална количина материјала, енергије и вредности, уз очување што вишег квалитета секундарних сировина. Ово подразумева технолошке и логистичке системе који омогућавају висококвалитетно раздвајање, селекцију и повраћај, али и обликовање тржишних подстицаја за кориснике да производе враћају у кружни процес: депозити, откуп, повратне шеме. Разлика у односу на традиционалну рециклажу јесте стремљење ка </w:t>
      </w:r>
      <w:r>
        <w:rPr>
          <w:rFonts w:ascii="Arial" w:eastAsia="Verdana" w:hAnsi="Arial" w:cs="Arial"/>
          <w:sz w:val="22"/>
        </w:rPr>
        <w:t>"</w:t>
      </w:r>
      <w:r w:rsidRPr="005761BD">
        <w:rPr>
          <w:rFonts w:ascii="Arial" w:eastAsia="Verdana" w:hAnsi="Arial" w:cs="Arial"/>
          <w:sz w:val="22"/>
        </w:rPr>
        <w:t>каскадној</w:t>
      </w:r>
      <w:r>
        <w:rPr>
          <w:rFonts w:ascii="Arial" w:eastAsia="Verdana" w:hAnsi="Arial" w:cs="Arial"/>
          <w:sz w:val="22"/>
        </w:rPr>
        <w:t>"</w:t>
      </w:r>
      <w:r w:rsidRPr="005761BD">
        <w:rPr>
          <w:rFonts w:ascii="Arial" w:eastAsia="Verdana" w:hAnsi="Arial" w:cs="Arial"/>
          <w:sz w:val="22"/>
        </w:rPr>
        <w:t xml:space="preserve"> употреби која избегава деградацију материјала и њихово спуштање у нижу примену. Код материјала високе вредности, као што су метали, потенцијали су посебно изражени, али се све више развијају решења и за композитне и полимерне токове, у складу са технолошким напретком.</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Пословни модел продужења животног века производа.</w:t>
      </w:r>
      <w:r w:rsidRPr="005761BD">
        <w:rPr>
          <w:rFonts w:ascii="Arial" w:eastAsia="Verdana" w:hAnsi="Arial" w:cs="Arial"/>
          <w:sz w:val="22"/>
        </w:rPr>
        <w:t xml:space="preserve">Овде се предност даје поправци, обнови, ремануфактури и препродаји, поткрепљеним модуларним дизајном, доступношћу резервних делова и сервисних услуга. Европски оквир, кроз акционе планове и регулаторне иницијативе, све изразитије подстиче право на поправку, трајност и могућност надоградње, нарочито код електричне и електронске опреме, ИКТ уређаја, текстила, амбалаже, батерија и возила. Пословно гледано, овај модел захтева промену логике прихода, од једнократне продаје ка токовима прихода током животног циклуса, али истовремено доносе </w:t>
      </w:r>
      <w:r w:rsidRPr="005761BD">
        <w:rPr>
          <w:rFonts w:ascii="Arial" w:eastAsia="Verdana" w:hAnsi="Arial" w:cs="Arial"/>
          <w:sz w:val="22"/>
        </w:rPr>
        <w:lastRenderedPageBreak/>
        <w:t>стабилније односе са потрошачима, бољу контролу над производом и знатно нижу материјалну интензивност по јединици корисности.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Пословни модел економије дељења. </w:t>
      </w:r>
      <w:r w:rsidRPr="005761BD">
        <w:rPr>
          <w:rFonts w:ascii="Arial" w:eastAsia="Verdana" w:hAnsi="Arial" w:cs="Arial"/>
          <w:sz w:val="22"/>
        </w:rPr>
        <w:t xml:space="preserve">У фокусу је повећање степена искоришћења постојеће имовине, од возила и алата до индустријских машина и складишта, путем платформи које омогућавају више корисника по једном ресурсу, било у односу </w:t>
      </w:r>
      <w:r>
        <w:rPr>
          <w:rFonts w:ascii="Arial" w:eastAsia="Verdana" w:hAnsi="Arial" w:cs="Arial"/>
          <w:sz w:val="22"/>
        </w:rPr>
        <w:t>"</w:t>
      </w:r>
      <w:r w:rsidRPr="005761BD">
        <w:rPr>
          <w:rFonts w:ascii="Arial" w:eastAsia="Verdana" w:hAnsi="Arial" w:cs="Arial"/>
          <w:sz w:val="22"/>
        </w:rPr>
        <w:t>појединац-појединац</w:t>
      </w:r>
      <w:r>
        <w:rPr>
          <w:rFonts w:ascii="Arial" w:eastAsia="Verdana" w:hAnsi="Arial" w:cs="Arial"/>
          <w:sz w:val="22"/>
        </w:rPr>
        <w:t>"</w:t>
      </w:r>
      <w:r w:rsidRPr="005761BD">
        <w:rPr>
          <w:rFonts w:ascii="Arial" w:eastAsia="Verdana" w:hAnsi="Arial" w:cs="Arial"/>
          <w:sz w:val="22"/>
        </w:rPr>
        <w:t xml:space="preserve"> или </w:t>
      </w:r>
      <w:r>
        <w:rPr>
          <w:rFonts w:ascii="Arial" w:eastAsia="Verdana" w:hAnsi="Arial" w:cs="Arial"/>
          <w:sz w:val="22"/>
        </w:rPr>
        <w:t>"</w:t>
      </w:r>
      <w:r w:rsidRPr="005761BD">
        <w:rPr>
          <w:rFonts w:ascii="Arial" w:eastAsia="Verdana" w:hAnsi="Arial" w:cs="Arial"/>
          <w:sz w:val="22"/>
        </w:rPr>
        <w:t>предузеће-предузеће</w:t>
      </w:r>
      <w:r>
        <w:rPr>
          <w:rFonts w:ascii="Arial" w:eastAsia="Verdana" w:hAnsi="Arial" w:cs="Arial"/>
          <w:sz w:val="22"/>
        </w:rPr>
        <w:t>"</w:t>
      </w:r>
      <w:r w:rsidRPr="005761BD">
        <w:rPr>
          <w:rFonts w:ascii="Arial" w:eastAsia="Verdana" w:hAnsi="Arial" w:cs="Arial"/>
          <w:sz w:val="22"/>
        </w:rPr>
        <w:t>. Уклањањем баријера приступу и увођењем модела плаћања за употребу, постиже се мања потреба за новим производима уз исти ниво услужности. Иако још увек не постоји потпун консензус око свих димензија мерења ефеката, растући број студија потврђује значајне еколошке добити, нарочито у урбаном саобраћају и у секторима са високом вредношћу капитала. За одрживост модела кључно је да платформа интерно указује на повратне ефекте и обезбеђује механизме за спречавање прекомерне употребе.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Пословни модел производ као услуга. </w:t>
      </w:r>
      <w:r w:rsidRPr="005761BD">
        <w:rPr>
          <w:rFonts w:ascii="Arial" w:eastAsia="Verdana" w:hAnsi="Arial" w:cs="Arial"/>
          <w:sz w:val="22"/>
        </w:rPr>
        <w:t>Купац не стиче власништво, већ приступ функционалности или исходу, произвођач задржава одговорност за перформансе, одржавање и збрињавање на крају животног циклуса. На тај начин, економски интерес испоручилаца постаје усаглашен са принципима циркуларне економије: производи који су дизајнирани да трају дуже, могу се лако поправљати и користе енергију на ефикасан начин. На тај начин могу да допринесу смањењу трошкова пословања и максималном коришћењу ресурса током читавог животног века производа. Резидуална вредност се извлачи кроз више циклуса, а материјали се враћају у сопствене токове. Уговорни модели као што су лизинг, претплата или плаћање по употреби померају приходе са капитала на оперативне трошкове и повећавају предвидивост новчаних токова, док истовремено подижу квалитет услуге за корисника. Успешна примена захтева развијене сервисне мреже, дигитално праћење перформанси и транспарентне услове уговарања.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Систематско усвајање ових типова циркуларних пословних модела у Републици Србији омогућава да се мере подршке, фискални и нефинансијски инструменти, јавне набавке и програмски подстицаји усмере тамо где доносе највеће користи. У секторима са великим материјалним токовима: пољопривреди и прехрамбеној индустрији, грађевинарству, паковању и пластици, текстилу и електроници, примена наведених модела омогућава убрзано смањење отпада и емисија, уз повећање домаће додате вредности. Дигитализација је притом снажан омогућилац: платформе за дељење, системи за праћење материјалних токова, дигитални пасоши производа и аналитика животног циклуса интегришу се у пословни модел и обезбеђују податке за управљање и извештавање. Овај програм предвиђа да се избор и дизајн циркуларних пословних модела у пракси поткрепљују анализом животног циклуса и везују за индикаторе праћења на микро, мезо и макро нивоу, како би се избегли преноси оптерећења и потврдио нето позитиван ефекат. На тај начин, они постају главни механизми за усклађивање економских, еколошких и друштвених циљева и носећи инструмент конкурентности у зеленој транзицији Републике Србије.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2.4. Међународна кретања и упоредна пракса у области планирања, оквир међународних и ЕУ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Земље широм света све више усвајају националне политике које промовишу циркуларност и одрживо коришћење природних ресурса. То укључује регулаторне и тржишно засноване алате, инвестиције у јавну инфраструктуру, правне реформе и подршку иновацијама. Док неке земље спроводе међусекторске стратегије, друге се фокусирају на специфичне секторе попут управљања отпадом, енергетике или пољопривреде. Развијене и земље у развоју често се разликују у приступу. Земље у развоју могу нагласити потрошњу домаћих ресурса и смањење увоза, док развијене земље улажу у затварање циклуса материјала. Без обзира на контекст, прелазак на циркуларну економију нуди предности као што су повећана ефикасност, смањени утицаји на животну средину и убрзане иновације.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Јавна улагања су кључни покретач ове трансформације. Стратешка јавна потрошња може усмерити привреде ка циркуларности кроз дугорочне политичке оквире који комбинују регулацију, фискалне подстицаје и развој инфраструктуре. На пример, Јужнокорејски Зелени нови договор издвојио је 144 милијарде долара за опоравак након пандемије, интегришући циркуларне принципе у енергетску и индустријску политику. Укључивао је пројекат кластера хидротермалне енергије који користи воду из бране за напајање центара података и паметних фарми. Слично томе, Држава Израел је искористила јавне набавке за промоцију циркуларних производа, постављајући и постижући прогресивне циљеве зелене набавке у свим министарствима.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Многе националне и локалне власти на глобалном нивоу укључују ЦЕ као централни стуб у своје планове за климатске акције и управљање отпадом, препознајући да без циркуларности не могу да достигну своје циљеве смањења емисија или смањења отпада. Спровођењем програма за спречавање отпада и опоравак ресурса </w:t>
      </w:r>
      <w:r w:rsidRPr="005761BD">
        <w:rPr>
          <w:rFonts w:ascii="Arial" w:eastAsia="Verdana" w:hAnsi="Arial" w:cs="Arial"/>
          <w:sz w:val="22"/>
        </w:rPr>
        <w:lastRenderedPageBreak/>
        <w:t>могу се значајно смањити негативни утицаји, изражени кроз мање отпада за депоновање или спаљивање, мање емисије метана са депонија, чистију воду због смањеног испуштања загађујућих материја, итд. На пример, доприносећи укупним напорима ЕУ, многе земље треба да смање комунални отпад и повећају стопе рециклаже на 60</w:t>
      </w:r>
      <w:r>
        <w:rPr>
          <w:rFonts w:ascii="Arial" w:eastAsia="Verdana" w:hAnsi="Arial" w:cs="Arial"/>
          <w:sz w:val="22"/>
        </w:rPr>
        <w:t>-</w:t>
      </w:r>
      <w:r w:rsidRPr="005761BD">
        <w:rPr>
          <w:rFonts w:ascii="Arial" w:eastAsia="Verdana" w:hAnsi="Arial" w:cs="Arial"/>
          <w:sz w:val="22"/>
        </w:rPr>
        <w:t xml:space="preserve">65% до 2035. године, према директивама ЕУ </w:t>
      </w:r>
      <w:r>
        <w:rPr>
          <w:rFonts w:ascii="Arial" w:eastAsia="Verdana" w:hAnsi="Arial" w:cs="Arial"/>
          <w:sz w:val="22"/>
        </w:rPr>
        <w:t>-</w:t>
      </w:r>
      <w:r w:rsidRPr="005761BD">
        <w:rPr>
          <w:rFonts w:ascii="Arial" w:eastAsia="Verdana" w:hAnsi="Arial" w:cs="Arial"/>
          <w:sz w:val="22"/>
        </w:rPr>
        <w:t xml:space="preserve"> циљеви који се могу постићи само кроз мере циркуларне економије (као што су одвојено сакупљање, проширена инфраструктура за рециклажу и поновну употребу). Тржишно засновани инструменти, попут пореза, субвенција и подстицаја за амортизацију, користе се за јачање циркуларне транзиције. Република Финска је развила националну мапу пута за циркуларну економију, коју подржавају фискалне мере, док Краљевина Тајланд подстиче зелене индустрије промовишући улагања у технологије за претварање отпада у ресурсе. Ови алати усмеравају понашање потрошача и произвођача, док истовремено финансирају циркуларне иницијативе.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Укључивање приватног сектора кроз партнерства и комбиновано финансирање је неопходно. У Републици Чиле је владина агенција CORFO покренула програм</w:t>
      </w:r>
      <w:r>
        <w:rPr>
          <w:rFonts w:ascii="Arial" w:eastAsia="Verdana" w:hAnsi="Arial" w:cs="Arial"/>
          <w:sz w:val="22"/>
        </w:rPr>
        <w:t>,</w:t>
      </w:r>
      <w:r w:rsidRPr="005761BD">
        <w:rPr>
          <w:rFonts w:ascii="Arial" w:eastAsia="Verdana" w:hAnsi="Arial" w:cs="Arial"/>
          <w:sz w:val="22"/>
        </w:rPr>
        <w:t>,Transforma Economía Circular</w:t>
      </w:r>
      <w:r>
        <w:rPr>
          <w:rFonts w:ascii="Arial" w:eastAsia="Verdana" w:hAnsi="Arial" w:cs="Arial"/>
          <w:sz w:val="22"/>
        </w:rPr>
        <w:t>"</w:t>
      </w:r>
      <w:r w:rsidRPr="005761BD">
        <w:rPr>
          <w:rFonts w:ascii="Arial" w:eastAsia="Verdana" w:hAnsi="Arial" w:cs="Arial"/>
          <w:sz w:val="22"/>
        </w:rPr>
        <w:t xml:space="preserve"> како би подржала 200 иновација и промовисала кластере електричне енергије у више сектора. Такви напори комбинују јавно финансирање, техничку подршку и убрзање иновација како би оснажили мала и средња предузећа и предузетнике.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Такође, правни инструменти попут проширене одговорности произвођача (EPR) институционализују циркуларност тако што захтевају од произвођача да сносе трошкове рециклаже или одлагања својих производа. EPR је широко усвојен у америчким државама које су донеле преко 70 закона, као и у Шведској, у којој се кроз национални оквир одговорност за управљање отпадом преноси са локалних самоуправа на произвођаче. Неколико земаља у развоју, укључујући Сједињене Мексичке Државе и Републику Индонезију, такође је увело EPR системе. Када су добро осмишљене и подржане сарадњом, ове политике могу ефикасно смањити екстерналије и ускладити економске подстицаје са циљевима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Укратко, глобални пејзаж се помера ка интегрисаним стратегијама циркуларне економије које повезују политику, инвестиције, фискалне алате и правну одговорност, утемељене у ширем контексту Агенде за одрживи развој до 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том ширем оквиру, концепт циркуларне економије све више се посматра као део нових економија одрживог развоја (NESD), у којем различити приступи, попут плаве, зелене, жуте или штедљиве економије, могу имати комплементаран однос са циљевима циркуларности. Дакле, концепт циркуларне економије има две врсте синергија са другим концептима NESD: допуњавање и пресецање (видети Табелу 3.1.). Допуњавање синергија између концепата NESD може развити позитивне повратне петље, док синергије које се пресецају могу побољшати ефикасност спајањем једне са другом.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Синергија са плавом економијом, зеленом економијом, жутом/економијом пажње и штедљивом/иновативном економијом имају карактеристике допуњавања и пресецања. На пример, однос ЦЕ и жуте економије усмерава пажњу на употребу дигиталних технологија за економску трансформацију (конвергентно). У том смислу, ЦЕ фокусира се на употребу ресурсно ефикасних технологија, док се жута економија фокусира на капацитете технологија друштвених медија (допуњавање). Конкретније, концепт циркуларне економије може допринети напретку других концепата NESD као што је приказано у следећој табели са синергијама које се допуњују или пресецају са другим концептима.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2.2. Комплементарност циркуларне економије и нових економија одрживог развоја (New Economics for Sustainable Development </w:t>
      </w:r>
      <w:r>
        <w:rPr>
          <w:rFonts w:ascii="Arial" w:eastAsia="Verdana" w:hAnsi="Arial" w:cs="Arial"/>
          <w:sz w:val="22"/>
        </w:rPr>
        <w:t>-</w:t>
      </w:r>
      <w:r w:rsidRPr="005761BD">
        <w:rPr>
          <w:rFonts w:ascii="Arial" w:eastAsia="Verdana" w:hAnsi="Arial" w:cs="Arial"/>
          <w:sz w:val="22"/>
        </w:rPr>
        <w:t xml:space="preserve"> NESD)</w:t>
      </w:r>
    </w:p>
    <w:tbl>
      <w:tblPr>
        <w:tblW w:w="4950" w:type="pct"/>
        <w:tblInd w:w="10" w:type="dxa"/>
        <w:tblCellMar>
          <w:left w:w="10" w:type="dxa"/>
          <w:right w:w="10" w:type="dxa"/>
        </w:tblCellMar>
        <w:tblLook w:val="04A0" w:firstRow="1" w:lastRow="0" w:firstColumn="1" w:lastColumn="0" w:noHBand="0" w:noVBand="1"/>
      </w:tblPr>
      <w:tblGrid>
        <w:gridCol w:w="2700"/>
        <w:gridCol w:w="6642"/>
        <w:gridCol w:w="1061"/>
        <w:gridCol w:w="984"/>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НЕСД концепти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Кључни доприноси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Допуњује се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Пресеца се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Плава економија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Смањење распршивања загађујућих материја у водене екосистеме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Зелена економија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Мања интензивност угљеника кроз веће поновно коришћење и обнову материјала и енергије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Наранџаста/креативна економија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Подстицање иновација за одрживост кроз културно и креативно изражавање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rPr>
                <w:rFonts w:ascii="Arial" w:hAnsi="Arial" w:cs="Arial"/>
              </w:rPr>
            </w:pP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Љубичаста/економија бриге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Вредновање иновација и продуктивног капацитета рада у условима здравственe заштитe, негe и социјалне помоћи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Социјална и солидарна економија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Економија која користи иновације за подршку заједницама, обезбеђујући инклузивне, одговорне и демократске економске активности, укључујући социјалне иновације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Жута/економија пажње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Норме које стимулишу удаљавање од робних економских модела ка друштвеним вредностима, које подржавају социјалну и еколошку одрживост</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Штедљива/иновативна економија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Смањење уноса ресурса и природних материјала, као и отпада, уз подстицање продуктивних и креативних решења заснованих на ресурсној ефикасности и алтернативним пословним моделима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X</w:t>
            </w:r>
          </w:p>
        </w:tc>
      </w:tr>
    </w:tbl>
    <w:p w:rsidR="005761BD" w:rsidRPr="005761BD" w:rsidRDefault="005761BD" w:rsidP="005761BD">
      <w:pPr>
        <w:spacing w:line="210" w:lineRule="atLeast"/>
        <w:rPr>
          <w:rFonts w:ascii="Arial" w:hAnsi="Arial" w:cs="Arial"/>
        </w:rPr>
      </w:pPr>
      <w:r w:rsidRPr="005761BD">
        <w:rPr>
          <w:rFonts w:ascii="Arial" w:eastAsia="Verdana" w:hAnsi="Arial" w:cs="Arial"/>
          <w:i/>
          <w:sz w:val="22"/>
        </w:rPr>
        <w:t>Извор: UNEN: Castro de Hallgren, S., Julca, A., Palacin Lucio, J., Ferrufino, R., &amp; Pacini Costa, H. S. (2023). New Economics for Sustainable Development, Circular Economy.</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2.4.1. Стратешки и правни акти глобалног карактера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Париски споразум о климатским променама</w:t>
      </w:r>
      <w:r w:rsidRPr="005761BD">
        <w:rPr>
          <w:rFonts w:ascii="Arial" w:eastAsia="Verdana" w:hAnsi="Arial" w:cs="Arial"/>
          <w:sz w:val="22"/>
        </w:rPr>
        <w:t xml:space="preserve"> има за циљ обезбеђивање интегритета свих делова екосистема и заштите биодиверзитета у постизању дугорочних циљева ублажавања климатских промена. Настоји да оснажи глобални одговор на претње изазване климатским променама, укључујући ограничење раста просечне глобалне температуре значајно испод 2°С у односу на прединдустријски ниво и наставак напора да се ограничи раст температуре до 1,5 °С у односу на прединдустријски ниво. Република Србија је такође и потписница Кјото протокола и обавеза из Париског споразума.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Агенда 2030 за одрживи развој (Агенда 2030)</w:t>
      </w:r>
      <w:r w:rsidRPr="005761BD">
        <w:rPr>
          <w:rFonts w:ascii="Arial" w:eastAsia="Verdana" w:hAnsi="Arial" w:cs="Arial"/>
          <w:sz w:val="22"/>
        </w:rPr>
        <w:t xml:space="preserve"> од 2015. године, када је усвојена (резолуција А/РЕС/70/1-Тransforming our world: the 2030 Agenda for Sustainable Development), представља глобалну стратешку основу за подстицање одрживог развоја и ублажавање климатских промена. Агенда садржи 17 циљева одрживог развоја и предвиђа да државе потписнице мобилишу све ресурсе како би до 2030. године искорениле сиромаштво, избориле се против неједнакости и пронашле одговоре на климатске промене. ЦЕ представља један од кључних механизама за постизање циљева Агенде 2030. Седам циљева је у непосредној и директној вези са остварењем принципа ЦЕ, кроз подршку креирању системских решења за проблеме климатских промена, загађења, губитка биодиверзитета и отпада. Циљ 6 у корелацији са циљем 14 доприноси повећању ефикасности коришћења воде у свим секторима, уз постизање максималних економских и социјалних ефеката, између осталог, и кроз поновну употребу производа. Циљ 7 усмерен је на стварање услова за генерисање доступне и обновљиве енергије и промовисање обновљивих извора енергије и енергетске ефикасности. Инклузиван и одржив економски раст нужно се заснива на принципима ЦЕ и остварујe се кроз повећање продуктивности и подршку технолошким иновацијама којима се обезбеђују технолошки процеси уз чистију производњу (Циљеви 8 и 12). Остварење циља 11 (Одрживи градови и заједнице) засновано је на доследној примени концепта циркуларности кроз подршку примени енергетски ефикасних и еколошких мера у привреди и становању и усмерен је на заштиту, контролисано и одрживо коришћење природе, природних ресурса, природног и културног наслеђа. Прелазак на ЦЕ и увођење економски одрживих циркуларних пословних модела значајно доприноси борби за смањење GHG и достизању климатске неутралности до 2050. (Циљ 13) и заштите копненог биодиверзитета са циљем успоравања његовог губитка (Циљ 15).</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Република Србија је као чланица УН преузела обавезе из Агенде 2030, а у јулу 2019. године представила и први Добровољни национални извештај о примени Агенде 2030, који даје и корисне смернице у даљем процесу имплементације и њеног повезивања са поглављима у предприступним преговорима са ЕУ, односно прилагођавања националним приоритетима којима се постиже одрживо управљање и ефикасно коришћење природних ресурса.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2.4.2. Ранија ЕУ регулатива и стратегије у правцу одрживости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Директива 2014/95/ЕУ у погледу обелодањивања нефинансијских информација и политика различитости одређених великих предузећа и група</w:t>
      </w:r>
      <w:r w:rsidRPr="005761BD">
        <w:rPr>
          <w:rFonts w:ascii="Arial" w:eastAsia="Verdana" w:hAnsi="Arial" w:cs="Arial"/>
          <w:sz w:val="22"/>
        </w:rPr>
        <w:t xml:space="preserve">, </w:t>
      </w:r>
      <w:r w:rsidRPr="005761BD">
        <w:rPr>
          <w:rFonts w:ascii="Arial" w:eastAsia="Verdana" w:hAnsi="Arial" w:cs="Arial"/>
          <w:b/>
          <w:sz w:val="22"/>
        </w:rPr>
        <w:t>којом се мења Директива 2013/34/ЕУ</w:t>
      </w:r>
      <w:r w:rsidRPr="005761BD">
        <w:rPr>
          <w:rFonts w:ascii="Arial" w:eastAsia="Verdana" w:hAnsi="Arial" w:cs="Arial"/>
          <w:sz w:val="22"/>
        </w:rPr>
        <w:t xml:space="preserve">. Ступањем на снагу директиве, постигнута је уједначена законска регулатива унутар уније и шира упоредивост информација </w:t>
      </w:r>
      <w:r w:rsidRPr="005761BD">
        <w:rPr>
          <w:rFonts w:ascii="Arial" w:eastAsia="Verdana" w:hAnsi="Arial" w:cs="Arial"/>
          <w:sz w:val="22"/>
        </w:rPr>
        <w:lastRenderedPageBreak/>
        <w:t>о предузећима. Циљеви директиве су да ојача транспарентност и одговорност компанија, комбинујући дугорочну профитабилност са социјалном правдом и заштитом животне средине, да идентификује ризике одрживости и повећа поверење инвеститора и потрошача у јединствено тржиште ЕУ, да подигне на уједначен, висок ниво транспарентност социјалних питања и информација о животној средини предузећа у свим секторима у свим земљама чланицама ЕУ. Обвезници примене нових одредби су велика предузећа која представљају субјекте од јавног интереса и која запошљавају преко 500 радника. Мала и средња предузећа изузета су од нове обавезе извештавања. Процена је да ће ова Директива обухватити око 6.000 субјеката од јавног интереса у ЕУ.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Уредба (ЕУ) 2017/1369 о утврђивању оквира за означавање енергетске ефикасности и о стављању ван снаге Уредбе 2010/30/ЕУ, којом се успоставља оквир за означавање енергетске ефикасности за поједине врсте производа</w:t>
      </w:r>
      <w:r w:rsidRPr="005761BD">
        <w:rPr>
          <w:rFonts w:ascii="Arial" w:eastAsia="Verdana" w:hAnsi="Arial" w:cs="Arial"/>
          <w:sz w:val="22"/>
        </w:rPr>
        <w:t>. Нова уредба ЕУ предвиђа нову ознаку енергетске ефикасности, као и другачије обавезе у погледу означавања енергетске ефикасности.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Акциони план за циркуларну економију: За чистију и конкурентнију Европу</w:t>
      </w:r>
      <w:r w:rsidRPr="005761BD">
        <w:rPr>
          <w:rFonts w:ascii="Arial" w:eastAsia="Verdana" w:hAnsi="Arial" w:cs="Arial"/>
          <w:sz w:val="22"/>
        </w:rPr>
        <w:t xml:space="preserve"> (</w:t>
      </w:r>
      <w:r w:rsidRPr="005761BD">
        <w:rPr>
          <w:rFonts w:ascii="Arial" w:eastAsia="Verdana" w:hAnsi="Arial" w:cs="Arial"/>
          <w:i/>
          <w:sz w:val="22"/>
        </w:rPr>
        <w:t>The Circular Economy Action Plan II, For Cleaner and More Competitive Europe,</w:t>
      </w:r>
      <w:r w:rsidRPr="005761BD">
        <w:rPr>
          <w:rFonts w:ascii="Arial" w:eastAsia="Verdana" w:hAnsi="Arial" w:cs="Arial"/>
          <w:sz w:val="22"/>
        </w:rPr>
        <w:t xml:space="preserve"> COM/2020/98), који је Европска комисија усвојила у марту 2020. године, представља ажурирану основу за спровођење Европског зеленог договора. Акциони план се бави областима у којима се најделотворније може остварити додата вредност у постизању циљева циркуларности, као што је случај са грађевинским сектором, који последично изазива велику потрошњу електричне енергије и природних ресурса, ствара велике количине отпада и емитује гасове са ефектом стаклене баште. Посебну пажњу Акциони план посвећује и комуналном отпаду као и посебним токовима отпада. Акциони план предлаже ревизију ЕУ директива о батеријама, амбалажи, отпадним возилима и опасним супстанцама у електронској опреми с циљем спречавања настанка отпада, повећања рециклираног садржаја, промовисања сигурнијих и чистијих токова отпада, како би се до 2030. године значајно смањило укупно стварање отпада и преполовила количина преосталог (нерециклираног) комуналног отпада. У складу са Акционим планом, Европска комисија наставља да промовише принципе ЦЕ у процесу приступања Западног Балкана, а у контексту билатералних, регионалних и мултилатералних дијалога о политици, форумима и споразумима о животној средини. У 2018. години усвојен је пакет директива за циркуларну економију којим се прописују нови циљеви до 2035. године у области управљања отпадом. Овај пакет чине следеће директиве: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Директива 2018/851 ЕУ о изменама Директиве 2008/98/ЕС о отпаду;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Директива 2018/852 ЕУ о изменама Директиве 94/62/ЕС о амбалажи и амбалажном отпаду;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Директива ЕУ 2018/850 о изменама Директиве 1993/31/ЕС о депонијама;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Директива ЕУ 2018/849 о изменама Директива 2000/53/ЕC о отпадним возилима, 2006/66/ЕC о батеријама и акумулаторима и отпадним батеријама и акумулаторима и Директиве 2012/19/ЕУ о отпадној електричној и електронској опреми.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Кроз одредбе ових директива дефинисане су конкретне мере за промовисање поновне употребе и подстицање индустријске симбиозе; промоцију економских инструмената; методе обрачуна за стопе рециклаже; економске подстицаје за стављање</w:t>
      </w:r>
      <w:r>
        <w:rPr>
          <w:rFonts w:ascii="Arial" w:eastAsia="Verdana" w:hAnsi="Arial" w:cs="Arial"/>
          <w:sz w:val="22"/>
        </w:rPr>
        <w:t>,</w:t>
      </w:r>
      <w:r w:rsidRPr="005761BD">
        <w:rPr>
          <w:rFonts w:ascii="Arial" w:eastAsia="Verdana" w:hAnsi="Arial" w:cs="Arial"/>
          <w:sz w:val="22"/>
        </w:rPr>
        <w:t>,зелених</w:t>
      </w:r>
      <w:r>
        <w:rPr>
          <w:rFonts w:ascii="Arial" w:eastAsia="Verdana" w:hAnsi="Arial" w:cs="Arial"/>
          <w:sz w:val="22"/>
        </w:rPr>
        <w:t>"</w:t>
      </w:r>
      <w:r w:rsidRPr="005761BD">
        <w:rPr>
          <w:rFonts w:ascii="Arial" w:eastAsia="Verdana" w:hAnsi="Arial" w:cs="Arial"/>
          <w:sz w:val="22"/>
        </w:rPr>
        <w:t xml:space="preserve"> производа у продају и друго. Поред тога, до 31. децембра 2024. године прописана је обавеза успостављања шеме продужене одговорности произвођача за све врсте амбалаже.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Посебна пажња се посвећује превенцији настајања отпада, укључујући и спречавање настајања отпада од хране. Уводе се и важне одредбе у погледу унапређења квалитета секундарних сировина и њихове употребе, одвојеног сакупљања опасног отпада из домаћинстава, сакупљања биолошког и текстилног отпада, као и поновног искоришћења грађевинског отпада и отпада од рушења. Како би се принципи ЦЕ ефикасно спроводили, новим законодавством превиђена је шира употреба економских инструмената и других мера као подршка хијерархији управљања отпадом. Кључни елементи донети изменама директива су у погледу одређивања специфичних циљева које треба достићи на нивоу ЕУ: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Заједнички циљ ЕУ је да се до 2035. године припреми за поновну употребу и рециклира 65% масе комуналног отпада;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Успостављање одвојеног сaкупљањa барем за папир, метал, пластику и стакло, а најкасније до 1. јануара 2025. године за текстил;</w:t>
      </w:r>
    </w:p>
    <w:p w:rsidR="005761BD" w:rsidRPr="005761BD" w:rsidRDefault="005761BD" w:rsidP="005761BD">
      <w:pPr>
        <w:spacing w:line="210" w:lineRule="atLeast"/>
        <w:rPr>
          <w:rFonts w:ascii="Arial" w:hAnsi="Arial" w:cs="Arial"/>
        </w:rPr>
      </w:pPr>
      <w:r>
        <w:rPr>
          <w:rFonts w:ascii="Arial" w:eastAsia="Verdana" w:hAnsi="Arial" w:cs="Arial"/>
          <w:sz w:val="22"/>
        </w:rPr>
        <w:lastRenderedPageBreak/>
        <w:t>-</w:t>
      </w:r>
      <w:r w:rsidRPr="005761BD">
        <w:rPr>
          <w:rFonts w:ascii="Arial" w:eastAsia="Verdana" w:hAnsi="Arial" w:cs="Arial"/>
          <w:sz w:val="22"/>
        </w:rPr>
        <w:t xml:space="preserve"> Успостављање система разврставања грађевинског отпада барем за дрво, минералне фракције (бетон, цигла, плочице и керамика, камен), метал, стакло, пластика и гипс. Директива 2008/98/ЕС је прописала циљеве за припрему за поновно искоришћење и рециклажу неопасног грађевинског отпада од минимално 70% масе отпада које је требало достићи до 2020. године;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Заједнички циљ ЕУ за рециклажу амбалажног отпада је најмање 70% масеног удела од укупног амбалажног отпада до краја 2030. године;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Минимални циљеви према масеном уделу за рециклажу за следеће материјале садржане у амбалажном отпаду до краја 2030. године су: 55% пластике, 30% дрвета, 80% необојених метала, 75% стакла, 85% папира и картона;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Заједнички циљ ЕУ је да се количина комуналног отпада, одложеног на депоније, смањи на 10% или мање, од укупне количине (по маси) насталог комуналног отпада, до 2035. године.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2.4.3. Кључни документи у дефинисању ЕУ Зелене агенде и циркуларног приступа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Европска</w:t>
      </w:r>
      <w:r w:rsidRPr="005761BD">
        <w:rPr>
          <w:rFonts w:ascii="Arial" w:eastAsia="Verdana" w:hAnsi="Arial" w:cs="Arial"/>
          <w:sz w:val="22"/>
        </w:rPr>
        <w:t xml:space="preserve"> </w:t>
      </w:r>
      <w:r w:rsidRPr="005761BD">
        <w:rPr>
          <w:rFonts w:ascii="Arial" w:eastAsia="Verdana" w:hAnsi="Arial" w:cs="Arial"/>
          <w:b/>
          <w:sz w:val="22"/>
        </w:rPr>
        <w:t>стратегија за пластику у циркуларној економији</w:t>
      </w:r>
      <w:r w:rsidRPr="005761BD">
        <w:rPr>
          <w:rFonts w:ascii="Arial" w:eastAsia="Verdana" w:hAnsi="Arial" w:cs="Arial"/>
          <w:sz w:val="22"/>
        </w:rPr>
        <w:t xml:space="preserve">(COM/2018/028) према програму до 2030. године подстиче циркуларни приступ којим се даје предност рециклажи амбалаже од пластике. Ова стратегија поставила је основе за доношење Директиве о пластици за једнократну употребу (енгл. Single-Use Plastics Directive </w:t>
      </w:r>
      <w:r>
        <w:rPr>
          <w:rFonts w:ascii="Arial" w:eastAsia="Verdana" w:hAnsi="Arial" w:cs="Arial"/>
          <w:sz w:val="22"/>
        </w:rPr>
        <w:t>-</w:t>
      </w:r>
      <w:r w:rsidRPr="005761BD">
        <w:rPr>
          <w:rFonts w:ascii="Arial" w:eastAsia="Verdana" w:hAnsi="Arial" w:cs="Arial"/>
          <w:sz w:val="22"/>
        </w:rPr>
        <w:t xml:space="preserve"> SUPD, 2019/904), којом се уводе конкретне мере за смањење пластичног отпада и загађења животне средине. Програм препознаје проблематику пластике за једнократну употребу као приоритет и укључује мере које доприносе смањењу потрошње ових производа, увођењу алтернативних решења и унапређењу система сакупљања и рециклаже пластичног отпада. Ово се посебно односи на производе који најчешће завршавају у животној средини, као што су пластични прибор за јело, сламчице и амбалажа. На тај начин, Програм је усклађен са супституционим и рестриктивним захтевима SUPD директиве.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Директивом (ЕУ) 2019/904 о смањењу утицаја одређених пластичних производа на животну средину,</w:t>
      </w:r>
      <w:r w:rsidRPr="005761BD">
        <w:rPr>
          <w:rFonts w:ascii="Arial" w:eastAsia="Verdana" w:hAnsi="Arial" w:cs="Arial"/>
          <w:sz w:val="22"/>
        </w:rPr>
        <w:t xml:space="preserve"> ЕУ је показала одлучност да подстакне циркуларни приступ и да предност коришћењу одрживих и нетоксичних производа, који се могу поново употребити у односу на пластичне производе за једнократну употребу. За 11 врста пластичних производа предвиђене су различите обавезе: за неке постоји потпуна забрана производње и стављања на тржиште (једнократни штапићи за уши од пластике и једнократни прибор за јело од пластике, тањири, сламчице и штапићи за мешање пића), а за неке обавеза проналажења одрживијих алтернатива (пластични штапићи за балоне), док је за неке предвиђена обавеза произвођача да допринесу подизању јавне свести и сакупљању отпада насталих од ових производа (балони, пластичне вишекратне посуде за храну, поклопци и чепови на једнократној амбалажи за пиће, посуде за пиће, опушци од цигарета, лагане пластичне кесе, омоти од слаткиша и грицкалица, влажне марамице, једнократне пелене и други хигијенски производи, опрема за риболов).</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Уредба 2020/852 о успостављању оквира за олакшавање одрживих улагања (ЕУ таксономија) којом се мења Уредба (ЕУ) 2019/2088 о ЕУ таксономији</w:t>
      </w:r>
      <w:r w:rsidRPr="005761BD">
        <w:rPr>
          <w:rFonts w:ascii="Arial" w:eastAsia="Verdana" w:hAnsi="Arial" w:cs="Arial"/>
          <w:sz w:val="22"/>
        </w:rPr>
        <w:t>. ЕУ таксономија је опис економских активности са критеријумима успешности у остваривању шест циљева животне средине. У том смислу, Уредба о таксономији представља класификациони алат који даје јасне информације о одрживим инвестицијама и активностима и који помаже инвеститорима и компанијама да улажу у економске активности којима се врши прилагођавање климатским променама и не наноси штета циљевима у домену заштите животне средине. На основу овлашћења из Уредбе 2020/852 донетa је и делегирана Уредба Европске комисије о допуни Уредбе (ЕУ) 2020/852оутврђивању критеријума техничке провере на основу којих се одређује под којим условима се сматра да економска делатност знатно доприноси ублажавању климaтских промена, смањењу загађења, очувању и обнови екосистема (са табелама за извештавање о приходима, оперативним трошковима и капиталним издвајањима за прихватљиве/усклађене активности са Таксономијом).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Таксономија се примењује на: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Мере које су усвојиле државе чланице, а које прописују захтеве за учеснике на финансијским тржиштима или издаваоце, а везано за финансијске производе или корпоративне обвезнице које су издате као одрживе;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Учеснике на финансијским тржиштима који издају/нуде финансијске производе (портфолио менаџери, инвестиционе компаније и институционални инвеститори);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Привредна друштва која су обухваћена обавезом да објаве нефинансијски извештај или консолидовани нефинансијски извештај у складу са Директивом о нефинансијском извештавању и Директивом о извештавању о корпоративној одрживости.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Таксономија поставља шест циљева у области заштите животне средине које компаније морају да испуне да би се сматрале одрживим. То су: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Ублажавање климатских промена: активности које смањују емисије гасова стаклене баште и помажу у спречавању глобалног загревања;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Прилагођавање климатским променама: активности које помажу заједницама и екосистемима да се носе с ефектима климатских промена;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Одрживо коришћење и заштита водених и морских ресурса: активности које користе водене и морске ресурсе на начин који је одржив и штити животну средину;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Прелаз на циркуларну економију: активности које помажу у стварању одрживије економије смањењем отпада и загађења те повећањем употребе рециклираних материјала;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Спречавање и контрола загађења: активности које смањују загађење и штите здравље људи и животну средину;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Заштита и обнова биодиверзитета и екосистема: активности које помажу у очувању и обнови екосистема.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2.4.4. Новија стратешка документа и мере ЕУ у оквиру Зеленог договора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Европским зеленим договором</w:t>
      </w:r>
      <w:r w:rsidRPr="005761BD">
        <w:rPr>
          <w:rFonts w:ascii="Arial" w:eastAsia="Verdana" w:hAnsi="Arial" w:cs="Arial"/>
          <w:sz w:val="22"/>
        </w:rPr>
        <w:t xml:space="preserve"> (</w:t>
      </w:r>
      <w:r w:rsidRPr="005761BD">
        <w:rPr>
          <w:rFonts w:ascii="Arial" w:eastAsia="Verdana" w:hAnsi="Arial" w:cs="Arial"/>
          <w:i/>
          <w:sz w:val="22"/>
        </w:rPr>
        <w:t>The European Green Deal</w:t>
      </w:r>
      <w:r w:rsidRPr="005761BD">
        <w:rPr>
          <w:rFonts w:ascii="Arial" w:eastAsia="Verdana" w:hAnsi="Arial" w:cs="Arial"/>
          <w:sz w:val="22"/>
        </w:rPr>
        <w:t>,COM/2019/640), ЕУ се обавезала на испуњење циљева из Агенде 2030 и Париског споразума. Зелени договор је најављен као најамбициознији пакет мера како би Европа до 2050. године постала први климатски неутралан континент. Достизање циљева овог договора подразумева нову индустријску политику засновану на ЦЕ. Предвиђено је да се индустрија модернизује и да се развијају нова тржишта за климатски неутралне и циркуларне производе.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w:t>
      </w:r>
      <w:r>
        <w:rPr>
          <w:rFonts w:ascii="Arial" w:eastAsia="Verdana" w:hAnsi="Arial" w:cs="Arial"/>
          <w:b/>
          <w:sz w:val="22"/>
        </w:rPr>
        <w:t>,</w:t>
      </w:r>
      <w:r w:rsidRPr="005761BD">
        <w:rPr>
          <w:rFonts w:ascii="Arial" w:eastAsia="Verdana" w:hAnsi="Arial" w:cs="Arial"/>
          <w:b/>
          <w:sz w:val="22"/>
        </w:rPr>
        <w:t>,од њиве до трпезе</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(farm to fork) (COM/2020/381) се свеобухватно бави изазовима одрживог система исхране и препознаје нераскидиве везе између здравих људи, здравих друштава и здраве планете. Стратегија се бави одрживом пољопривредом и производњом хране, смањењем настајања отпада од хране, стварањем повољног прехрамбеног окружења које олакшава одабир здраве хране у циљу побољшања здравља и квалитета живота потрошача и помаже друштву да смањи трошкове повезане са здрављем.</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биоекономије</w:t>
      </w:r>
      <w:r w:rsidRPr="005761BD">
        <w:rPr>
          <w:rFonts w:ascii="Arial" w:eastAsia="Verdana" w:hAnsi="Arial" w:cs="Arial"/>
          <w:sz w:val="22"/>
        </w:rPr>
        <w:t xml:space="preserve"> (COM/2018/673) </w:t>
      </w:r>
      <w:r w:rsidRPr="005761BD">
        <w:rPr>
          <w:rFonts w:ascii="Arial" w:eastAsia="Verdana" w:hAnsi="Arial" w:cs="Arial"/>
          <w:i/>
          <w:sz w:val="22"/>
        </w:rPr>
        <w:t xml:space="preserve">A Sustainable Bioeconomy for Europe </w:t>
      </w:r>
      <w:r>
        <w:rPr>
          <w:rFonts w:ascii="Arial" w:eastAsia="Verdana" w:hAnsi="Arial" w:cs="Arial"/>
          <w:i/>
          <w:sz w:val="22"/>
        </w:rPr>
        <w:t>-</w:t>
      </w:r>
      <w:r w:rsidRPr="005761BD">
        <w:rPr>
          <w:rFonts w:ascii="Arial" w:eastAsia="Verdana" w:hAnsi="Arial" w:cs="Arial"/>
          <w:i/>
          <w:sz w:val="22"/>
        </w:rPr>
        <w:t xml:space="preserve"> strengtening the connection between economy, society and environment</w:t>
      </w:r>
      <w:r w:rsidRPr="005761BD">
        <w:rPr>
          <w:rFonts w:ascii="Arial" w:eastAsia="Verdana" w:hAnsi="Arial" w:cs="Arial"/>
          <w:sz w:val="22"/>
        </w:rPr>
        <w:t xml:space="preserve"> са својом системском перспективом, игра важну улогу у постизању климатске неутралности и еколошке, економске и социјалне одрживости. Прва Стратегија биоекономије у ЕУ усвојена је 2012. године под називом</w:t>
      </w:r>
      <w:r>
        <w:rPr>
          <w:rFonts w:ascii="Arial" w:eastAsia="Verdana" w:hAnsi="Arial" w:cs="Arial"/>
          <w:sz w:val="22"/>
        </w:rPr>
        <w:t>,</w:t>
      </w:r>
      <w:r w:rsidRPr="005761BD">
        <w:rPr>
          <w:rFonts w:ascii="Arial" w:eastAsia="Verdana" w:hAnsi="Arial" w:cs="Arial"/>
          <w:sz w:val="22"/>
        </w:rPr>
        <w:t>,Иновације за одрживи раст: биоекономија за Европу</w:t>
      </w:r>
      <w:r>
        <w:rPr>
          <w:rFonts w:ascii="Arial" w:eastAsia="Verdana" w:hAnsi="Arial" w:cs="Arial"/>
          <w:sz w:val="22"/>
        </w:rPr>
        <w:t>"</w:t>
      </w:r>
      <w:r w:rsidRPr="005761BD">
        <w:rPr>
          <w:rFonts w:ascii="Arial" w:eastAsia="Verdana" w:hAnsi="Arial" w:cs="Arial"/>
          <w:sz w:val="22"/>
        </w:rPr>
        <w:t>. Стратегија је имала за циљ да интензивира модернизацију традицоналних европских индустрија и предложи алтернативна решења за смањење употребе или замену коришћења производа заснованих на нафти, нафтним дериватима и природном гасу, као и замени фосилних горива биомасом. Стратегија из 2018. године усклађена је у целини са 17 ЦОР Агенде 2030. Приоритети Стратегије из 2018. су усмерени на подстицање истраживања и развој нових технологија и процеса заснованих на иновацијама, развој образовних курикулума о биоекономији, развој релевантних јавних политика, укључивање различитих привредних сектора у биоекономске пројекте и активности, интензивирање међусекторске сарадње и на унапређење тржишта и конкурентности у секторима који се заснивају на биомаси. Смернице које су наглашене у Стратегији биоекономије из 2018. године пренесене су у Европски зелени договор. На пример, заједничка подручја деловања у оба документа су подстицање улагања у еколошки прихватљиве технологије, развој иновација, увођење чистијих, јефтинијих и здравијих облика приватног и јавног превоза, декарбонизација енергетског сектора, повећавање енергетске ефикасности зграда и јачање међународне сарадње на унапређењу еколошких норми и стандарда.</w:t>
      </w:r>
      <w:r>
        <w:rPr>
          <w:rFonts w:ascii="Arial" w:eastAsia="Verdana" w:hAnsi="Arial" w:cs="Arial"/>
          <w:sz w:val="22"/>
        </w:rPr>
        <w:t xml:space="preserve">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Декларацијом о Зеленој агенди за Западни Балкан</w:t>
      </w:r>
      <w:r w:rsidRPr="005761BD">
        <w:rPr>
          <w:rFonts w:ascii="Arial" w:eastAsia="Verdana" w:hAnsi="Arial" w:cs="Arial"/>
          <w:sz w:val="22"/>
        </w:rPr>
        <w:t xml:space="preserve"> потписаној на Самиту у Софији 10. новембра 2020. године, Република Србија се обавезала да ће спроводити препоручене мере у пет области, међу којима је и циркуларна економија, са посебним освртом на отпад, рециклажу, одрживу производњу и ефикасну употребу ресурса. Ова декларација, као и Смернице за спровођење Зелене агенде за Западни Балкан (SWD/2020/223) треба да подстакну у земљама Западног Балкана прелазак са традиционалног модела на одрживу економију, док ће само спровођење мера бити подржано од ЕУ у складу са Економским и инвестиционим планом за Западни Балкан (COM/2020/641). У октобру 2021. године усвојен је и Акциони план за спровођење Зелене агенде за Западни Балкан који дефинише конкретних седам мера у оквиру области ЦЕ. Акционим планом се доприноси остваривању циљева Зелене агенде, утврђује начин за његово спровођење и дају се оквирни рокови за спровођење свих мера. Мере се односе на: унапређење одрживости примарне производње сировина (до краја 2030.), примењивање приступа индустријских екосистема да би се постигао избалансиран </w:t>
      </w:r>
      <w:r w:rsidRPr="005761BD">
        <w:rPr>
          <w:rFonts w:ascii="Arial" w:eastAsia="Verdana" w:hAnsi="Arial" w:cs="Arial"/>
          <w:sz w:val="22"/>
        </w:rPr>
        <w:lastRenderedPageBreak/>
        <w:t>и еколошки одржив економски опоравак (2025. године, кроз интеграцију циљева Индустријске стратегије за Европу), разрађивање стратегија ЦЕ посматрајући целокупан животни циклус производа (2023. године, кроз израду Мапа пута циркуларне економије), напредак у погледу инфраструктуре за управљање отпадом (до 2030. године, први извештајни период крај 2025. године), регионалне кампање за грађане о одрживој потрошњи, спречавању настанка отпада и примарној селекцији (2022. године), закључивање регионалног споразума о спречавању загађења пластиком (2022. године) и даља реализација стратегија паметне специјализације, агенде трансформације базиране на местима, вођене иновацијама, за одрживост (2024. године).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Стратегија за одрживост у области хемикалија</w:t>
      </w:r>
      <w:r w:rsidRPr="005761BD">
        <w:rPr>
          <w:rFonts w:ascii="Arial" w:eastAsia="Verdana" w:hAnsi="Arial" w:cs="Arial"/>
          <w:sz w:val="22"/>
        </w:rPr>
        <w:t xml:space="preserve"> (COM/2020/667) додатно се бави везом између ЕУ прописа о хемикалијама, производима и отпаду и јача синергију са циркуларном економијом. Стратегија је усмерена ка остварењу амбиције нултог загађења животне средине без токсичних материја која је утврђена у Европском зеленом договору. Стратегија у потпуности препознаје фундаменталну улогу хемикалија за добробит људи и за зелену и дигиталну транзицију европске економије и друштва. Истовремено истиче хитну потребу за решавањем здравствених и еколошких изазова узрокованих најопаснијим хемикалијама и предлаже активности којима ће се обезбедити боља заштита здравља људи и животне средине, као и подстаћи иновације у погледу безбедних и одрживих хемикалија.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Стратегија за одрживе и циркуларне текстилне производе </w:t>
      </w:r>
      <w:r w:rsidRPr="005761BD">
        <w:rPr>
          <w:rFonts w:ascii="Arial" w:eastAsia="Verdana" w:hAnsi="Arial" w:cs="Arial"/>
          <w:sz w:val="22"/>
        </w:rPr>
        <w:t>(COM/2022/141), намењена је спровођењу обавеза из Европског зеленог договора и новог Акционог плана за циркуларну економију. Стратегија је у целини заснована на концепту циркуларности током животног циклуса материјала и финалног текстилног производа, како би им се продужио животни циклус. Циљ стратегије је да се успостави усклађен оквир и визија за транзицију текстилног сектора како би до 2030. године текстилни производи, који се стављају на тржиште ЕУ били дуговечнији и већим делом израђени од рециклираних влакана, без опасних материја, уз могућност поновне употребе и да су произведени уз поштовање социјалних права радника и животне средине. Стратегија предвиђа заустављање уништавања непродатих или враћених текстилних производа кроз увођење транспарентности кретања производа, односно обавезу јавне објаве великих компанија о томе колики број производа одбацују и уништавају. Стратегија уводи обавезујуће захтеве за дизајн. Дигитални пасоши за текстилне производе ће од 2030. године пружати свеобухватни преглед животног циклуса производа (детаљи о производу, информације о ланцу снабдевања, подаци о материјалу, потрошња енергије, детаљи о животном циклусу производа, опције поправке и процена животног века, упутства за рециклирање, потенцијални сертификати за екологију или одрживост). Стратегија планира увођење проширене одговорности произвођача којом се подстиче поновна употреба и рециклажа текстилног отпада.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Индустријски план Европског зеленог договора (EU Green Deal Industrial Plan)</w:t>
      </w:r>
      <w:r w:rsidRPr="005761BD">
        <w:rPr>
          <w:rFonts w:ascii="Arial" w:eastAsia="Verdana" w:hAnsi="Arial" w:cs="Arial"/>
          <w:sz w:val="22"/>
        </w:rPr>
        <w:t>, који је усвојен 2023. године, подржава инвестиције у одрживе технологије и уводи подстицаје за развој зелено оријентисаних индустрија промовишући трансформацију традиционалних производних система у циркуларне, иновативне моделе. Посебан фокус стављен је на домаћу производњу уз примену најбољих доступних техника, дигитализацију, као и подршку стартаповима и малим и средњим предузећима која уводе еколошке иновације. Индустријски план Европског зеленог договора и циркуларна економија су дубоко повезани јер деле заједнички циљ: декарбонизацију индустрије и прелазак на одрживи економски модел заснован на ефикасном коришћењу ресурса.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2.4.5. Најновија ЕУ правна акта у функцији Зелене транзиције и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Директива (ЕУ) о извештавању о корпоративној одрживости 2022/2464,</w:t>
      </w:r>
      <w:r w:rsidRPr="005761BD">
        <w:rPr>
          <w:rFonts w:ascii="Arial" w:eastAsia="Verdana" w:hAnsi="Arial" w:cs="Arial"/>
          <w:sz w:val="22"/>
        </w:rPr>
        <w:t xml:space="preserve"> </w:t>
      </w:r>
      <w:r w:rsidRPr="005761BD">
        <w:rPr>
          <w:rFonts w:ascii="Arial" w:eastAsia="Verdana" w:hAnsi="Arial" w:cs="Arial"/>
          <w:b/>
          <w:sz w:val="22"/>
        </w:rPr>
        <w:t>којом се мења Уредба (EУ) 537/2014, Директива 2004/109, Директива 2006/43 и Директива 2013/34</w:t>
      </w:r>
      <w:r w:rsidRPr="005761BD">
        <w:rPr>
          <w:rFonts w:ascii="Arial" w:eastAsia="Verdana" w:hAnsi="Arial" w:cs="Arial"/>
          <w:sz w:val="22"/>
        </w:rPr>
        <w:t>, унапређује начин извештавања акционара, запослених, опште јавности и финансијских институција о утицају који компанија има на животну средину, посебно емисију гасова стаклене баште и утицају на биодиверзитет, утицају на друштвено окружење, као и о начину управљања компанијом. Ово извештавање се назива и ESG извештавање (Environmental, Social, Corporate Governance). ESG извештавање обухвата квалитативна обелодањивања везано за наведена три елемента, али и квантитативна мерења, као и поређење остварених перформанси компаније са претходно дефинисаним ESG ризицима, приликама и стратегијама. Разлог доношења ове директиве је непостојање структурисаних и детаљних смерница, стандарда и мерила којима би се постигла истинска ефикасност корпоративног извештавања и избегла манипулација информацијама. Обавеза извештавања се односи на широку листу великих компанија (преко 50.000 компанија) као и мала и средња предузећа која су основана у ЕУ и регистрована на берзи, а која су у обавези да извештавају на основу критеријума корпоративне одрживости. Обавеза извештавања се такође односи и на компаније које нису основане у ЕУ, али остварују приход од најмање 150 милиона евра на европском тржишту.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Директива (ЕУ) о зеленим тврдњама (Green Claims Directive, GCD) (COM/2023/166), </w:t>
      </w:r>
      <w:r w:rsidRPr="005761BD">
        <w:rPr>
          <w:rFonts w:ascii="Arial" w:eastAsia="Verdana" w:hAnsi="Arial" w:cs="Arial"/>
          <w:sz w:val="22"/>
        </w:rPr>
        <w:t xml:space="preserve">пружа додатну заштиту потрошачима, која је комплементарна већ усвојеној Директиви о оснаживању потрошача.Ова директива је у последњој фази усвајања и има за циљ да обезбеди ваљане, упоредиве и проверљиве информације о еколошким утицајима купљених производа. У последњих неколико година, пракса тзв. </w:t>
      </w:r>
      <w:r>
        <w:rPr>
          <w:rFonts w:ascii="Arial" w:eastAsia="Verdana" w:hAnsi="Arial" w:cs="Arial"/>
          <w:sz w:val="22"/>
        </w:rPr>
        <w:t>"</w:t>
      </w:r>
      <w:r w:rsidRPr="005761BD">
        <w:rPr>
          <w:rFonts w:ascii="Arial" w:eastAsia="Verdana" w:hAnsi="Arial" w:cs="Arial"/>
          <w:sz w:val="22"/>
        </w:rPr>
        <w:t>еко-манипулације</w:t>
      </w:r>
      <w:r>
        <w:rPr>
          <w:rFonts w:ascii="Arial" w:eastAsia="Verdana" w:hAnsi="Arial" w:cs="Arial"/>
          <w:sz w:val="22"/>
        </w:rPr>
        <w:t>"</w:t>
      </w:r>
      <w:r w:rsidRPr="005761BD">
        <w:rPr>
          <w:rFonts w:ascii="Arial" w:eastAsia="Verdana" w:hAnsi="Arial" w:cs="Arial"/>
          <w:sz w:val="22"/>
        </w:rPr>
        <w:t xml:space="preserve"> (енгл. greenwashing) довела је до неповерења потрошача у еколошке (зелене) тврдње компанија. Стога, ова директива има за циљ да адресира овај проблем и да омогући потрошачима да доносе информисане одлуке на основу валидних и проверених еколошких тврдњи које се односе на производ. Директива ће регулисати бројне еколошке ознаке које тренутно пружају информације о еколошким особинама производа или услуга, а њихова поузданост је сада веома ниска. Директива утврђује јасне критеријуме помоћу којих компаније доказују своје еколошке наводе и налаже да се ови наводи и ознаке морају проверити од стране независног и акредитованог верификатора. Усвајање ове директиве неће само заштити потрошаче и животну средину, већ ће и пружити конкурентску предност компанијама које су истински предане побољшању одрживог пословања.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Директива (ЕУ) 2024/83 о оснаживању потрошача за зелену транзицију бољом заштитом од непоштених пословних пракси и бољим информисањем,</w:t>
      </w:r>
      <w:r w:rsidRPr="005761BD">
        <w:rPr>
          <w:rFonts w:ascii="Arial" w:eastAsia="Verdana" w:hAnsi="Arial" w:cs="Arial"/>
          <w:sz w:val="22"/>
        </w:rPr>
        <w:t xml:space="preserve"> допуњава Директиву 2005/29/ЕЦ о непоштеној пословној пракси (UCPD) и Директиву 2011/83/ЕУ о правима потрошача (CRD). Директива квалификује као непоштене и обмањујуће пословне праксе све еколошке тврдње учесника на тржишту (нпр. ознаке одрживости, информације о сертификатима, признања за најбоље еколошке праксе) без јасне, објективне и проверљиве информације која документује те тврдње. Производи широм ЕУ ће имати усклађену ознаку с информацијама о комерцијалној гаранцији исправности. За производе са дигиталним елементима и за дигитални садржај и дигиталне услуге, потрошачи ће бити обавештени о томе колико дуго ће бити доступна ажурирања софтвера. Приликом куповине производа потрошачи такође морају бити обавештени да ли произвођач нуди гаранцију исправности дужу од тренутне двогодишње законске гаранције. Директива садржи обавезујућа усмерења која ће побољшати квалитет информација доступних потрошачима, како би они могли да доносу еколошки оправдане изборе засноване на принципима циркуларности.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Уредба (ЕУ) 2024/1781</w:t>
      </w:r>
      <w:r w:rsidRPr="005761BD">
        <w:rPr>
          <w:rFonts w:ascii="Arial" w:eastAsia="Verdana" w:hAnsi="Arial" w:cs="Arial"/>
          <w:sz w:val="22"/>
        </w:rPr>
        <w:t xml:space="preserve"> </w:t>
      </w:r>
      <w:r w:rsidRPr="005761BD">
        <w:rPr>
          <w:rFonts w:ascii="Arial" w:eastAsia="Verdana" w:hAnsi="Arial" w:cs="Arial"/>
          <w:b/>
          <w:sz w:val="22"/>
        </w:rPr>
        <w:t>која установљава оквир еколошког дизајна за одрживе производе</w:t>
      </w:r>
      <w:r w:rsidRPr="005761BD">
        <w:rPr>
          <w:rFonts w:ascii="Arial" w:eastAsia="Verdana" w:hAnsi="Arial" w:cs="Arial"/>
          <w:sz w:val="22"/>
        </w:rPr>
        <w:t xml:space="preserve"> </w:t>
      </w:r>
      <w:r w:rsidRPr="005761BD">
        <w:rPr>
          <w:rFonts w:ascii="Arial" w:eastAsia="Verdana" w:hAnsi="Arial" w:cs="Arial"/>
          <w:b/>
          <w:sz w:val="22"/>
        </w:rPr>
        <w:t>(ЕСПР)</w:t>
      </w:r>
      <w:r w:rsidRPr="005761BD">
        <w:rPr>
          <w:rFonts w:ascii="Arial" w:eastAsia="Verdana" w:hAnsi="Arial" w:cs="Arial"/>
          <w:sz w:val="22"/>
        </w:rPr>
        <w:t xml:space="preserve"> ступила је на снагу 18. јула 2024. године. Овом уредбом се мења Директива (ЕУ) 2020/1828, Уредба (ЕУ) 2023/1542 и ставља ван снаге Директива 2009/125/EC. ЕСПР је део пакета мера које су кључне за постизање циљева Акционог плана за циркуларну економију из 2020. године. Те мере ће допринети да ЕУ постигне своје еколошке и климатске циљеве, удвостручи стопу циркуларне употребе материјала и оствари своје циљеве енергетске ефикасности до 2030. године. ЕСПР предлаже 16 елемената еколошког дизајна, укључујући трајност производа, могућност рециклирања, енергетску ефикасност и утицај на животну средину, дефинисањем перформанси производа (угљенични отисак, еколошке карактеристике током животног циклуса). Специфични критеријуми дизајна ће се додатно уредити како би детаљније регулисали еко-дизајн за различите категорије производа као што су: текстил, намештај и електронски производи. ЕСПР предвиђа увођење дигиталног пасоша производа (ДПП) 2026. године, као јединственог механизма за дигитално прикупљање и дељење података о производу током читавог његовог животног циклуса. То укључује све податке, од производње преко дистрибуције па све до одлагања на крају животног века. Као одговор на расипање ресурса узроковано</w:t>
      </w:r>
      <w:r>
        <w:rPr>
          <w:rFonts w:ascii="Arial" w:eastAsia="Verdana" w:hAnsi="Arial" w:cs="Arial"/>
          <w:sz w:val="22"/>
        </w:rPr>
        <w:t>,</w:t>
      </w:r>
      <w:r w:rsidRPr="005761BD">
        <w:rPr>
          <w:rFonts w:ascii="Arial" w:eastAsia="Verdana" w:hAnsi="Arial" w:cs="Arial"/>
          <w:sz w:val="22"/>
        </w:rPr>
        <w:t>,брзом модом</w:t>
      </w:r>
      <w:r>
        <w:rPr>
          <w:rFonts w:ascii="Arial" w:eastAsia="Verdana" w:hAnsi="Arial" w:cs="Arial"/>
          <w:sz w:val="22"/>
        </w:rPr>
        <w:t>"</w:t>
      </w:r>
      <w:r w:rsidRPr="005761BD">
        <w:rPr>
          <w:rFonts w:ascii="Arial" w:eastAsia="Verdana" w:hAnsi="Arial" w:cs="Arial"/>
          <w:sz w:val="22"/>
        </w:rPr>
        <w:t xml:space="preserve"> и е-трговином, ЕСПР забрањује уништавање непродате одеће, обуће и друге робе такође од 2026. године. Од великих компанија ће се тражити да јавно објаве информације о располагању непродатом робом, средњим предузећима ће бити дат прелазни рок, а микро и мала предузећа ће бити изузета од овог захтева.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Осми акциони програм ЕУ за животну средину до 2030. године</w:t>
      </w:r>
      <w:r w:rsidRPr="005761BD">
        <w:rPr>
          <w:rFonts w:ascii="Arial" w:eastAsia="Verdana" w:hAnsi="Arial" w:cs="Arial"/>
          <w:sz w:val="22"/>
        </w:rPr>
        <w:t xml:space="preserve"> (DECISSION 2022/591/EU), ступио је на снагу 2. маја 2022. године. Овај програм донет је како би се убрзала зелена транзиција на правичан и инклузиван начин. Он садржи шест приоритетних циљева, од којих се кључна два односе на напредовање ка моделу регенеративног развоја, економском развоју који се не заснива на екстензивној употреби природних ресурса и деградацији животне средине и убрзање транзиције ка циркуларној економији, као и остварење циљева нултог загађења ваздуха, воде и тла и заштита здравља и добробити људи. Ови циљеви постављају основе за даљи развој политика Републике Србије у области циркуларне економије. У марту 2024. године спроведена је евалуација Акционог плана на средини програмског раздобља. Један од закључака односи се на постепено, али сигурно смањење емисије гасова са ефектом стаклене баште (GHG) за 32.5% у 2022. години, у поређењу са ефектима из деведесетих година. До краја програмског раздобља очекује се брже напредовање како би се остварили ЕУ циљеви смањења GHG емисије за 55% до 2030. године и достизања климатске неутралности до 2050. године. Република Србија је свој циљ смањења емисије гасова са ефектом стаклене баште за 2030. утврдила Интегрисаним националним енергетским и климатским планом за период до 2030. са визијом до 2050. године.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lastRenderedPageBreak/>
        <w:t>2.5. Идентификација и објашњење обима и природе проблема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2.5.1. Јавна свест и образовање као покретачи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широј јавности је у значајној мери препозната потреба за очувањем животне средине, али постоји јасан проблем недовољног разумевања концепта ЦЕ и њених конкретних друштвених, економских и развојних користи, као и чињеница да прелазак на ЦЕ може значајно допринети унапређењу квалитета живота, као и даљем напретку друштва у целини. Навике потрошача, систем вредности, начин размишљања и схватања још увек су засноване на линеарном потрошње, што указује на структурни проблем ниског нивоа јавне свести о улози појединаца у транзицији ка ЦЕ. Недостаје свест да сваки појединац променама у својој дневној рутини може да доприносе увођењу ЦЕ, што у пракси доводи до ограничене примене циркуларних решења ван институционалног и пројектног оквира. Уочава се недостатак системског приступа подизању свести код заинтересоване јавности (укључујући становништво, медије, представнике организација цивилног друштва и удружења потрошача и др.) који би пружио јасне информације о принципима ЦЕ и предностима које њено увођење доноси релевантним циљним групама. Последица оваквог стања је ограничен утицај јавних политика у области ЦЕ и спорија промена понашања потрошача, и ако транзиција ка ЦЕ захтева корените промене, не само у привреди већ и у потрошачким навикама. Развој свести о ЦЕ код шире јавности препознат је као неопходан предуслов за успешну примену мера и остваривање планираних ефеката Програма. При том, треба узети у обзир различитости између циљних група у широј јавности и прилагодити начин на који им се саопштавају релевантне информације тако да одговарају њиховим интересовањима, образовању и узрасту.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Посебан изазов представља недовољна интеграција образовног сектора у све аспекте зелене транзиције, иако успешна транзиција подразумева партнерски однос државних институција, научно-истраживачког сектора и привреде. Поред формалног образовања, и неформално образовање нуди адекватне програме у области ЦЕ (обуке, стручне радионице, трибине и слично), али уочен је неуједначени квалитет и недовољна усмереност ових програма ка конкретним потребама тржишта и јавних политика. које су од посебног значаја за укључивање шире јавности у процес транзиције. Код неформалног образовања, посебно је неопходно унапредити квалитет адекватних обука и тренинга у области економије, права и менаџмента (на пример, циркуларно финансирање, карбонско рачуноводство, управљање ризицима које са собом носе циркуларни пројекти, законска регулатива и друго), јер недостатак ових знања у пракси ограничава примену циркуларних пословних модела.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Неопходно је успоставити холистички, институционално подржан приступ у образовању, који поред укључивања различитих научних поља и дисциплина (мултидисциплинарност), подразумева и институционалну подршку надлежних организација </w:t>
      </w:r>
      <w:r>
        <w:rPr>
          <w:rFonts w:ascii="Arial" w:eastAsia="Verdana" w:hAnsi="Arial" w:cs="Arial"/>
          <w:sz w:val="22"/>
        </w:rPr>
        <w:t>-</w:t>
      </w:r>
      <w:r w:rsidRPr="005761BD">
        <w:rPr>
          <w:rFonts w:ascii="Arial" w:eastAsia="Verdana" w:hAnsi="Arial" w:cs="Arial"/>
          <w:sz w:val="22"/>
        </w:rPr>
        <w:t xml:space="preserve"> ресорних министарстава. Универзитети су, поред високошколског образовања, и центри за истраживање и иновације, и кроз научна истраживања могу допринети развоју нових технологија и стратегија у области ЦЕ, али је недостатак што овај потенцијал још увек није системски и у потпуности искоришћен у процесу креирања и спровођења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Према активностима које су планиране Програмом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реализоване су четири кампање усмерене ка промоцији ЦЕ на Универзитетима у Београду, Новом Саду, Нишу и Крагујевцу, у периоду од марта до јуна 2024. године. У склопу промотивних активности, представљени су и резултати</w:t>
      </w:r>
      <w:r>
        <w:rPr>
          <w:rFonts w:ascii="Arial" w:eastAsia="Verdana" w:hAnsi="Arial" w:cs="Arial"/>
          <w:sz w:val="22"/>
        </w:rPr>
        <w:t>,</w:t>
      </w:r>
      <w:r w:rsidRPr="005761BD">
        <w:rPr>
          <w:rFonts w:ascii="Arial" w:eastAsia="Verdana" w:hAnsi="Arial" w:cs="Arial"/>
          <w:sz w:val="22"/>
        </w:rPr>
        <w:t>,</w:t>
      </w:r>
      <w:r w:rsidRPr="005761BD">
        <w:rPr>
          <w:rFonts w:ascii="Arial" w:eastAsia="Verdana" w:hAnsi="Arial" w:cs="Arial"/>
          <w:i/>
          <w:sz w:val="22"/>
        </w:rPr>
        <w:t>Анализе стварног стања заступљености Циркуларне економије на универзитетима у Републици Србији</w:t>
      </w:r>
      <w:r>
        <w:rPr>
          <w:rFonts w:ascii="Arial" w:eastAsia="Verdana" w:hAnsi="Arial" w:cs="Arial"/>
          <w:i/>
          <w:sz w:val="22"/>
        </w:rPr>
        <w:t>"</w:t>
      </w:r>
      <w:r w:rsidRPr="005761BD">
        <w:rPr>
          <w:rFonts w:ascii="Arial" w:eastAsia="Verdana" w:hAnsi="Arial" w:cs="Arial"/>
          <w:sz w:val="22"/>
        </w:rPr>
        <w:t>, чему су присуствовали представници великог броја академских, истраживачких и стручних организација, као и представници удружења грађана. У наредном периоду неопходно је интегрисати аспекте ЦЕ у нове студијске програме у складу са Европским квалификационим оквиром (EQF) и Стратегијом ЕУ за зелену трансформацију. Такође, фокус треба ставити и на изградњу капацитета наставника, који ће моћи да пренесу мултидисциплинарна знања и да креирају образовне материјале у складу са најновијим научним и технолошким достигнућима. На овај начин се могу превазићи уочени структурни недостаци у образовном систему и обезбедити одржива подршка транзицији ка 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2.5.2. Локалне самоуправе као носиоци циркуларне трансформације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Локалне самоуправе представљају важне полуге за подстицање и регулисање преласка на ЦЕ. Улога локалних самоуправа је кључна за креирање одрживих заједница које ефикасно користе ресурсе и смањују негативан утицај на животну средину. Локалне самоуправе грађанима обезбеђују велики број услуга, почев од административних, преко комуналних (водоснабдевање, сакупљање отпадних вода, одношење отпада, даљинско грејање, пијачне услуге, јавни превоз и др.), до значајног дела услуга из социјалне сфере (нпр. култура и образовање), урбанистичког планирања и локалног економског развоја. У складу са надлежностима, локалне самоуправе имају могућност увођења и имплементације јавних политика и прописа као што су </w:t>
      </w:r>
      <w:r w:rsidRPr="005761BD">
        <w:rPr>
          <w:rFonts w:ascii="Arial" w:eastAsia="Verdana" w:hAnsi="Arial" w:cs="Arial"/>
          <w:sz w:val="22"/>
        </w:rPr>
        <w:lastRenderedPageBreak/>
        <w:t>планови којима се уређују питања урбаног развоја и изградње локалних самоуправа, управљања ресурсима или управљања отпадом. Због тога имају велики утицај на начин на који се планира и спроводи локални економски развој, врше јавне набавке, организује мобилност грађана и могућност да формирају окружење по мери грађана и животне средине. Кључни изазов се огледа у томе што ови инструменти у значајном броју јединица локалне самоуправе нису систематски усмерени ка циркуларним принципима, већ су и даље доминантно засновани на линеарном моделу развоја. Последица оваквог приступа је недовољно искоришћен потенцијал локалних самоуправа за уштеде ресурса, енергије и смањење негативних утицаја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Осим дефинисања јавних политика на локалном нивоу и успостављања правног оквира, локалне самоуправе треба да створе и обезбеде окружење у коме привреда и грађани имају интерес и мотивацију да дају допринос процесу преласка на ЦЕ. Међутим, у пракси је уочен недостатак ограничених институционалних и кадровских капацитета, као и недостатка финансијских и подстицајних механизама, што утиче на слабу мотивацију привреде и грађана да се укључе у циркуларне активности. У том циљу, локална самоуправа може да обезбеди одговарајуће подстицаје за привреду и за грађане, административна растерећења, пореске олакшице за рационално коришћење ресурса и спровођење активности које доприносе транзицији.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Такође, у складу са надлежностима у области образовања и подизања свести, локална самоуправа реализацијом едукативних програма и кампањама за јачање свести, може информисати грађане и предузећа о важности ЦЕ и начинима на које могу допринети транзицији. Проблем представља то што ове активности нису довољно системске, континуиране нити прилагођене различитим циљним групама, што доводи до ограниченог учешћа грађана и привреде у примени циркуларних пракси. Последица недовољног информисања и образовања је ниска свест о конкретним користима ЦЕ на локалном нивоу, што успорава њену практичну примену и смањује ефикасност локалних јавних политика.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Потенцијали за уштеду ресурса и енергије, као и смањење негативних утицаја на животну средину применом принципа ЦЕ у локалним самоуправама су велики. Међутим, у пракси ови потенцијали остају у великој мери неискоришћени, услед недовољне интеграције циркуларних принципа у локалне политике и планска документа. Да ли и у којој мери локална самоуправа може да искористи ове потенцијале зависи од тога у којој мери локална самоуправа користи расположиве механизме да подстакне и подржи процес транзиције ка ЦЕ. Недостатак стратешког приступа и дугорочног планирања представља један од кључних узрока ограничене примене ЦЕ на локалном нивоу. Стога је важно да доносиоци политичких одлука на локалном нивоу препознају конкретне користи од преласка на ЦЕ за локалну заједницу, привреду и грађане, као и да принципи ЦЕ постану део локалних политика и планских докумената.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Имајући у виду да у Републици Србији постоји 174 ЈЛС, идентификовани проблеми имају значајан обим и директно утичу на укупан темпо транзиције ка ЦЕ на националном нивоу. Последице оваквог стања огледају се у пропуштеним економским приликама, ограниченом развоју зелених радних места и недовољном доприносу локалних заједница остваривању климатских и развојних циљева.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2.5.3. Управљање отпадом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Имајући у виду изузетан значај управљања отпадом за даљи развој ЦЕ, у пракси је уочено да постојећи систем управљања отпадом у Републици Србији још увек није у довољној мери прилагођен циркуларним принципима, што ограничава ефикасно искоришћење отпада као ресурса и успорава транзицију ка ЦЕ. Кључна ограничења се односе на недовољну примену системских решења, неуједначене капацитете локалних самоуправа, као и на непотпуну функционалност инфраструктуре за одвојено сакупљање, сортирање и рециклажу отпада. Иако је Програм развоја циркуларне економије у Републици Србији за период 2022</w:t>
      </w:r>
      <w:r>
        <w:rPr>
          <w:rFonts w:ascii="Arial" w:eastAsia="Verdana" w:hAnsi="Arial" w:cs="Arial"/>
          <w:sz w:val="22"/>
        </w:rPr>
        <w:t>-</w:t>
      </w:r>
      <w:r w:rsidRPr="005761BD">
        <w:rPr>
          <w:rFonts w:ascii="Arial" w:eastAsia="Verdana" w:hAnsi="Arial" w:cs="Arial"/>
          <w:sz w:val="22"/>
        </w:rPr>
        <w:t>2024. године, препознао управљање отпадом као посебну област и дефинисао сет мера за њено унапређење, остали су присутни структурни и институционални изазови који утичу на обим, динамику и ефекте спровођења ових мера у пракси. Додатно, идентификована су ограничења у погледу одвојеног сакупљања, сортирања и рециклаже различитих токова отпада, као и недовољно развијени капацитети за третман посебних категорија отпада, укључујући опасни и индустријски отпад, текстил и отпад од хране. Ова стања указују на потребу за унапређењем инфраструктуре, јачањем кадровских и финансијских капацитета локалних самоуправа, као и усвајањем системских инструмената који омогућавају ефикасније управљање ресурсима у складу са циркуларним принципима.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Посебно треба издвојити да су у складу са наведеним извршена планирана унапређења законодавног оквира кроз измене и допуне одређених одредби Закона о управљању отпадом у 2023. години, чиме је створен правни основ за дефинисање критеријума и оцене усаглашености на основу којих поједине материје, </w:t>
      </w:r>
      <w:r w:rsidRPr="005761BD">
        <w:rPr>
          <w:rFonts w:ascii="Arial" w:eastAsia="Verdana" w:hAnsi="Arial" w:cs="Arial"/>
          <w:sz w:val="22"/>
        </w:rPr>
        <w:lastRenderedPageBreak/>
        <w:t>предмети или врсте отпада могу постати нуспроизводи или им престаје статус отпада, као и ефикаснијег функционисања одговарајућих регистара које води надлежни орган, чиме се значајно доприноси њиховом искоришћењу као ресурса. У вези са тим унапређени су следећи подзаконски акти: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врстама отпада за које се може поднети захтев, дозвољеним поступцима и технологијама третмана за врсте отпада и другим посебним елементима за одређивање престанка статуса отпада (,,Службени гласник РС</w:t>
      </w:r>
      <w:r>
        <w:rPr>
          <w:rFonts w:ascii="Arial" w:eastAsia="Verdana" w:hAnsi="Arial" w:cs="Arial"/>
          <w:sz w:val="22"/>
        </w:rPr>
        <w:t>"</w:t>
      </w:r>
      <w:r w:rsidRPr="005761BD">
        <w:rPr>
          <w:rFonts w:ascii="Arial" w:eastAsia="Verdana" w:hAnsi="Arial" w:cs="Arial"/>
          <w:sz w:val="22"/>
        </w:rPr>
        <w:t>, бр. 19/24 и 47/24);</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Правилник о критеријумима за одређивање нуспроизвода и обрасцу извештаја о нуспроизводима, начину и роковима за његово достављање (,,Службени гласник РС</w:t>
      </w:r>
      <w:r>
        <w:rPr>
          <w:rFonts w:ascii="Arial" w:eastAsia="Verdana" w:hAnsi="Arial" w:cs="Arial"/>
          <w:sz w:val="22"/>
        </w:rPr>
        <w:t>"</w:t>
      </w:r>
      <w:r w:rsidRPr="005761BD">
        <w:rPr>
          <w:rFonts w:ascii="Arial" w:eastAsia="Verdana" w:hAnsi="Arial" w:cs="Arial"/>
          <w:sz w:val="22"/>
        </w:rPr>
        <w:t>, бр. 76/19, 95/22 и 29/24).</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Планирана мера подршке грађевинском сектору у развоју система управљања отпадом од грађења и рушења остварена је прописивањем одредбе у Закону о управљању отпадом којом се ова врсте отпада сврстава у посебне токове, а након тога усвајањем Уредбе о начину и поступку управљања отпадом од грађења и рушења (,,Службени гласник РС</w:t>
      </w:r>
      <w:r>
        <w:rPr>
          <w:rFonts w:ascii="Arial" w:eastAsia="Verdana" w:hAnsi="Arial" w:cs="Arial"/>
          <w:sz w:val="22"/>
        </w:rPr>
        <w:t>"</w:t>
      </w:r>
      <w:r w:rsidRPr="005761BD">
        <w:rPr>
          <w:rFonts w:ascii="Arial" w:eastAsia="Verdana" w:hAnsi="Arial" w:cs="Arial"/>
          <w:sz w:val="22"/>
        </w:rPr>
        <w:t xml:space="preserve">, бр. 93/23 и 94/23 </w:t>
      </w:r>
      <w:r>
        <w:rPr>
          <w:rFonts w:ascii="Arial" w:eastAsia="Verdana" w:hAnsi="Arial" w:cs="Arial"/>
          <w:sz w:val="22"/>
        </w:rPr>
        <w:t>-</w:t>
      </w:r>
      <w:r w:rsidRPr="005761BD">
        <w:rPr>
          <w:rFonts w:ascii="Arial" w:eastAsia="Verdana" w:hAnsi="Arial" w:cs="Arial"/>
          <w:sz w:val="22"/>
        </w:rPr>
        <w:t xml:space="preserve"> исправка). Поред тога припремљен је и Приручник о правилном поступању са отпадом од грађења и рушења. Реализацијом ових активности створен је основ за повећање степена рециклаже неопасног грађевинског отпада и његовог ефикаснијег коришћења као ресурса, односно планираном успостављању мреже постројења за рециклирање неопасног отпада од грађења и рушења у складу са Акционим планом за период 2022 </w:t>
      </w:r>
      <w:r>
        <w:rPr>
          <w:rFonts w:ascii="Arial" w:eastAsia="Verdana" w:hAnsi="Arial" w:cs="Arial"/>
          <w:sz w:val="22"/>
        </w:rPr>
        <w:t>-</w:t>
      </w:r>
      <w:r w:rsidRPr="005761BD">
        <w:rPr>
          <w:rFonts w:ascii="Arial" w:eastAsia="Verdana" w:hAnsi="Arial" w:cs="Arial"/>
          <w:sz w:val="22"/>
        </w:rPr>
        <w:t xml:space="preserve"> 2024. године за спровођење Програма управљања отпадом у Републици Србији за период 2022 </w:t>
      </w:r>
      <w:r>
        <w:rPr>
          <w:rFonts w:ascii="Arial" w:eastAsia="Verdana" w:hAnsi="Arial" w:cs="Arial"/>
          <w:sz w:val="22"/>
        </w:rPr>
        <w:t>-</w:t>
      </w:r>
      <w:r w:rsidRPr="005761BD">
        <w:rPr>
          <w:rFonts w:ascii="Arial" w:eastAsia="Verdana" w:hAnsi="Arial" w:cs="Arial"/>
          <w:sz w:val="22"/>
        </w:rPr>
        <w:t xml:space="preserve"> 2031. године (,,Службени гласник РС</w:t>
      </w:r>
      <w:r>
        <w:rPr>
          <w:rFonts w:ascii="Arial" w:eastAsia="Verdana" w:hAnsi="Arial" w:cs="Arial"/>
          <w:sz w:val="22"/>
        </w:rPr>
        <w:t>"</w:t>
      </w:r>
      <w:r w:rsidRPr="005761BD">
        <w:rPr>
          <w:rFonts w:ascii="Arial" w:eastAsia="Verdana" w:hAnsi="Arial" w:cs="Arial"/>
          <w:sz w:val="22"/>
        </w:rPr>
        <w:t>, број 12/22).</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Планиране активности које су усмерене на реализацију мере подршке за унапређење система управљања храном, вишковима хране и отпадом од хране у контексту циркуларне економије су реализоване. У том погледу, током 2024. године, реализован је пилот пројекат</w:t>
      </w:r>
      <w:r>
        <w:rPr>
          <w:rFonts w:ascii="Arial" w:eastAsia="Verdana" w:hAnsi="Arial" w:cs="Arial"/>
          <w:sz w:val="22"/>
        </w:rPr>
        <w:t>,</w:t>
      </w:r>
      <w:r w:rsidRPr="005761BD">
        <w:rPr>
          <w:rFonts w:ascii="Arial" w:eastAsia="Verdana" w:hAnsi="Arial" w:cs="Arial"/>
          <w:sz w:val="22"/>
        </w:rPr>
        <w:t>,Отпад од хране за зелену енергију</w:t>
      </w:r>
      <w:r>
        <w:rPr>
          <w:rFonts w:ascii="Arial" w:eastAsia="Verdana" w:hAnsi="Arial" w:cs="Arial"/>
          <w:sz w:val="22"/>
        </w:rPr>
        <w:t>"</w:t>
      </w:r>
      <w:r w:rsidRPr="005761BD">
        <w:rPr>
          <w:rFonts w:ascii="Arial" w:eastAsia="Verdana" w:hAnsi="Arial" w:cs="Arial"/>
          <w:sz w:val="22"/>
        </w:rPr>
        <w:t>, намењен HORECA сектору у који су били укључени ресторани и хотели: Сrown plaza, Radison Collection, као и Сава Центар, кроз одвојено прикупљање отпада од хране, како у току припреме оброка, тако и отпада од хране након конзумирања. Сав прикупљени отпад од хране је преузео Есотрон, оператер који управља биогасним постројењем. У току три месеца издвојено је и упућено на третман 24 тоне отпада од хране. Резултати указују да у наредном планском периоду треба интензивирати активности у вези ове врсте отпада у погледу унапређења законодавног оквира са фокусом на превенцију настајања отпада пре свега у овом сектору.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Важно је нагласити да су одређене активности у области управљања отпадом реализоване и кроз друге посебне циљеве Програма развоја циркуларне економије у Републици Србији, што се пре свега може истаћи кроз подршку локалним самоуправама током израде локалних мапа пута ЦЕ за изабране ЈЛС које су без изузетка препознале управљање отпадом као приоритетну активност за развој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Више промотивно-едукативних активности је реализовано у циљу унапређења управљања отпадом попут: Панел дискусија, Решавање проблема паљења секундарних сировина, Унапређење регулативе у области нуспроизвода и престанка статуса отпада, Самит ЦЕ Западног Балкана, Циркуларни СТЕП дијалог о регионалној политици, Интегрисање циљева ЦЕ у локалне планове управљања отпадом-изазови и могућа решења, Радионица о донацији хране и превенција настанка отпада од хране, Унапређење регулативе у области нуспроизвода и престанка статуса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Додатно, у претходном планском периоду, Министарство заштите животне средине у партнерству са УНДП реализује неколико пројеката попут:</w:t>
      </w:r>
      <w:r>
        <w:rPr>
          <w:rFonts w:ascii="Arial" w:eastAsia="Verdana" w:hAnsi="Arial" w:cs="Arial"/>
          <w:sz w:val="22"/>
        </w:rPr>
        <w:t>,</w:t>
      </w:r>
      <w:r w:rsidRPr="005761BD">
        <w:rPr>
          <w:rFonts w:ascii="Arial" w:eastAsia="Verdana" w:hAnsi="Arial" w:cs="Arial"/>
          <w:sz w:val="22"/>
        </w:rPr>
        <w:t xml:space="preserve">,Смањење угљеничног отиска локалних заједница применом принципа циркуларне економије у Републици Србији </w:t>
      </w:r>
      <w:r>
        <w:rPr>
          <w:rFonts w:ascii="Arial" w:eastAsia="Verdana" w:hAnsi="Arial" w:cs="Arial"/>
          <w:sz w:val="22"/>
        </w:rPr>
        <w:t>-</w:t>
      </w:r>
      <w:r w:rsidRPr="005761BD">
        <w:rPr>
          <w:rFonts w:ascii="Arial" w:eastAsia="Verdana" w:hAnsi="Arial" w:cs="Arial"/>
          <w:sz w:val="22"/>
        </w:rPr>
        <w:t xml:space="preserve"> Циркуларне заједнице</w:t>
      </w:r>
      <w:r>
        <w:rPr>
          <w:rFonts w:ascii="Arial" w:eastAsia="Verdana" w:hAnsi="Arial" w:cs="Arial"/>
          <w:sz w:val="22"/>
        </w:rPr>
        <w:t>"</w:t>
      </w:r>
      <w:r w:rsidRPr="005761BD">
        <w:rPr>
          <w:rFonts w:ascii="Arial" w:eastAsia="Verdana" w:hAnsi="Arial" w:cs="Arial"/>
          <w:sz w:val="22"/>
        </w:rPr>
        <w:t>, уз финансијску подршку Глобалног фонда за животну средину (ГЕФ), као и</w:t>
      </w:r>
      <w:r>
        <w:rPr>
          <w:rFonts w:ascii="Arial" w:eastAsia="Verdana" w:hAnsi="Arial" w:cs="Arial"/>
          <w:sz w:val="22"/>
        </w:rPr>
        <w:t>,</w:t>
      </w:r>
      <w:r w:rsidRPr="005761BD">
        <w:rPr>
          <w:rFonts w:ascii="Arial" w:eastAsia="Verdana" w:hAnsi="Arial" w:cs="Arial"/>
          <w:sz w:val="22"/>
        </w:rPr>
        <w:t>,ЕУ за Зелену агенду у Србији</w:t>
      </w:r>
      <w:r>
        <w:rPr>
          <w:rFonts w:ascii="Arial" w:eastAsia="Verdana" w:hAnsi="Arial" w:cs="Arial"/>
          <w:sz w:val="22"/>
        </w:rPr>
        <w:t>"</w:t>
      </w:r>
      <w:r w:rsidRPr="005761BD">
        <w:rPr>
          <w:rFonts w:ascii="Arial" w:eastAsia="Verdana" w:hAnsi="Arial" w:cs="Arial"/>
          <w:sz w:val="22"/>
        </w:rPr>
        <w:t>. Више активности је имало за циљ унапређење концепта циркуларности и подстицање иновативности за одрживо управљање отпадом, као и пружање подршке удружењима и неформалним сакупљачима секундарних сировина.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Нажалост, у претходном периоду неке од кључних системских промена нису спроведене. Системски организовано одвојено сакупљање, сортирање и рециклажа комуналног отпада није успостављено. Иако је примарна сепарација у Републици Србији утврђена законом, одвојено сакупљање у пракси функционише спорадично у мањем броју ЈЛС.</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Инфраструктурни систем за рециклажу није уравнотежен. Мрежа за одвојено сакупљање отпада није довољно развијена у односу на постојеће капацитете за рециклажу. Према последњим подацима Агенције за заштиту животне средине</w:t>
      </w:r>
      <w:r w:rsidRPr="005761BD">
        <w:rPr>
          <w:rFonts w:ascii="Arial" w:eastAsia="Verdana" w:hAnsi="Arial" w:cs="Arial"/>
          <w:sz w:val="22"/>
          <w:vertAlign w:val="superscript"/>
        </w:rPr>
        <w:t>20</w:t>
      </w:r>
      <w:r w:rsidRPr="005761BD">
        <w:rPr>
          <w:rFonts w:ascii="Arial" w:eastAsia="Verdana" w:hAnsi="Arial" w:cs="Arial"/>
          <w:sz w:val="22"/>
        </w:rPr>
        <w:t xml:space="preserve"> у 2023. години је рециклирано 15,5% од укупно генерисаног комуналног отпада. Процена је да ЈЛС у томе учествују са само 3%, док све остале рециклиране количине потичу од неформалног сектора. Већина ЈЛС није увела систем примарне селекције отпада због недостатка техничких, људских и финансијских </w:t>
      </w:r>
      <w:r w:rsidRPr="005761BD">
        <w:rPr>
          <w:rFonts w:ascii="Arial" w:eastAsia="Verdana" w:hAnsi="Arial" w:cs="Arial"/>
          <w:sz w:val="22"/>
        </w:rPr>
        <w:lastRenderedPageBreak/>
        <w:t>капацитета, као и због непостојања стратешких докумената и механизама за спровођење законских обавеза у овој области.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2023. години, од укупно произведених приближно 3,10 милиона тона комуналног отпада, 45,20% је чинио биоразградиви отпад, док је степен рециклаже биоотпада износио 1,73 kg/становнику.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Према проценама, у Републици Србији се годишње баци око 250.000 тона хране, што је између 30 и 40 килограма по становнику годишње. Процењује се да само сектор угоститељства годишње генерише око 40.000 тона отпада од хране, који по прописима није дозвољен за употребу и није дозвољен ни за људску ни животињску исхрану. Овај отпад се меша са комуналним отпадом и значајно утиче на повећање процентуалног удела биоразградивог отпада, чије искоришћење је веома ниско. У пракси систем управљања вишковима хране, који би подстакао преусмеравање непродате хране хуманитарним организацијама, још увек није довољно развијен, а пореске олакшице за донирану храну не постоје. Донирана храна подлеже порезу на додату вредност (20%), што демотивише све у ланцу снабдевања храном да донирају. Непродата храна којој истиче рок трајања из трговинских ланаца углавном се не сакупља одвојено, како би се адекватно третирала у складу са Програмом управљања отпадом у Републици Србији за период 2022 </w:t>
      </w:r>
      <w:r>
        <w:rPr>
          <w:rFonts w:ascii="Arial" w:eastAsia="Verdana" w:hAnsi="Arial" w:cs="Arial"/>
          <w:sz w:val="22"/>
        </w:rPr>
        <w:t>-</w:t>
      </w:r>
      <w:r w:rsidRPr="005761BD">
        <w:rPr>
          <w:rFonts w:ascii="Arial" w:eastAsia="Verdana" w:hAnsi="Arial" w:cs="Arial"/>
          <w:sz w:val="22"/>
        </w:rPr>
        <w:t xml:space="preserve"> 2031. године, већ се одбацује у токове мешаног комуналног отпада. Едукација свих актера у ланцу снабдевања храном, као и потрошача о значају смањења расипања хране је на почетном нивоу.</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20 Извештај о управљању отпадом у Републици Србији 2011 -2023,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Систем за управљање посебним токовима отпада, у складу са захтевима ЕУ, делимично је успостављен на основу постојећих законских и подзаконских прописа. Међутим, систем сакупљања отпадних аутомобилских гума из домаћинстава, одвојеног сакупљања истрошених батерија и акумулатора из домаћинстава, као и одвојеног сакупљања отпадног моторног уља није успостављен од стране локалних самоуправа. Систем за организовано сакупљање отпада од електричне и електронске опреме из домаћинстава успостављен од стране локалних самоуправа, осим спорадично. Иако су јединице локалне самоуправе дужне да организују одвојено сакупљање отпада и успоставе учесталост сакупљања отпада за рециклабилне производе (папир, метал, пластику и стакло), систем одвојеног сакупљања амбалажног отпада из домаћинстава није проширен на читаву земљу. Капацитети за одвојено сакупљање и рециклажу отпада из посебних токова нису довољно развијени. До сада није успостављен систем сакупљања опасног отпада из домаћинстава, већ се он меша са комуналним отпадом и одлаже на депоније.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Од кључног је значаја да компанија која је одговорна за поновну прераду материјала из отпада у нову сировину и даље стављање у промет те сировине, обезбеди да исте не садрже нежељене и опасне хемијске супстанце. Тако на пример, садржај одређених веома опасних супстанци (нпр. полибромовани дифенил етри тзв. успоривачи горења, олово, и др.) у појединим компонентама отпада од електричних и електронских уређаја мора бити испитан, јер од њиховог присуства и концентрaције зависи да ли се овај отпад може рециклирати. Такође, треба имати у виду да нежељене хемикалије у циркуларном току могу бити и оне хемикалије које немају изразито опасна својства по здравље људи и животну средину, али чије присуство у рециклираном материјалу може утицати на применска својства и квалитет новог производа (нпр. хемикалије које утичу на боју, мирис или чврстоћу новопроизведених материјала). С тим у вези, посебна пажња мора се обратити на могуће присуство нежељених или опасних хемикалија које треба уклонити из циркуларног тока материјала, јер оне могу да ремете рециклажни поступак и негативно утицати на квалитет и безбедност финалног производа од рециклираног материјала. Недостатак знања, инструмената за испитивање и/или усвојених техника за одвајање оваквих хемикалија може бити проблем који је потребно решити како би се искористиле све предности рециклаже, али и избегле нежељене последице рециклаже неадекватних материјала.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Одвојено прикупљање и сортирање материјала такође играју важну улогу у обезбеђивању квалитета и састава рециклираног материјала, односно сировине. Један од начина да се обезбеди следљивост и одржи адекватан квалитет рециклираног материјала у погледу састава је спровођење циркуларног тока материјала, у коме се одређени производи сакупљају као одвојени токови отпада, а затим се рециклирани материјал уграђује у нове верзије истог производа или нове производе са сличном вредношћу. На тај начин се избегава мешање отпадних материјала са различитим саставом и својствима и спречава да рециклат који би могао имати идеалан састав за одређену врсту производа, на пример, материјал за паковање хране, мешањем са другим материјалима контаминира и постаје неупотребљив као рециклирани материјал, ни као амбалажа за храну.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Поред тога, у комбинацији са традиционалним физичким и механичким методама рециклаже, коришћење нових рециклажних техника заснованих на хемијским процесима (попут пиролизе) може додатно да ојача циркуларни ток материјала. Наиме, увођење хемијске рециклаже где је то исплативо, нарочито за отпад од полимерних материјала попут пластике, има велики потенцијал да повећа проценат рециклаже и побољша циркуларне токове и допринесе одрживом коришћењу природних ресурса, јер омогућава да се рециклирају и уведу у циркуларне токове и компоненте отпада који није погодан за рециклажу физичким и механичким методама.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току 2023. године укупна количина генерисаног неопасног грађевинског отпада и отпада од грађења и рушења износила је 302.615 тона, а од тога је 10.830 тона био опасан отпад. Управљање отпадом од грађења и рушења регулисано је Уредбом о управљању отпадом од грађења и рушења и имплементација прописа је тек на почетку, односно систем одвојеног сакупљања отпада од грађења и рушења још није успостављен. Количина генерисаног неопасног грађевинског и индустријског отпада може се значајно смањити кроз његово укључивање у друге производне процесе, као сировина за изградњу путева, бетонске елементе или изолационе материјале, чиме се подстиче индустријска симбиоза и смањује потреба за природним ресурсима.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Тренд повећања количине депонованог отпада на санитарним депонијама је приметан, почев до 2021. године због отварања нове регионалне санитарне депоније Винча. На дванаест санитарних депонија у 2023. години је одложено 1,20 милиона тона комуналног отпада чиме је обухваћено 42% становника. И поред оваквог напретка у приступачности санитарним депонијама, и даље се знатна количина отпада одлаже на несанитарне и дивље депоније.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приватном сектору постоји неколико постројења која врше третман опасног отпада и имају одговарајуће дозволе, како би вршиле третман опасног отпада, као и постројења чија се изградња планира. Недостају капацитети за инсинерацију органског, индустријског и медицинског отпада. Коначно, до сада није успостављен систем сакупљања опасног отпада из домаћинстава, већ се он меша са комуналним отпадом и одлаже на депоније.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Систем издвајања отпадног текстила, пореклом из индустрије и комуналног отпада, није успостављен. Текстилни отпад од потрошача у највећем проценту се налази у мешаном комуналном отпаду који се одлаже. Као један од циљева у складу са европским захтевима који је дефинисан у Програму управљања отпадом у Републици Србији за период 2022</w:t>
      </w:r>
      <w:r>
        <w:rPr>
          <w:rFonts w:ascii="Arial" w:eastAsia="Verdana" w:hAnsi="Arial" w:cs="Arial"/>
          <w:sz w:val="22"/>
        </w:rPr>
        <w:t>-</w:t>
      </w:r>
      <w:r w:rsidRPr="005761BD">
        <w:rPr>
          <w:rFonts w:ascii="Arial" w:eastAsia="Verdana" w:hAnsi="Arial" w:cs="Arial"/>
          <w:sz w:val="22"/>
        </w:rPr>
        <w:t>2031. године, односи се на унапређен систем управљања комуналним отпадом кроз повећану стопу рециклаже, смањено одлагање биоразградивог отпада на депоније и смањено одлагање отпада на несанитарне депоније, је и успостављање одвојеног сакупљања макар папира, метала, стакла, пластике и текстила до 2029. године у нашој земљи.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Узимајући у обзир да је у Републици Србији тзв. базна текстилна индустрија није развијена, те да се текстилне сировине углавном увозе, за процену генерисаног индустријског текстилног отпада узима се да се стандардно током производње одбаци између 10</w:t>
      </w:r>
      <w:r>
        <w:rPr>
          <w:rFonts w:ascii="Arial" w:eastAsia="Verdana" w:hAnsi="Arial" w:cs="Arial"/>
          <w:sz w:val="22"/>
        </w:rPr>
        <w:t>-</w:t>
      </w:r>
      <w:r w:rsidRPr="005761BD">
        <w:rPr>
          <w:rFonts w:ascii="Arial" w:eastAsia="Verdana" w:hAnsi="Arial" w:cs="Arial"/>
          <w:sz w:val="22"/>
        </w:rPr>
        <w:t>15% материјала. Према последњим проценама које су извршене за 2018. годину, може се закључити да се у Републици Србији генерише између 6.000</w:t>
      </w:r>
      <w:r>
        <w:rPr>
          <w:rFonts w:ascii="Arial" w:eastAsia="Verdana" w:hAnsi="Arial" w:cs="Arial"/>
          <w:sz w:val="22"/>
        </w:rPr>
        <w:t>-</w:t>
      </w:r>
      <w:r w:rsidRPr="005761BD">
        <w:rPr>
          <w:rFonts w:ascii="Arial" w:eastAsia="Verdana" w:hAnsi="Arial" w:cs="Arial"/>
          <w:sz w:val="22"/>
        </w:rPr>
        <w:t>9.500 тона индустријског текстилног отпада годишње. У Републици Србији само једно предузеће има комплетан погон за сортирање и рециклажу текстилног отпада, то је</w:t>
      </w:r>
      <w:r>
        <w:rPr>
          <w:rFonts w:ascii="Arial" w:eastAsia="Verdana" w:hAnsi="Arial" w:cs="Arial"/>
          <w:sz w:val="22"/>
        </w:rPr>
        <w:t>,</w:t>
      </w:r>
      <w:r w:rsidRPr="005761BD">
        <w:rPr>
          <w:rFonts w:ascii="Arial" w:eastAsia="Verdana" w:hAnsi="Arial" w:cs="Arial"/>
          <w:sz w:val="22"/>
        </w:rPr>
        <w:t>,Филц и језгро</w:t>
      </w:r>
      <w:r>
        <w:rPr>
          <w:rFonts w:ascii="Arial" w:eastAsia="Verdana" w:hAnsi="Arial" w:cs="Arial"/>
          <w:sz w:val="22"/>
        </w:rPr>
        <w:t>"</w:t>
      </w:r>
      <w:r w:rsidRPr="005761BD">
        <w:rPr>
          <w:rFonts w:ascii="Arial" w:eastAsia="Verdana" w:hAnsi="Arial" w:cs="Arial"/>
          <w:sz w:val="22"/>
        </w:rPr>
        <w:t>, из Варварина.</w:t>
      </w:r>
      <w:r w:rsidRPr="005761BD">
        <w:rPr>
          <w:rFonts w:ascii="Arial" w:eastAsia="Verdana" w:hAnsi="Arial" w:cs="Arial"/>
          <w:sz w:val="22"/>
          <w:vertAlign w:val="superscript"/>
        </w:rPr>
        <w:t>21</w:t>
      </w:r>
      <w:r w:rsidRPr="005761BD">
        <w:rPr>
          <w:rFonts w:ascii="Arial" w:eastAsia="Verdana" w:hAnsi="Arial" w:cs="Arial"/>
          <w:sz w:val="22"/>
        </w:rPr>
        <w:t xml:space="preserve"> Отпад из текстилне индустрије може се користити као сировина за производњу изолационих материјала, пунила у намештају или аутомобилима, као и у грађевинским плочама. На тај начин</w:t>
      </w:r>
      <w:r>
        <w:rPr>
          <w:rFonts w:ascii="Arial" w:eastAsia="Verdana" w:hAnsi="Arial" w:cs="Arial"/>
          <w:sz w:val="22"/>
        </w:rPr>
        <w:t>,</w:t>
      </w:r>
      <w:r w:rsidRPr="005761BD">
        <w:rPr>
          <w:rFonts w:ascii="Arial" w:eastAsia="Verdana" w:hAnsi="Arial" w:cs="Arial"/>
          <w:sz w:val="22"/>
        </w:rPr>
        <w:t xml:space="preserve"> кроз индустријску симбиозу, смањује се количина отпада и сировинска зависност других сектора.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На основу достављених података за 2023. годину, Агенција за заштиту животне средине је израдила анализу третмана за поједине групе отпада које представљају секундарне сировине. У складу са Ставом Европске комисије и социјалног комитета извршен је избор секундарних сировина, уз уважавање националних потреба за појединим врстама отпадних материјала које представљају секундарне сировине. Количине текстилног отпада као секундарних сировина које су подвргнуте искоришћењу неком од R операција (енгл. </w:t>
      </w:r>
      <w:r w:rsidRPr="005761BD">
        <w:rPr>
          <w:rFonts w:ascii="Arial" w:eastAsia="Verdana" w:hAnsi="Arial" w:cs="Arial"/>
          <w:i/>
          <w:sz w:val="22"/>
        </w:rPr>
        <w:t>Recovery</w:t>
      </w:r>
      <w:r w:rsidRPr="005761BD">
        <w:rPr>
          <w:rFonts w:ascii="Arial" w:eastAsia="Verdana" w:hAnsi="Arial" w:cs="Arial"/>
          <w:sz w:val="22"/>
        </w:rPr>
        <w:t>)су износиле 1.508 тона.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 основу пристиглих извештаја</w:t>
      </w:r>
      <w:r w:rsidRPr="005761BD">
        <w:rPr>
          <w:rFonts w:ascii="Arial" w:eastAsia="Verdana" w:hAnsi="Arial" w:cs="Arial"/>
          <w:sz w:val="22"/>
          <w:vertAlign w:val="superscript"/>
        </w:rPr>
        <w:t>22</w:t>
      </w:r>
      <w:r w:rsidRPr="005761BD">
        <w:rPr>
          <w:rFonts w:ascii="Arial" w:eastAsia="Verdana" w:hAnsi="Arial" w:cs="Arial"/>
          <w:sz w:val="22"/>
        </w:rPr>
        <w:t xml:space="preserve"> од стране 5.206 постројења у току 2023. године у Републици Србији је произведено 7,84 милиона тона отпада од чега је 90 хиљада тона отпада који је по карактеру опасан. Термоенергетски објекти су највећи произвођачи отпада. Летећи пепео од угља и пепео, шљака и прашина из котла, генерисани су у количини од 5,87 милиона тона, односно чине 75% укупне количине произведеног отпада. Летећи пепео, шљака, пепео и прашина из котла могу се користити као секундарне сировине у грађевинској индустрији, посебно за производњу цемента, бетона, цигли и пунила за путеве. Овом применом </w:t>
      </w:r>
      <w:r w:rsidRPr="005761BD">
        <w:rPr>
          <w:rFonts w:ascii="Arial" w:eastAsia="Verdana" w:hAnsi="Arial" w:cs="Arial"/>
          <w:sz w:val="22"/>
        </w:rPr>
        <w:lastRenderedPageBreak/>
        <w:t>се унапређује индустријска симбиоза, јер отпад из енергетског сектора постаје користан улаз у другим производним процесима, чиме се смањује потрошња природних ресурса и количина депонованог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значајним количинама заступљене су и друге врсте отпада, који потичу из термичких процеса: непрерађена шљака и отпади од прераде шљаке из индустрије гвожђа и челика. Након тога</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21 Проблем текстилног отпада у развоју циркуларне економије у Републици Србији, Платформа циркуларне економије за одрживи развој у Србији</w:t>
      </w:r>
      <w:r>
        <w:rPr>
          <w:rFonts w:ascii="Arial" w:eastAsia="Verdana" w:hAnsi="Arial" w:cs="Arial"/>
          <w:sz w:val="22"/>
        </w:rPr>
        <w:t>"</w:t>
      </w:r>
      <w:r w:rsidRPr="005761BD">
        <w:rPr>
          <w:rFonts w:ascii="Arial" w:eastAsia="Verdana" w:hAnsi="Arial" w:cs="Arial"/>
          <w:sz w:val="22"/>
        </w:rPr>
        <w:t>, проф. др Маја Радетић, 2019.</w:t>
      </w:r>
    </w:p>
    <w:p w:rsidR="005761BD" w:rsidRPr="005761BD" w:rsidRDefault="005761BD" w:rsidP="005761BD">
      <w:pPr>
        <w:spacing w:line="210" w:lineRule="atLeast"/>
        <w:rPr>
          <w:rFonts w:ascii="Arial" w:hAnsi="Arial" w:cs="Arial"/>
        </w:rPr>
      </w:pPr>
      <w:r w:rsidRPr="005761BD">
        <w:rPr>
          <w:rFonts w:ascii="Arial" w:eastAsia="Verdana" w:hAnsi="Arial" w:cs="Arial"/>
          <w:sz w:val="22"/>
        </w:rPr>
        <w:t>22 Извештај о стању животне средине у Републици Србији за 2023. годину,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 количини следе отпадни метали, првенствено гвожђе и челик, чврсти отпади на бази калцијума у процесу одсумпоравања гаса, папирна и картонска амбалажа, солидификовани и други отпади из постројења за обраду отпада, ископ и земља настали током грађевинских делатности. Према информацијама Агенције за заштиту животне средине</w:t>
      </w:r>
      <w:r w:rsidRPr="005761BD">
        <w:rPr>
          <w:rFonts w:ascii="Arial" w:eastAsia="Verdana" w:hAnsi="Arial" w:cs="Arial"/>
          <w:sz w:val="22"/>
          <w:vertAlign w:val="superscript"/>
        </w:rPr>
        <w:t>23</w:t>
      </w:r>
      <w:r w:rsidRPr="005761BD">
        <w:rPr>
          <w:rFonts w:ascii="Arial" w:eastAsia="Verdana" w:hAnsi="Arial" w:cs="Arial"/>
          <w:sz w:val="22"/>
        </w:rPr>
        <w:t>, идаље се извозе велике количине отпада за које постоје прерађивачки капацитети у земљи. Отпад од папирне и картонске амбалаже. отпадни папир и картон чине 55% количине отпада који је увезен. По заступљености следе отпадни метали, пластика и гума и сагорљиви отпад из постројења за обраду отпада. Увоз опасног отпада се односи само на оловне батерије. И даље се наставља тренд увоза и извоза истих врста отпада као што су на пример отпадни папир и метали.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 основу података достављених од стране 289 оператера који имају дозволу за поновно искоришћење отпада, у току 2023. године, третманом поновног искоришћења је прерађено 2,23 милиона тона отпада од чега је 91.608 тона отпада који је по карактеру опасан. Од укупне количине прерађеног отпада највише су заступљени отпади из термичких процеса из индустрије гвожђа и челика и из енергана и других постројења за сагоревање, затим отпадни метали и папирна и картонска амбалажа.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Најзаступљеније количине опасног отпада које су рециклиране или на други начин прерађене неком од R операција које представљају поступке поновног искоришћења отпада су одбачена електрична и електронска опрема, оловне батерије, отпадна возила, муљеви са дна резервоара, посебно сакупљен електролит из батерија и акумулатора и инфективни отпад из здравствених установа.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Републици Србији постоје три фабрике цемента, од којих две врше термички третман опасног и неопасног отпада, односно користе га као алтернативно гориво и имају одговарајуће дозволе. Поред тога, цементна индустрија у Републици Србији, као алтернативну сировину, користи више од 300.000 тона неопасног и опасног отпада годишње (највише летећег пепела и гранулисане шљаке из високе пећи). Спалионица у Београду за комунални отпад има максимални пројектовани капацитет 340.000 тона годишње. Недостатак инфраструктуре за третман отпада у Републици Србији отворио је, као једину од могућности за коначно збрињавање отпада, извоз на третман у овлашћена и регистрована постројења у ЕУ.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Према последњим ажурираним подацима Агенције за заштиту животне средине из септембра 2024. године, у Републици Србији је укупно издато 2.614 дозвола за управљање отпадом на свим нивоима. Међутим, број достављених извештаја показује да велики проценат оператера који поседује дозволе није активан на тржишту у овој области или не поступа у складу са законским захтевима у погледу извештавања.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2.5.4. Сумирани актуелни проблеми и потенцијали за развој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Природни ресурси </w:t>
      </w:r>
      <w:r>
        <w:rPr>
          <w:rFonts w:ascii="Arial" w:eastAsia="Verdana" w:hAnsi="Arial" w:cs="Arial"/>
          <w:sz w:val="22"/>
        </w:rPr>
        <w:t>-</w:t>
      </w:r>
      <w:r w:rsidRPr="005761BD">
        <w:rPr>
          <w:rFonts w:ascii="Arial" w:eastAsia="Verdana" w:hAnsi="Arial" w:cs="Arial"/>
          <w:sz w:val="22"/>
        </w:rPr>
        <w:t xml:space="preserve"> Природни ресурси у Републици Србији, представљају драгоцени темељ за развој ЦЕ, али су тренутно изложени бројним изазовима као што су прекомерна експлоатација, деградација земљишта, недостатак адекватног управљања водним ресурсима и губитак биодиверзитета. Ови проблеми ограничавају одрживи развој и смањују капацитете природних система да подрже обновљиве токове материјала. Ипак, постоје значајни потенцијали за побољшање ситуације кроз примену циркуларних принципа као што су боља заштита и обновљивост шума, рационалније коришћење воде (укључујући употребу пречишћених отпадних вода у пољопривреди), као и развој биоекономије која претвара биомасе у нове, додатно вредне материјале и производе на ефикасан и одржив начин.</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Према подацима Републичког завода за статистику, у 2023. години у индустрији у Републици Србији потрошено је 4267 милиона m³ воде, а пречишћено само 31% отпадних вода, што указује на потребу за бољим управљањем водним ресурсима. Примена принципа ЦЕ, попут затворених водних система, унапређења ефикасности и рециклаже воде, може смањити потрошњу и загађење, уз уштеде у трошковима. </w:t>
      </w:r>
      <w:r w:rsidRPr="005761BD">
        <w:rPr>
          <w:rFonts w:ascii="Arial" w:eastAsia="Verdana" w:hAnsi="Arial" w:cs="Arial"/>
          <w:sz w:val="22"/>
        </w:rPr>
        <w:lastRenderedPageBreak/>
        <w:t>Искуства у прерађивачкој индустрији показују да се оваквим мерама може постићи уштеда од око 15% воде, што потврђује потенцијал за одрживији водни менаџмент.</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23 Извештај о стању животне средине у Републици Србији 2023. године, Агенција за заштиту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Концепт биоекономије наглашава важност технолошких иновација да допуне или замене необновљиве ресурсе алтернативама заснованим на биологији. Потребне су нове стратегије и нови начини коришћења природних ресурса уз поштовање одрживости и производњу нових производа са додатом вредношћу, са што мање отпада. Потенцијали циркуларне биоекономије представљају прелазак са економије засноване на фосилним горивима на економију засновану на обновљивим изворима, а затим побољшање ефикасности коришћења ресурса и обнављање/рециклирање отпада насталог у производном циклусу. Њен највећи потенцијал је да допринесе ублажавању климатских промена, социо-економском развоју и заштити животне средине одржавањем вредности производа, производњом и коришћењем материјала на био-бази, што је дуже могуће.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Привреда </w:t>
      </w:r>
      <w:r>
        <w:rPr>
          <w:rFonts w:ascii="Arial" w:eastAsia="Verdana" w:hAnsi="Arial" w:cs="Arial"/>
          <w:sz w:val="22"/>
        </w:rPr>
        <w:t>-</w:t>
      </w:r>
      <w:r w:rsidRPr="005761BD">
        <w:rPr>
          <w:rFonts w:ascii="Arial" w:eastAsia="Verdana" w:hAnsi="Arial" w:cs="Arial"/>
          <w:sz w:val="22"/>
        </w:rPr>
        <w:t xml:space="preserve"> Упркос благом смањењу потрошње опасних хемикалија, њихова широкa употреба у индустрији и даље представља значајан проблем за развој ЦЕ. Недостатак прецизних информација о присуству забрањених и штетних супстанци у производима отежава безбедну рециклажу и поновно коришћење материјала. Ово представља препреку за увођење циркуларних токова у индустријама као што су електроника, пластика, грађевинарство и текстил, где се и даље налазе штетне хемикалије које негативно утичу на здравље људи и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Још један значајан изазов је повезаност управљања хемикалијама и отпадом, као и потреба за усклађивањем домаћих прописа са европским стандардима. Тренутни недостаци у преносу информација дуж ланца снабдевања и непотпуно управљање опасним супстанцама спречавају успешну имплементацију ЦЕ. Са друге стране, постоји потенцијал у увођењу безбедних и одрживих решења већ у фази дизајна производа, као и у развоју нових регулатива и технологија које ће олакшати циркуларност материјала.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Сектор пољопривреде, шумарства и рибарства, иако тренутно суочен са старењем радне снаге, застарелом механизацијом и смањењем површина, има велики потенцијал за допринос ЦЕ. Коришћење органског отпада за производњу компоста, биогаса и биомасе, као и ефикасна употреба природних ресурса, представљају кључне могућности за затварање материјалних токова. Међутим, за реализацију ових потенцијала неопходне су инвестиције, едукација и подстицаји који ће омогућити модернизацију и већу одрживост у овом сектору.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 друге стране, сектори као што су ИКТ, туризам, саобраћај и грађевинарство имају значајне изазове у погледу инфраструктуре, едукације и ефикасног коришћења ресурса. ИКТ сектор може бити мотор иновација и дугорочне употребе уређаја, док туризам мора развити одрживе праксе како би смањио негативне утицаје на животну средину. Саобраћај и грађевинарство требају да унапреде рециклажу и примену одрживих материјала. Све ово захтева значајна улагања у технологије, инфраструктуру и људске ресурсе како би Република Србија успешно транзицирала ка циркуларној и зеленој економији.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Јавна свест и образовање </w:t>
      </w:r>
      <w:r>
        <w:rPr>
          <w:rFonts w:ascii="Arial" w:eastAsia="Verdana" w:hAnsi="Arial" w:cs="Arial"/>
          <w:sz w:val="22"/>
        </w:rPr>
        <w:t>-</w:t>
      </w:r>
      <w:r w:rsidRPr="005761BD">
        <w:rPr>
          <w:rFonts w:ascii="Arial" w:eastAsia="Verdana" w:hAnsi="Arial" w:cs="Arial"/>
          <w:sz w:val="22"/>
        </w:rPr>
        <w:t xml:space="preserve"> Шира јавност у Републици Србији још увек није довољно упозната са принципима ЦЕ и њеним значајем за одрживи развој, што представља основни изазов за шире прихватање и примену овог концепта. Недовољна свест и знање о ЦЕ ограничавају промену навика у потрошњи, утичући на ефикасно коришћење ресурса и смањење отпада. Образовни систем није у потпуности припремљен да системски обухвати теме везане за ЦЕ, посебно у основним и средњим школама, где се ове теме изучавају само делимично и у оквиру изборних предмета, што значи да велики број ученика нема приступ овом знању. На високошколском нивоу, иако постоје појединачни предмети и програми који се баве елементима ЦЕ, потребна је јаснија интеграција и унапређење наставних планова и акредитација нових програма који би омогућили студентима да стекну комплетна знања и вештине за рад у зеленој економији. Ово је кључно за формирање стручњака који ће бити способни да подрже транзицију ка одрживом развоју и иновативним технологијама које минимизирају отпад и унапређују ресурсну ефикасност.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Потенцијал за развој ЦЕ кроз јавност и образовање лежи у систематској и мултидисциплинарној едукацији која укључује све нивое образовања, медије и цивилно друштво. Увођење свеобухватне националне стратегије за образовање о ЦЕ, уз координацију релевантних институција и усклађивање са европским и међународним стандардима, може обезбедити трајан и системски приступ овом питању. Развој дигиталних платформи за едукацију и промоцију ЦЕ, као и активна улога медија и невладиних организација у подизању свести, могу </w:t>
      </w:r>
      <w:r w:rsidRPr="005761BD">
        <w:rPr>
          <w:rFonts w:ascii="Arial" w:eastAsia="Verdana" w:hAnsi="Arial" w:cs="Arial"/>
          <w:sz w:val="22"/>
        </w:rPr>
        <w:lastRenderedPageBreak/>
        <w:t>значајно убрзати прихватање нових модела понашања и пословања. Истовремено, креирање нових образовних профила и професионалних стандарда усмерених ка зеленој и ЦЕ отвориће пут за развој радне снаге способне да имплементира иновативне и одрживе праксе у привреди и друштву.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Локалне самоуправе </w:t>
      </w:r>
      <w:r>
        <w:rPr>
          <w:rFonts w:ascii="Arial" w:eastAsia="Verdana" w:hAnsi="Arial" w:cs="Arial"/>
          <w:sz w:val="22"/>
        </w:rPr>
        <w:t>-</w:t>
      </w:r>
      <w:r w:rsidRPr="005761BD">
        <w:rPr>
          <w:rFonts w:ascii="Arial" w:eastAsia="Verdana" w:hAnsi="Arial" w:cs="Arial"/>
          <w:sz w:val="22"/>
        </w:rPr>
        <w:t xml:space="preserve"> Једна од највећих баријера за развој ЦЕ на локалном нивоу јесте низак ниво свести кључних актера и недовољна интеграција принципа ЦЕ у планска документа ЈЛС. Само мали број локалних самоуправа у Републици Србији укључује ове принципе у своје планове, углавном у областима управљања отпадом, енергетске ефикасности и коришћења обновљивих извора енергије. Потребно је систематски интегрисати принципе ЦЕ у будуће и ревидиране планске документе, уз помоћ локалних мапа пута за ЦЕ које ће обухватити све релевантне аспекте.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Даље, системи водоснабдевања карактеришу недовољна ефикасност управљања, лош технички капацитет и неадекватна цена воде, што доводи до великих губитака воде (просечно 35,1%) и нерационалне потрошње. Поред тога, низак степен прераде отпадних вода и недовољно искоришћен муљ из постројења за пречишћавање представљају значајан изазов. ЈЛС треба да јачају капацитете и улажу у инфраструктуру, али и да подижу свест јавности о рационалном коришћењу воде и управљању отпадним водама, што ће бити кључно за примену принципа ЦЕ у овом сектору.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Већина локалних самоуправа има застарелу опрему и ограничене капацитете за сакупљање и транспорт отпада, а примарна селекција отпада још увек није широко распрострањена због недовољних техничких и финансијских ресурса. Проценат рециклаже комуналног отпада у Републици Србији је још увек низак (15,5%), при чему постоји значајан потенцијал у коришћењу биоразградивог отпада (чији је удео у 2023. години износио 45,20% комуналаног отпада) и амбалажног отпада као ресурса. Потребно је убрзати изградњу инфраструктуре за управљање отпадом и промовисати едукацију и развој циркуларне културе у заједницама.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Локалне самоуправе имају значајан потенцијал да интегришу принципе ЦЕ кроз уређење зелене инфраструктуре, као што су паркови, зелени кровови и дрвореди, који могу бити препознати као јавни интерес и подржани законским решењима. Прерада органског отпада и коришћење обновљивих извора енергије, на пример соларних панела на зеленим крововима, могу смањити зависност од фосилних горива и допринети одрживом развоју. Пијаце као центри локалне трговине имају потенцијал да постану важне тачке за управљање биоразградивим отпадом и подстицање употребе рециклиране амбалаже, што директно утиче на смањење отпада и емисије угљен-диоксида. Међутим, и даље постоје изазови у технолошкој обнови, као што је потреба за широм применом енергетски ефикасне ЛЕД јавне расвете и паметних система управљања расветом, као и унапређењу урбане мобилности кроз планове одрживог транспорта који би смањили загађење и повећали ефикасност саобраћаја.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Урбана мобилност је кључни елемент одрживог развоја градова и подразумева интегрисано коришћење различитих видова транспорта (пешачења, бициклизма, јавног превоза и аутомобила), с циљем смањења загађења и повећања енергетске ефикасности. У Републици Србији је мобилност становништва знатно нижа него у развијеним европским земљама, а бициклистички саобраћај је недовољно развијен. Планови одрживе урбане мобилности, који се усвајају у неким градовима, доприносе бољем квалитету живота, очувању ресурса и смањењу емисије штетних гасова, али је потребно наставити њихову имплементацију и проширити мере за ефикасније и зеленије системе кретања.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Ограничени организациони и стручни капацитети у локалним самоуправама представљају препреку у спровођењу ЦЕ. Мали број ЈЛС има посебне јединице или обучене кадрове за ова питања, што захтева повећану стручну и финансијску подршку. Поред тога, потребно је подићи ниво свести становништва и радити на развоју циркуларне културе кроз едукацију, промотивне кампање и јачу сарадњу између јавног, приватног сектора и цивилног друштва.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Управљање отпадом</w:t>
      </w:r>
      <w:r>
        <w:rPr>
          <w:rFonts w:ascii="Arial" w:eastAsia="Verdana" w:hAnsi="Arial" w:cs="Arial"/>
          <w:sz w:val="22"/>
        </w:rPr>
        <w:t>-</w:t>
      </w:r>
      <w:r w:rsidRPr="005761BD">
        <w:rPr>
          <w:rFonts w:ascii="Arial" w:eastAsia="Verdana" w:hAnsi="Arial" w:cs="Arial"/>
          <w:sz w:val="22"/>
        </w:rPr>
        <w:t xml:space="preserve"> У претходном периоду створени су значајни предуслови за даљи развој ЦЕ у Републици Србији, посебно у областима управљања отпадом од хране, пластике за једнократну употребу, грађевинског и текстилног отпада. Иако постоји велики потенцијал за искоришћење ових токова кроз компостирање, рециклажу и енергетско искоришћење, неопходно је додатно подржати привредне субјекте у проглашавању појединих врста отпада нуспроизводима, као и у примени нових прописа. Посебан изазов остаје потреба за јачањем капацитета рециклажног сектора, укључујући контролу хемикалија у рециклираним материјалима, развој инфраструктуре и информисање потрошача, како би се осигурао квалитетан и безбедан циркуларни ток материјала.</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3. ВИЗИЈА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Развој Републике Србије усмерава се ка одрживости и јачању привредне конкурентности кроз иновативна и дигитална решења у складу са концептом ЦЕ. Посвећеност зеленој транзицији и климатској неутралности огледа се у рационалном коришћењу ресурса и енергије, с циљем смањења загађења, очувања здравља становништва и унапређења квалитета живота.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Применом концепта ЦЕ, Република Србија тежи одрживом, климатски неутралном и отпорном развоју који се заснива на ефикасном коришћењу ресурса, технолошким иновацијама, дигитализацији и увођењу зелених пословних модела. Визија Републике Србије је друштво које минимизира отпад, смањује утицај на животну средину и стимулише инклузиван и правичан економски раст.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ЦЕ се поставља као стратешка окосница зелене транзиције у Републици Србији, уз активно усмеравање развоја у складу са правним тековинама ЕУ, принципима Зелене агенде за Западни Балкан, обавезама из Споразума о стабилизацији и придруживању, као и Стратегијом одрживог развоја УН до 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Република Србија препознаје улогу ЦЕ у јачању конкурентности привреде, очувању природног капитала, заштити здравља грађана и унапређењу квалитета живота кроз развој одрживих заједница и подршку зеленој и дигиталној трансформацији.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Програм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представља кључни инструмент за усмеравање политике ка овој визији, дефинишући конкретне циљеве, мере, стратешке приоритете, механизме подршке и метрике. До 2030. године, Република Србија тежи успостављању функционалних циркуларних ланаца у кључним секторима (попут пољопривреде, грађевинарства, производње и управљања отпадом), развоју тржишта секундарних сировина и унапређењу еко-дизајна и одговорне потрошње. Програм има за циљ да подстакне инвестиције, иновације и интерсекторску сарадњу као основу за системску транзицију ка ЦЕ.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4. ЦИЉЕВИ</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 xml:space="preserve">Општи циљ: Достизање циљева одрживог развоја кроз системску примену концепта циркуларне економије за рационално коришћење ресурса и енергије засновано на знањима, иновацијама и дигитализацији </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циљ је усклађен са Циљевима одрживог развоја Уједињених нација, посебно ЦОР 8 (Потпомагање одрживог економског раста и достојанственог рада), ЦОР 9 (Индустрија, иновације и инфраструктура) и ЦОР 12 (Одржива потрошња и производња), у складу са објављеном Методологијом за повезивање циљева ДЈП са ЦОР.</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Општи циљ Програма, формулисан је тако да обухвати кључне промене које Република Србија жели да постигне до краја програмског периода, успостављање основа за одрживи развој кроз системску примену циркуларне економије. Овај циљ није апстрактан, већ одражава потребу да се, у оквиру шестогодишњег периода, створе конкретни предуслови за широку примену циркуларних принципа у привреди, локалним самоуправама и систему управљања ресурсима и отпадом. Тиме се Република Србија усклађује са европским и глобалним развојним токовима, али и гради отпорнији и ефикаснији домаћи систем заснован на дугорочној одрживости.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би овај циљ био не само усмерен, већ и мерљив, подржан је сетом посебних циљева који му дају операционалну димензију. Они обухватају подршку трансформацији привреде и локалних заједница, промоцију индустријске симбиозе, развој алата и подстицајних механизама, као и подизање свести и изградњу капацитета свих релевантних актера. Ова структура омогућава да се напредак прати кроз јасне индикаторе и резултате, попут броја предузећа која усвајају циркуларне моделе, броја општина које примењују CE мере, развијених инструмената подршке или иницијатива које повезују науку и праксу.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Формулисањем овако постављеног општег циља, овај програм постаје реалан, изазован и временски ограничен инструмент који подстиче сарадњу, иновације и друштвене промене. Он пружа основу за креирање политика и мера које ће имати конкретан утицај на конкурентност, еколошку ефикасност и квалитет живота у Републици Србији, а истовремено отвара простор за дугорочну транзицију ка одрживој и климатски неутралној економији.</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4.1. Посебан циљ 1</w:t>
      </w:r>
      <w:r w:rsidRPr="005761BD">
        <w:rPr>
          <w:rFonts w:ascii="Arial" w:eastAsia="Verdana" w:hAnsi="Arial" w:cs="Arial"/>
          <w:b/>
          <w:sz w:val="22"/>
        </w:rPr>
        <w:br/>
        <w:t xml:space="preserve">Подршка привредном сектору у транзицији ка циркуларним пословним моделима </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Овај посебан циљ је повезан са ЦОР 8 и ЦОР 9, јер промовише одрживе пословне моделе, индустријску симбиозу и иновације у привреди. Привредни сектор има кључну улогу у транзицији ка ЦЕ, с обзиром на </w:t>
      </w:r>
      <w:r w:rsidRPr="005761BD">
        <w:rPr>
          <w:rFonts w:ascii="Arial" w:eastAsia="Verdana" w:hAnsi="Arial" w:cs="Arial"/>
          <w:sz w:val="22"/>
        </w:rPr>
        <w:lastRenderedPageBreak/>
        <w:t>значајну потрошњу енергије и сировина и утицај на животну средину. Овим програмом ће се до 2030. године обезбедити подршка привредним субјектима кроз финансијске подстицаје, обуке, саветовање, увођење иновација и дигитализацију пословања. Фокус ће бити на секторима са највећим потенцијалом за циркуларност, укључујући прерађивачку индустрију, као и услужне делатности у успону. Подршка обухвата едукацију о циркуларним моделима, идентификацију могућности за смањење отпада, развој пословних акционих планова, унапређење управљања ресурсима и примену добрих пракси. Промовисаће се сарадња са научноистраживачким институцијама ради трансфера иновација и развоја циркуларних производа и технологија, уз интеграцију принципа ESG у корпоративне стратегије. Посебан акценат биће на развоју индустријске симбиозе и биоекономије, кроз анализу токова сировина и отпада и креирање подстицаја за искоришћење домаћих ресурса. На овај начин ће се подржати конкурентност, смањити еколошки отисак и поставити темељи за одрживи привредни раст у складу са зеленом транзицијом и климатским циљевима Републике Србије.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4.2. Посебан циљ 2</w:t>
      </w:r>
      <w:r w:rsidRPr="005761BD">
        <w:rPr>
          <w:rFonts w:ascii="Arial" w:eastAsia="Verdana" w:hAnsi="Arial" w:cs="Arial"/>
          <w:b/>
          <w:sz w:val="22"/>
        </w:rPr>
        <w:br/>
        <w:t>Унапређење капацитета локалних самоуправа за примену принципа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Активности овог циља доприносе ЦОР 11 (Одрживи градови и заједнице) и ЦОР 12, кроз јачање локалних капацитета за ЦЕ, управљање ресурсима и отпадом. ЈЛС имају кључну улогу у примени ЦЕ, јер су надлежне за бројне локалне политике, од управљања отпадом и енергетске ефикасности, до развоја зелене инфраструктуре и урбане мобилности. Ипак, њихова способност да искористе овај потенцијал зависи од расположивих знања, вештина и локалног контекста. Зато је од стратешког значаја јачање капацитета ЈЛС, јавних и комуналних предузећа и локалне привреде кроз преношење знања о ЦЕ. Конкретно, кроз израду и примену локалних мапа пута за ЦЕ, које обухватају мере за економски развој, заштиту животне средине и очување ресурса, обезбеђује се основа за одрживу трансформацију локалних заједница. Подршка ЈЛС се додатно конкретизује кроз увођење Индекса симбиозе локалних заједница, иновативног алата који ће омогућити територијално осетљиво и интегрисано праћење напретка у примени ЦЕ. У оквиру овог приступа биће примењен интегрисани метод праћења циркуларних перформанси, који допуњује Индекс симбиозе мерљивим подацима о еколошким и економским ефектима локалних иницијатива</w:t>
      </w:r>
      <w:r w:rsidRPr="005761BD">
        <w:rPr>
          <w:rFonts w:ascii="Arial" w:eastAsia="Verdana" w:hAnsi="Arial" w:cs="Arial"/>
          <w:b/>
          <w:sz w:val="22"/>
        </w:rPr>
        <w:t xml:space="preserve">. </w:t>
      </w:r>
      <w:r w:rsidRPr="005761BD">
        <w:rPr>
          <w:rFonts w:ascii="Arial" w:eastAsia="Verdana" w:hAnsi="Arial" w:cs="Arial"/>
          <w:sz w:val="22"/>
        </w:rPr>
        <w:t>Овај индекс ће мерити број формализованих партнерстава у области ЦЕ (нпр. кроз уговоре, меморандуме, заједничке пројекте), пратити обим размене ресурса (материјала, енергије, отпада), број заједничких иницијатива са ЈЛС и подршку институционалној инфраструктури. На основу резултата индекса, могуће је усмерити подстицаје, јавне политике и инвестиције ка локалним иницијативама са највећим потенцијалом. Ове активности обезбеђују праћење напретка, транспарентност и јачање поверења грађана, али и подстицај другим ЈЛС да следе исти пример. Пилотирани приступи подизању свести и развој дигиталних платформи допринеће стварању мреже циркуларних заједница у Републици Србији. Такве заједнице користе ресурсе и енергију на ефикасан и одржив начин, смањују свој угљенични отисак и доприносе бољем квалитету живота својих грађана, чиме Република Србија испуњава и своје међународне обавезе у процесу приступања ЕУ и спровођењу Зелене агенде за Западни Балкан.</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4.3. Посебан циљ 3</w:t>
      </w:r>
      <w:r w:rsidRPr="005761BD">
        <w:rPr>
          <w:rFonts w:ascii="Arial" w:eastAsia="Verdana" w:hAnsi="Arial" w:cs="Arial"/>
          <w:b/>
          <w:sz w:val="22"/>
        </w:rPr>
        <w:br/>
        <w:t>Унапређење система управљања отпадом кроз промовисање ефикасног искоришћења ресурса и модела индустријске симбиозе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Овај циљ директно утиче на ЦОР 12 и ЦОР 13 (Климатска акција), кроз ефикасно искоришћење ресурса, индустријску симбиозу и смањење угљеничног отиска. Овај посебни циљ обухвата мере које настављају и проширују активности из претходног периода, са јасним фокусом на превенцију настајања отпада, повећање стопе рециклаже и поновно коришћење отпада. Конкретно, планира се унапређење рециклажних процеса кроз идентификацију и уклањање најмање 95% опасних компоненти из отпада, како би се до 2030. године обезбедила сигурност циркуларних токова и повећала употреба нуспроизвода као вредних сировина у индустријским производним процесима, чиме ће се додатно промовисати индустријска симбиоза. У складу са европским стратешким правцима, до 2030. године унапређује се регулаторни оквир управљања отпадом од текстила, уз смањење прекомерне потрошње за минимум 20% и промоцију поновне употребе у националном систему кроз пилот пројекат који се односи на постављање контејнера за прикупљање постконзумерског отпад од текстила. Такође, планира се смањење настајања отпада од пластичних производа за једнократну употребу за најмање 30%, увођење иновативних алтернативних решења и проширење система управљања отпадом од хране кроз производњу компоста за 25%. Значајан део овог циља представља реализација најмање 20 едукативно-промотивних активности до 2030. године које доприносе подизању свести о циркуларном управљању отпадом. За праћење напретка користиће се следећи индикатори са дефинисаним </w:t>
      </w:r>
      <w:r w:rsidRPr="005761BD">
        <w:rPr>
          <w:rFonts w:ascii="Arial" w:eastAsia="Verdana" w:hAnsi="Arial" w:cs="Arial"/>
          <w:sz w:val="22"/>
        </w:rPr>
        <w:lastRenderedPageBreak/>
        <w:t>циљним вредностима: стопа рециклаже комуналног отпада (повећање са базне вредности из 2023. године за најмање 15%), стопа рециклаже укупног отпада без великих минералних отпада, стопа рециклаже амбалажног отпада по врсти, као и стопа рециклаже отпада од електричне и електронске опреме (WEEE) прикупљеног одвојено, свака са циљем повећања од најмање 20% до 2030. године. Поред тога, пратиће се број израђених докумената, реализованих пилот пројеката и спроведених едукативно-промотивних активности као квантитативни показатељи напретка.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4.4. Посебан циљ 4</w:t>
      </w:r>
      <w:r w:rsidRPr="005761BD">
        <w:rPr>
          <w:rFonts w:ascii="Arial" w:eastAsia="Verdana" w:hAnsi="Arial" w:cs="Arial"/>
          <w:b/>
          <w:sz w:val="22"/>
        </w:rPr>
        <w:br/>
        <w:t>Подршка примени добровољних инструмената из области животне средине и зелених јавних набавки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Мера доприноси ЦОР 12, јер стимулише одрживу потрошњу и производњу кроз зелене јавне набавке и еколошке критеријуме. Јавне набавке, као значајан део укупне потрошње у јавном сектору, имају потенцијал да постану снажан подстицај за циркуларне праксе у привреди. Увођењем еколошких критеријума, попут енергетске ефикасности, употребе секундарних сировина и смањених емисија у најмање 15% јавних набавки до 2030. године, ствара се тржишна тражња за одрживим производима и услугама и мотивише привреда на усклађивање са принципима ЦЕ. Истовремено, јачање система Еко знака, као и проширење обухвата сертификације по стандардима ЦЕ, биће кључни за подизање квалитета и видљивости еколошки прихватљивих производа. Циљ је повећати број компанија носилаца националног Еко знака, као и унапредити прописане критеријуме по угледу на стандарде ЕУ. У том контексту, биће покренуте кампање едукације и подршке за увођење ISO 14001 и других релевантних стандарда који интегришу принципе еко-дизајна и управљања ресурсима, чиме се стварају предуслови за ефикаснији прелазак са линеарног на циркуларни модел пословања.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4.5. Посебан циљ 5</w:t>
      </w:r>
      <w:r w:rsidRPr="005761BD">
        <w:rPr>
          <w:rFonts w:ascii="Arial" w:eastAsia="Verdana" w:hAnsi="Arial" w:cs="Arial"/>
          <w:b/>
          <w:sz w:val="22"/>
        </w:rPr>
        <w:br/>
        <w:t>Подизање свести јавности о концепту циркуларне економије уз унапређење и примену научних сазнања у пракси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циљ подржава ЦОР 4 (Квалитетно образовање) и ЦОР 12, јер оснажује знање и свест о одрживој економији, циркуларним моделима и одговорној потрошњи. Подизање свести о концепту ЦЕ подразумева систематско унапређење информисаности и вредности код медија, грађана, компанија, институција и доносиоца одлука. Овај процес се остварује кроз правовремену едукацију и промотивне активности усмерене ка свим узрастима и друштвеним групама. Циљ је развој конкретних знања и вештина које ће омогућити стручњацима да примене принципе ЦЕ, а широј јавности да прихвати и промени понашања у складу са одрживим моделима. Активности обухватају израду и дистрибуцију промотивних материјала, медијске кампање и сарадњу са образовним установама. Едукацијом и информисањем заинтересоване јавности о значају одрживе привреде, заштите животне средине и очувања природних ресурса, подстиче се променa ставова и понашања, као и интеграција циркуларних принципа у законодавство и пословне праксе. Промотивне кампање и образовне иницијативе имају за циљ дугорочни утицај на понашање циљних група и доприносе формирању одрживе економске, друштвене и еколошке културе, посебно међу младима као будућим носиоцима промена. За праћење напретка овог циља користиће се мерљиви индикатори који укључују број реализованих информативно-едукативних кампања, ниво информисаности јавности о циркуларној економији (мерено репрезентативним анкетама) и број успостављених иницијатива за ефикасан дијалог између академске заједнице и привредног сектора. Ове мере омогући ће јасну евалуацију утицаја и обезбедити основ за континуирано прилагођавање активности ради постизања одрживог развоја до 2030. године.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5. МЕРЕ ИЗАБРАНЕ ОПЦИЈЕ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5.1. Опис мера са анализом ефеката мера и орган јавне управе надлежан за спровођење мера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Посебан циљ 1: Подршка привредном сектору у транзицији ка циркуларним пословним моделима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1.1:</w:t>
      </w:r>
      <w:r w:rsidRPr="005761BD">
        <w:rPr>
          <w:rFonts w:ascii="Arial" w:eastAsia="Verdana" w:hAnsi="Arial" w:cs="Arial"/>
          <w:sz w:val="22"/>
        </w:rPr>
        <w:t xml:space="preserve"> </w:t>
      </w:r>
      <w:r w:rsidRPr="005761BD">
        <w:rPr>
          <w:rFonts w:ascii="Arial" w:eastAsia="Verdana" w:hAnsi="Arial" w:cs="Arial"/>
          <w:b/>
          <w:sz w:val="22"/>
        </w:rPr>
        <w:t>Едукација привредних субјеката и предузетника за примену концепта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Сврха ове мере је оснаживање привредних субјеката, са посебним фокусом на младе предузетнике, кроз програме едукације о ЦЕ и зеленим обвезницама. Предвиђено је организовање радионица, семинара и студијских путовања, током којих ће учесници стећи практична знања, упознати најбоље праксе и применљиве циркуларне пословне моделе. Посебан акценат биће на промени законског оквира, могућностима за смањење отпада, управљању ресурсима и развоју иновативних решења. Обуке ће бити прилагођене различитим групама привредника и предузетника, уз доступност информативно-едукативних материјала и приручника. Поред тога, учесници ће бити подстакнути да припреме циркуларне пројекте и упознају се са могућностима </w:t>
      </w:r>
      <w:r w:rsidRPr="005761BD">
        <w:rPr>
          <w:rFonts w:ascii="Arial" w:eastAsia="Verdana" w:hAnsi="Arial" w:cs="Arial"/>
          <w:sz w:val="22"/>
        </w:rPr>
        <w:lastRenderedPageBreak/>
        <w:t>финансирања кроз националне и међународне фондове. До краја 2027. године планирана је реализација најмање пет тематских едукативних догађаја, а до 2030. најмање десет радионица усмерених на примену циркуларних пословних модела. Сврха мере је унапређење капацитета за примену циркуларних принципа, јачање конкурентности и убрзање транзиције ка одрживом и отпорном привредном систему.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1.2:</w:t>
      </w:r>
      <w:r w:rsidRPr="005761BD">
        <w:rPr>
          <w:rFonts w:ascii="Arial" w:eastAsia="Verdana" w:hAnsi="Arial" w:cs="Arial"/>
          <w:sz w:val="22"/>
        </w:rPr>
        <w:t xml:space="preserve"> </w:t>
      </w:r>
      <w:r w:rsidRPr="005761BD">
        <w:rPr>
          <w:rFonts w:ascii="Arial" w:eastAsia="Verdana" w:hAnsi="Arial" w:cs="Arial"/>
          <w:b/>
          <w:sz w:val="22"/>
        </w:rPr>
        <w:t>Анализа потенцијала за примену модела ЦЕ у сектору прерађивачке индустрије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Циљ ове мере јесте спровођење свеобухватне анализе пословних пракси, инвестиционих потреба и потенцијала за примену циркуларних модела у сектору услуга (транспорт, туризам, здравство, угоститељство, ИТ) и прерађивачкој индустрији. Планира се одабир најмање 10 привредних субјеката за израду пословних акционих планова заснованих на процени енергетске ефикасности, коришћења ресурса, смањења отпада и примене иновација. Анализа ће идентификовати могућности за увођење обновљивих извора енергије, продужавање века производа, рециклажу и дигитализацију, као и мере за смањење загађења. Посебан фокус је на смањењу увоза секундарних сировина, односно папирне и картонске амбалаже која чини 65% увезеног отпада. Резултати анализе ће служити као основа за развој мера подршке и подстицаја за замену увоза домаћим ресурсима, ради смањења зависности од увоза за најмање 15% до 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1.3:</w:t>
      </w:r>
      <w:r w:rsidRPr="005761BD">
        <w:rPr>
          <w:rFonts w:ascii="Arial" w:eastAsia="Verdana" w:hAnsi="Arial" w:cs="Arial"/>
          <w:sz w:val="22"/>
        </w:rPr>
        <w:t xml:space="preserve"> </w:t>
      </w:r>
      <w:r w:rsidRPr="005761BD">
        <w:rPr>
          <w:rFonts w:ascii="Arial" w:eastAsia="Verdana" w:hAnsi="Arial" w:cs="Arial"/>
          <w:b/>
          <w:sz w:val="22"/>
        </w:rPr>
        <w:t>Развој и примена индикатора циркуларности и подршка привредним субјектима у транзицији ка циркуларној економији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 мера предвиђа развој оквира за праћење циркуларности, укључујући индикаторе за прерађивачку индустрију и сектор услуга као допуну ЕУ оквира индикатора. Биће израђен водич за привредне субјекте са јасним упутствима о примени индикатора у пословној пракси до 2027. године, а циљ је да до 2030. године најмање 30 привредних субјеката прође обуке о ESG концепту. Планирана је подршка имплементацији мера за прелазак на ЦЕ, што ће повећати конкурентност, ефикасност коришћења ресурса, побољшати услове рада и подстаћи запошљавање у компанијама које усвајају циркуларне праксе. До 2030. године очекује се да буде имплементирано најмање четири подржане мере транзиције ка ЦЕ, које ће служити као примери добре праксе у индустрији. Посебна пажња усмерена је на промоцију ESG концепта, који омогућава компанијама да прате и прикажу свој утицај на животну средину и друштво, повећавају транспарентност и олакшавају приступ финансирању. ESG праксе подстичу смањење отпада, рециклажу и одговорно управљање ресурсима.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1.4: Унапређење сарадње научно-истраживачких организација и привреде и подршка успостављању индустријске симбиозе </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Овом мером, предвиђено је јачање сарадње између научно-истраживачких организација и привреде кроз успостављање хаба или платформе за циркуларне иновације који ће окупљати стартапове, истраживачке институције и компаније. До краја 2026. године, планира се израда детаљне анализе стања и развој предлога за ову платформу која ће служити као инкубатор за развој одрживих производа и услуга. Поред тога, спровешће се анализа потенцијала за индустријску симбиозу и развој еко-индустријских паркова у Републици Србији, укључујући идентификацију индустријских зона, технолошких паркова и браунфилд локација погодних за адаптацију. Ова анализа ће обухватити и препоруке за моделе управљања, финансирање и мере подршке предузећима. Циљ је оптимизација коришћења ресурса, смањење отпада и енергетске потрошње, као и подстицање дугорочног одрживог развоја. Планирано је да се предлог за успостављање хаба изради до краја 2026. године, а истовремено ће бити идентификоване најмање три индустријске зоне или локације које имају потенцијал за адаптацију у еко-индустријске паркове. Овај приступ ће подстаћи трансфер знања, иновације и ефикаснију примену ЦЕ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1.5: Подршка развоју циркуларне биоекономије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Овом мером, врши сепромоција у 2025. години израђене Мапе пута за циркуларну биоекономију у Републици Србији као стратешког документа који дефинише смернице за прелазак на одрживи модел заснован на биолошким ресурсима. Мапе пута је израђена у оквиру пројекта CEE2ACT, са сврхом да повезује доносиоце одлука, индустрију, научни и цивилни сектор у спровођењу мера које доприносе циркуларној биоекономији, подстичући иновације и одрживи развој. До 2027. године биће организована најмање четири промотивна догађаја. Кроз Национални центар за биоекономију, који данас окупља представнике 24 институције, </w:t>
      </w:r>
      <w:r w:rsidRPr="005761BD">
        <w:rPr>
          <w:rFonts w:ascii="Arial" w:eastAsia="Verdana" w:hAnsi="Arial" w:cs="Arial"/>
          <w:sz w:val="22"/>
        </w:rPr>
        <w:lastRenderedPageBreak/>
        <w:t>успостављена је платформа за сарадњу и унапређење политике у области биоекономије. Центар ће функционисати кроз годишње састанке (минимум пет до 2030. године), на којима ће се разматрати напредак, размењивати знања и иницирати нови пројекти. Ради формализације сарадње, Меморандум о разумевању је до сада потписан са 24 релевантне институције (Привредна комора Србије, јавна предузећа, факултети, удружења и други актери). Потписивањем Меморандума о разумевању, чланови Центра су формализовали сарадњу и заједнички рад на развоју циркуларне биоекономије. Активности ће бити праћене промотивним материјалом, дигиталном комуникацијом и учешћем на међународним конференцијама, с циљем јачања свести и ангажовања свих релевантних актера.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Институције одговорне за праћење и контролу реализације</w:t>
      </w:r>
      <w:r w:rsidRPr="005761BD">
        <w:rPr>
          <w:rFonts w:ascii="Arial" w:eastAsia="Verdana" w:hAnsi="Arial" w:cs="Arial"/>
          <w:b/>
          <w:sz w:val="22"/>
        </w:rPr>
        <w:t>:</w:t>
      </w:r>
      <w:r w:rsidRPr="005761BD">
        <w:rPr>
          <w:rFonts w:ascii="Arial" w:eastAsia="Verdana" w:hAnsi="Arial" w:cs="Arial"/>
          <w:sz w:val="22"/>
        </w:rPr>
        <w:t xml:space="preserve"> Институт за шумарство, Министарство заштите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Посебан циљ 2: Унапређење капацитета локалних самоуправа за примену принципа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2.1: Подршка одабраним јединицама локалне самоуправе у припреми локалних мапа пута за циркуларну економију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До 2030. године, израдиће се најмање 14 локалних мапа пута за ЦЕ у одабраним ЈЛС, на основу јасно дефинисаних критеријума (величина, степен развијености, еколошки утицај, угроженост здравља, капацитети). До сада су израђене локалне мапе пута за Сомбор, Панчево, Бујановац и Медвеђу. У јулу 2025. године потписани су меморандуми о сарадњи за израду локалних мапа пута у оквиру пројекта ИПА 2022</w:t>
      </w:r>
      <w:r>
        <w:rPr>
          <w:rFonts w:ascii="Arial" w:eastAsia="Verdana" w:hAnsi="Arial" w:cs="Arial"/>
          <w:sz w:val="22"/>
        </w:rPr>
        <w:t>,</w:t>
      </w:r>
      <w:r w:rsidRPr="005761BD">
        <w:rPr>
          <w:rFonts w:ascii="Arial" w:eastAsia="Verdana" w:hAnsi="Arial" w:cs="Arial"/>
          <w:sz w:val="22"/>
        </w:rPr>
        <w:t>,ЕУ за ЦЕ у Србији</w:t>
      </w:r>
      <w:r>
        <w:rPr>
          <w:rFonts w:ascii="Arial" w:eastAsia="Verdana" w:hAnsi="Arial" w:cs="Arial"/>
          <w:sz w:val="22"/>
        </w:rPr>
        <w:t>"</w:t>
      </w:r>
      <w:r w:rsidRPr="005761BD">
        <w:rPr>
          <w:rFonts w:ascii="Arial" w:eastAsia="Verdana" w:hAnsi="Arial" w:cs="Arial"/>
          <w:sz w:val="22"/>
        </w:rPr>
        <w:t>, којим ће бити финансирана израда мапа пута за пет одабраних ЈЛС: Аранђеловац, Ивањица, Нови Пазар, Осечина и Чајетина. Такође, у сарадњи са Сталном конференцијом градова и општина (у даљем тексту: СКГО) тренутно je у изради локална мапа пута за Крушевац, док је у наредној фази потребно обухватити и друге територије. Мапе пута ће садржати мере за економски развој, заштиту животне средине и очување ресурса, као и препоруке за интеграцију у планска и регулаторна документа (нпр. планове заштите животне средине, планове управљања отпадом). У свакој ЈЛС која има израђену и усвојену локалну мапу пута биће спроведене обуке за упознавање са Индексом симбиозе који прати број формализованих партнерстава у области ЦЕ, обим размене ресурса, број заједничких иницијатива са ЈЛС и подршку институционалној инфраструктури. Програм обуке ће бити усмерен на упознавање ЈЛС са Индексом симбиозе, чиме ће се успоставити основа за мрежу циркуларних заједница у Републици Србији. Обуке ће омогућити учесницима да се детаљније упознају са применом Индекса симбиозе и његовим значајем за унапређење међусекторске сарадње и развој циркуларних решења на локалном нивоу.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2.2: Подршка одабраним јединицама локалне самоуправе у имплементацији одређених мера из локалних мапа пута </w:t>
      </w:r>
    </w:p>
    <w:p w:rsidR="005761BD" w:rsidRPr="005761BD" w:rsidRDefault="005761BD" w:rsidP="005761BD">
      <w:pPr>
        <w:spacing w:line="210" w:lineRule="atLeast"/>
        <w:rPr>
          <w:rFonts w:ascii="Arial" w:hAnsi="Arial" w:cs="Arial"/>
        </w:rPr>
      </w:pPr>
      <w:r w:rsidRPr="005761BD">
        <w:rPr>
          <w:rFonts w:ascii="Arial" w:eastAsia="Verdana" w:hAnsi="Arial" w:cs="Arial"/>
          <w:sz w:val="22"/>
        </w:rPr>
        <w:t>Циљ ове мере јесте да се помогне ЈЛС у спровођењу приоритетних мера из њихових локалних мапа пута за циркуларну економију. Подршка ће се пружати путем јавног позива, уз јасно дефинисане критеријуме, укључујући удео суфинансирања од стране ЈЛС. До краја 2030. године, очекује се најмање12 достављених апликација. Ради обезбеђивања квалитетног и конзистентног праћења, очекује се укључивање академских институција са релевантним компетенцијама у овој области, кроз иницијативе усмерене на јачање институционалних капацитета за праћење напретка и умрежавање експертизе. За ове иницијативе биће обезбеђена техничка подршка и простор за подношење апликација у оквиру јавних позива. Резултати ће омогућити идентификацију најуспешнијих пракси и њихову примену у другим срединама, чиме се јачају капацитети локалних заједница за дугорочну примену циркуларних принципа.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2.3: Јачање капацитета надлежних органа локалних самоуправа, јавних и комуналних предузећа и привреде о концепту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За остварење циљева у области ЦЕ неопходно је систематско јачање капацитета службеника локалних самоуправа, запослених у јавним и комуналним предузећима, привреде и других релевантних актера. Програм јачања капацитета ће до 2030. године обухватити најмање десет реализованих догађаја, укључујући обуке, радионице, промотивне активности и студијска путовања, са учешћем најмање 100 полазника из свих циљних група. Садржај ће обухватати теме као што су основни концепти ЦЕ, израда и спровођење локалних мапа пута, управљање отпадом, енергетска ефикасност, зелене јавне набавке, развој зелене инфраструктуре и финансијски механизми за транзицију ка ЦЕ. У оквиру програма предвиђена су најмање два студијска </w:t>
      </w:r>
      <w:r w:rsidRPr="005761BD">
        <w:rPr>
          <w:rFonts w:ascii="Arial" w:eastAsia="Verdana" w:hAnsi="Arial" w:cs="Arial"/>
          <w:sz w:val="22"/>
        </w:rPr>
        <w:lastRenderedPageBreak/>
        <w:t>путовања у земље ЕУ и/или градове са развијеним моделима ЦЕ, чиме ће се омогућити размена искустава, ширење добрих пракси и јачање умрежавања између актера.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i/>
          <w:sz w:val="22"/>
        </w:rPr>
        <w:t>Посебан циљ 3: Унапређење система управљања отпадом кроз промовисање ефикасног искоришћења ресурса и модела индустријске симбиозе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3.1: Унапређење управљања отпадом од текстила у складу са принципима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складу са Европском стратегијом за одрживе и циркуларне текстилне производе, сврха ове мере је успостављање система за сакупљање, сортирање, припрему за поновну употребу и рециклажу текстилног отпада, уз ограничавање брзе моде и промоцију одрживе потрошње. До 2030. године планира се смањење прекомерне потрошње текстила за најмање 20%, успостављање проширене одговорности произвођача (ЕПР) за текстил, као и спровођење најмање десет едукативно-промотивних активности усмерених на промену понашања потрошача. У оквиру мере, успоставиће се најмање четири модела индустријске симбиозе (ИС) између текстилне индустрије и сектора производње изолационих материјала, аутомобилске индустрије (тапацирунзи и унутрашње облоге), грађевинског сектора (панели и изолација) и произвођача папира и целулозе (текстилна влакна као допунска сировина), чиме ће се до 2030. године поново искористити или рециклирати најмање 30% прикупљеног постпотрошачког текстилног отпада</w:t>
      </w:r>
      <w:r w:rsidRPr="005761BD">
        <w:rPr>
          <w:rFonts w:ascii="Arial" w:eastAsia="Verdana" w:hAnsi="Arial" w:cs="Arial"/>
          <w:b/>
          <w:sz w:val="22"/>
        </w:rPr>
        <w:t xml:space="preserve">. </w:t>
      </w:r>
      <w:r w:rsidRPr="005761BD">
        <w:rPr>
          <w:rFonts w:ascii="Arial" w:eastAsia="Verdana" w:hAnsi="Arial" w:cs="Arial"/>
          <w:sz w:val="22"/>
        </w:rPr>
        <w:t>Реализација мере обухвата израду Анализе постојећег стања тржишта отпада од текстила и Студије о прихватљивим опцијама третмана, као и Пилот пројекат за сакупљање постпотрошачког отпада у најмање три тржна центра. Очекивани ефекти су смањење количине текстилног отпада, повећање степена поновне употребе и рециклаже, као и успостављање функционалног система управљања у складу са хијерархијом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3.2. Даљи развој система управљања храном, вишковима хране и отпадом од хране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 мера представља наставак и проширење активности усмерених на унапређење управљања храном у објектима масовне исхране, HORECA сектору и код потрошача. Током 2026. године планирана је израда једног Водича за правилно управљање храном, вишковима хране и отпадом од хране у угоститељским објектима и институционалним кухињама, као и реализација пилот пројекта у одабраним установама који ће обухватити анализу потенцијала за примену ЦЕ, израду модела управљања и промоцију резултата релевантним институцијама. У HORECA сектору наставиће се пилот активности у туристичким местима, уз примену дигиталних алата за оптимизацију величине оброка, ради смањења настајања отпада и подршке одрживом туризму. Посебна пажња биће посвећена едукацији младих, при чему ће до 2030. године бити реализовано најмање 20 едукативних радионица за децу школског узраста ради превенције расипања хране. До краја 2030. године очекује се организовање 30 промотивних догађаја ради представљања резултата пилот пројеката и водича, што ће допринети рационалнијој набавци и припреми хране, смањењу количине отпада и повећању искоришћења отпада од хране за производњу биогорива и компоста. Планирано је успостављање најмање три модела индустријске симбиозе између производње хране, прераде биомасе и енергетике, усмерена на производњу биогорива и компоста, са сврхом да до 2030. године најмање 25% отпада од хране буде искоришћено, праћено пилот пројектима и едукативним активностима.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Mepa 3.3. Подршка у имплементацији захтева ЕУ о смањењу утицаја одређених пластичних производа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 мераподржава имплементацију европских захтева за смањење утицаја одређених пластичних производа за једнократну употребу у складу са Директивом (ЕУ) 2019/904. Пре доношења законских и подзаконских измена, спровешће се Студија о тржишту једнократне пластике и потенцијалима за коришћење одрживијих материјала, заснована на најбољој европској пракси, као и израда Смерница за смањење настајања отпада од једнократне пластике до 2030. године. У оквиру мере планира се организовање најмање десет едукативно-промотивних радионица о примени европских прописа о смањењу утицаја одређених пластичних производа на животну средину, усмерених на мала и средња предузећа и произвођаче, као и на младе потрошаче, ради подизања свести и промоције алтернативних одрживих решења. Поред тога, успоставиће се два модела индустријске симбиозе у којима ће отпад од једнократне пластике бити усмерен ка производњи рециклираних грађевинских материјала, као што су плоче за изолацију и подне облоге, и ка производњи сировина за израду нових пластичних производа, чиме се доприноси значајном смањењу укупне количине отпада и унапређењу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3.4: Подршка рециклажном сектору за унапређење рециклажних процеса у погледу хемикалија и циркуларности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Наведеном мером, усмерава се подршка рециклажном сектору кроз израду приручника о хемикалијама које могу угрозити циркуларни ток материјала и рециклажне процесе, укључујући методе за њихову детекцију и уклањање до 2026.Приручник ће бити доступан у штампаној и електронској форми, а знања ће бити презентована на радионицама и семинарима намењеним рециклажној индустрији и удружењима рециклера. Ове активности ће подстаћи ефикаснију и одговорнију примену контроле хемикалија у рециклажи, обезбеђујући бољу циркуларност рециклата и заштиту здравља и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Посебан циљ 4: Подршка примени добровољних инструмената из области животне средине и зелених јавних набавки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4.1: Промоција примене Еко означавања, EMAS и еко-дизајна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Сврха мере је развој смерница и организовање обука за примену принципа еко-дизајна у производним процесима, уз истовремену подршку компанијама у стицању и коришћењу Еко знака и EMAS као важних инструмента циркуларне економије. Планира се израда најмање 3 смернице за Еко знак, EMAS и еко-дизајн до 2027. године. Мера обухвата усаглашавање критеријума за добијање Еко знака и EMAS са европским стандардима, као и информативне кампање за подизање свести произвођача и потрошача о значају ових алата. Биће организовани стручни семинари о новим стандардима и критеријумима за стицање права на ЕМАS сертификат. Такође, планирано је усвајање измена и допуна Правилника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у складу са ЕУ стандардима.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Квантитативни циљ је повећање броја компанија носилаца Еко знака и компанија које поседују EMAS до 2030. године. Ова мера подстиче развој одрживих производа кроз унапређење квалитета и еколошких карактеристика у складу са принципима еко-дизајна, доприносећи ширењу циркуларне економије у Републици Србији.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4.2: Унапређење капацитета наручилаца и понуђача за повећање употребе зелених критеријума у поступцима јавних набавки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Увођење зелених критеријума у јавне набавке, нови прописи предвиђају обавезну примену зелених критеријума за седам специфицираних група предмета набавки. Ефекти ове мере биће процењени на основу анализе у првој години спровођења, након чега ће се радити на афирмацији релевантних еколошких аспеката, истраживању тржишта и изради предлога за проширење листе предмета за које је примена зелених критеријума обавезна. До 2030. године спроводиће се најмање једна годишња анализа примене зелених критеријума и израдити 20 модела конкурсне документације за зелене јавне набавке. До 2030. године биће организоване обуке за наручиоце и понуђаче, а на основу резултата тржишних истраживања биће припремљен предлог за проширење обавезних предмета набавки са зеленим критеријумима. Ова мера је у потпуности усклађена са циљевима и активностима Програма развоја јавних набавки у Републици Србији за период 2024</w:t>
      </w:r>
      <w:r>
        <w:rPr>
          <w:rFonts w:ascii="Arial" w:eastAsia="Verdana" w:hAnsi="Arial" w:cs="Arial"/>
          <w:sz w:val="22"/>
        </w:rPr>
        <w:t>-</w:t>
      </w:r>
      <w:r w:rsidRPr="005761BD">
        <w:rPr>
          <w:rFonts w:ascii="Arial" w:eastAsia="Verdana" w:hAnsi="Arial" w:cs="Arial"/>
          <w:sz w:val="22"/>
        </w:rPr>
        <w:t>2028. године, који предвиђа увођење и јачање зелених критеријума у поступцима јавних набавки и развој капацитета наручилаца и понуђача. Спровођењем ове мере обезбеђује се доследност између мера овог програма и Програма развоја јавних набавки у Републици Србији за период 2024</w:t>
      </w:r>
      <w:r>
        <w:rPr>
          <w:rFonts w:ascii="Arial" w:eastAsia="Verdana" w:hAnsi="Arial" w:cs="Arial"/>
          <w:sz w:val="22"/>
        </w:rPr>
        <w:t>-</w:t>
      </w:r>
      <w:r w:rsidRPr="005761BD">
        <w:rPr>
          <w:rFonts w:ascii="Arial" w:eastAsia="Verdana" w:hAnsi="Arial" w:cs="Arial"/>
          <w:sz w:val="22"/>
        </w:rPr>
        <w:t>2028. године, као и избегавање преклапања активности, уз јасно дефинисану оперативну примену зелених критеријума.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Канцеларија за јавне набавке.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4.3: Унапређење промоције коришћења стандарда из области циркуларне економије кроз примену серије стандарда ISO 59 000</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Кључни предуслов за широку примену добровољних инструмената за сертификацију јесте добра информисаност привреде и корисника о њиховим предностима, уз јасне процедуре и критеријуме за увођење и примену. Постоји значајан потенцијал за повећање обима сертификације по релевантним стандардима, као што су нови стандарди за ЦЕ и ISO 14001, кроз израду смерница и правилника и њихову додатну промоцију. Мера предвиђа израду најмање десет брошура о новим стандардима за ЦЕ до 2030. године. Очекује се да ће </w:t>
      </w:r>
      <w:r w:rsidRPr="005761BD">
        <w:rPr>
          <w:rFonts w:ascii="Arial" w:eastAsia="Verdana" w:hAnsi="Arial" w:cs="Arial"/>
          <w:sz w:val="22"/>
        </w:rPr>
        <w:lastRenderedPageBreak/>
        <w:t>две компаније увести стандард серије 59 000 до 2027. Ова мера допринеће јачању и унапређењу система сертификације као важног инструмента за развој циркуларне економије у Србији. У оквиру ове мере спровешће се и пилот пројекат за увођење стандарда серије ISO 59 000 у одабране компаније, како би се тестирале процедуре и обезбедила ефикасна примена стандарда.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4.4: Подршка развоју одрживог туризма кроз примену концепта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Имајући у виду јаку повезаност туристичких услуга са производима и услугама у другим привредним секторима (нпр. грађевинарство, пољопривреда, прехрамбена индустрија), потражња у контексту одрживог туризма може се пренети и у друге секторе подстичући тако одрживу потрошњу и производњу по циркуларном моделу у различитим привредним гранама, али и позитивно деловати на развој локалних заједница уз промовисање заштите животне средине, очувања природних ресурса и локалних вредности. Да би се овај потенцијал могао искористити неопходно је подржати трансформације ка одрживој туристичкој понуди која свој пословни модел заснива на циркуларним принципима (уз коришћење циркуларних производа и материјала и/или структурирање туристичких пакета који промовишу одрживост и циркуларност), а кроз едукацију и сарадњу с локалним самоуправама и другим заинтересованим странама. Ради прецизирања критеријума за туристичке дестинације, као и понуде хотелијерске индустрије и организатора путовања у Републици Србији које се сматрају одрживим, мером је предвиђена израда националних критеријума за одрживи развој туризма. У сврху подстицања трансформације ка одрживој туристичкој понуди која свој пословни модел заснива на циркуларним принципима, мером је предвиђена израда брошура и организација семинара о одрживом туризму, принципима циркуларности и релевантним критеријумима за представнике локалних самоуправа и других заинтересованих страна. Одговорне институције за реализацију мере је Министарство туризма и омладине, а предвиђено је да се она реализује у сарадњи са Министарством заштите животне средине и UNDP. Реализација мере пратиће се преко броја категорија за које су израђени Национални критеријуми за одрживи развој туризмa, израде брошуре о одрживом туризму, принципима циркуларности и релевантним критеријумима и укупног броја одржаних семинара на ову тему. Предвиђена мера је подстицајног типа и информативно-едукативног карактера. Ова мера је усклађена са Предлогом стратегије развоја туризма Републике Србије, која је прошла процес јавне расправе и која као један од посебних циљева препознаје унапређење одрживости туристичког сектора. Мера 4.4 доприноси операционализацији тог циља кроз примену принципа ЦЕ у развоју туристичке понуде, едукацију релевантних актера и дефинисање националних критеријума за одрживи развој туризма. У случају да се овај програм усвоји пре коначног усвајања Стратегије развоја туризма у Републици Србији, спровођење мере ће бити усклађено са коначним текстом наведене Стратегије, како би се обезбедила пуна комплементарност мера, избегло преклапање активности и осигурала доследна примена јавних политика у области одрживог туризма.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Посебан циљ 5: Подизање свести јавности о концепту циркуларне економије уз унапређење и примену научних сазнања у пракси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5.1: Информисање и едукација заинтересоване јавности о концепту циркуларне економије и одрживог развоја </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Сврха ове мере је подизање свести јавности о концепту ЦЕ кроз систематске информативно-едукативне активности усмерене на различите циљне групе: грађане, медије, компаније, институције и доносиоце одлука. Поред тога, паралелно треба спровести теренско истраживање, које укључује све релевантне актере ЈЛС, којим ће се идентификовање препреке и мотивација за примену циркуларних принципа у пракси. Такође, мера обухвата израду и спровођење Плана јачања свести, који дефинише циљеве, кључне поруке и методе комуникације (ТВ, радио, друштвене мреже, радионице, конференције). Информисање и едукација имају за сврху промену ставова и понашања, као и увођење циркуларних принципа у пословне и законодавне праксе. Посебна пажња посвећена је укључивању стручњака и предузетника у привреди, као и медија и цивилног сектора који могу подстаћи шире прихватање концепта. Пратећи показатељи су број реализованих кампања: 15 за јавност и 15 за образовне институције до 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5.2: Информисање и едукација образовних институција о концепту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За успешну транзицију ка ЦЕ неопходно је да буду информисани сви садашњи и будући учесници, што подразумева квалитетну едукацију од најранијег узраста. Мера предвиђа систематску едукацију о принципима </w:t>
      </w:r>
      <w:r w:rsidRPr="005761BD">
        <w:rPr>
          <w:rFonts w:ascii="Arial" w:eastAsia="Verdana" w:hAnsi="Arial" w:cs="Arial"/>
          <w:sz w:val="22"/>
        </w:rPr>
        <w:lastRenderedPageBreak/>
        <w:t>ЦЕ кроз образовне институције, од основних школа, преко средњих, до факултета. Основа је План кампање за подизање свести у образовању, који дефинише циљеве, поруке, методе и ресурсе прилагођене узрасту и нивоу образовања. Кампања је усмерена на младе, како би унапредили своје знање и били спремни да примене принципе циркуларне економије у будућим професијама. Реализација мере пратиће се преко броја образовних институција укључених у кампању и броја ученика и студената који су учествовали. Такође, планира се сарадња са високошколским установама ради увођења нових предмета или прилагођавања постојећих студијских програма, како би се концепт ЦЕ интегрисао у академско образовање на основним, мастер и струковним студијама. Показатељи успеха су 20 образовних институција обухваћених кампањом до 2030. године и увођење концепта ЦЕ у студијске програме у најмање пет високошколских установа у истом периоду. Поред тога, као пилот пројекат, планира се донирање канти за примарно раздвајање отпада (пластика, папир, метал, остало) и засађивање садница дрвећа у двориштима пет предшколских установа, како би најмлађи били укључени у практичну примену принципа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Институција одговорна за праћење и контролу реализације: Министарство заштите животне средине.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6. ПОКАЗАТЕЉИ УЧИНКА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овој глави Програма приказани су показатељи учинка до 2030. године, у складу са Акционим планом за период 2026</w:t>
      </w:r>
      <w:r>
        <w:rPr>
          <w:rFonts w:ascii="Arial" w:eastAsia="Verdana" w:hAnsi="Arial" w:cs="Arial"/>
          <w:sz w:val="22"/>
        </w:rPr>
        <w:t>-</w:t>
      </w:r>
      <w:r w:rsidRPr="005761BD">
        <w:rPr>
          <w:rFonts w:ascii="Arial" w:eastAsia="Verdana" w:hAnsi="Arial" w:cs="Arial"/>
          <w:sz w:val="22"/>
        </w:rPr>
        <w:t>2027. године и показатељи за други Акциони план за период 2028</w:t>
      </w:r>
      <w:r>
        <w:rPr>
          <w:rFonts w:ascii="Arial" w:eastAsia="Verdana" w:hAnsi="Arial" w:cs="Arial"/>
          <w:sz w:val="22"/>
        </w:rPr>
        <w:t>-</w:t>
      </w:r>
      <w:r w:rsidRPr="005761BD">
        <w:rPr>
          <w:rFonts w:ascii="Arial" w:eastAsia="Verdana" w:hAnsi="Arial" w:cs="Arial"/>
          <w:sz w:val="22"/>
        </w:rPr>
        <w:t>2030. године за спровођење овог програма.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6.1. Показатељи учинка на нивоу општег циља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За општи циљ: Достизање циљева одрживог развоја кроз системску примену концепта циркуларне економије за рационално коришћење ресурса и енергије засновано на знањима, иновацијама и дигитализацији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Институција одговорна за праћење и контролу реализације: </w:t>
      </w:r>
      <w:r w:rsidRPr="005761BD">
        <w:rPr>
          <w:rFonts w:ascii="Arial" w:eastAsia="Verdana" w:hAnsi="Arial" w:cs="Arial"/>
          <w:sz w:val="22"/>
        </w:rPr>
        <w:t>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домаћа потрошња материјала по становнику, стопа рециклаже комуналног отпада, продуктивност ресурса, стопа кружне употребе материјала, запослени у секторима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24,6 тона (2023); 17,7% (2022); 43,1 РСД/kg (2023); 1,4 % (2019).</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22,6 тона (2027); 26,4% (2027); 40,2 </w:t>
      </w:r>
      <w:r w:rsidRPr="005761BD">
        <w:rPr>
          <w:rFonts w:ascii="Arial" w:eastAsia="Verdana" w:hAnsi="Arial" w:cs="Arial"/>
          <w:sz w:val="22"/>
        </w:rPr>
        <w:br/>
        <w:t>РСД/ kg (2027); 4 %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20,6 тона (2030); 29,4% (2030); 37,2 </w:t>
      </w:r>
      <w:r w:rsidRPr="005761BD">
        <w:rPr>
          <w:rFonts w:ascii="Arial" w:eastAsia="Verdana" w:hAnsi="Arial" w:cs="Arial"/>
          <w:sz w:val="22"/>
        </w:rPr>
        <w:br/>
        <w:t>РСД/ kg (2030); 6 % (2030).</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6.2. Показатељи учинка на нивоу посебних циљева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Посебан циљ 1: Подршка привредном сектору у транзицији ка циркуларним пословним моделима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 који спроводи активност:</w:t>
      </w:r>
      <w:r w:rsidRPr="005761BD">
        <w:rPr>
          <w:rFonts w:ascii="Arial" w:eastAsia="Verdana" w:hAnsi="Arial" w:cs="Arial"/>
          <w:sz w:val="22"/>
        </w:rPr>
        <w:t xml:space="preserve"> Министарство заштите животне средине и Институт за шумарство.</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Органи партнери у спровођењу активности:</w:t>
      </w:r>
      <w:r w:rsidRPr="005761BD">
        <w:rPr>
          <w:rFonts w:ascii="Arial" w:eastAsia="Verdana" w:hAnsi="Arial" w:cs="Arial"/>
          <w:sz w:val="22"/>
        </w:rPr>
        <w:t xml:space="preserve"> Привредна комора Србије, UNDP, пројекат ИПА 2022, Министарство привреде, Министарство финансија, одабрани привредни субјекти, Национална алијанса за локални економски развој </w:t>
      </w:r>
      <w:r>
        <w:rPr>
          <w:rFonts w:ascii="Arial" w:eastAsia="Verdana" w:hAnsi="Arial" w:cs="Arial"/>
          <w:sz w:val="22"/>
        </w:rPr>
        <w:t>-</w:t>
      </w:r>
      <w:r w:rsidRPr="005761BD">
        <w:rPr>
          <w:rFonts w:ascii="Arial" w:eastAsia="Verdana" w:hAnsi="Arial" w:cs="Arial"/>
          <w:sz w:val="22"/>
        </w:rPr>
        <w:t xml:space="preserve"> НАЛЕД, Министарство пољопривреде, шумарства и водопривреде, Управа за шуме.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Стопа коришћења циркуларних ресурса у индустрији.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1,1% (2023).</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1,2%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1,3%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Посебан циљ 2: Унапређење капацитета локалних самоуправа за примену принципа циркуларне 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Орган који спроводи активност: </w:t>
      </w:r>
      <w:r w:rsidRPr="005761BD">
        <w:rPr>
          <w:rFonts w:ascii="Arial" w:eastAsia="Verdana" w:hAnsi="Arial" w:cs="Arial"/>
          <w:sz w:val="22"/>
        </w:rPr>
        <w:t>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Органи партнери у спровођењу активности</w:t>
      </w:r>
      <w:r w:rsidRPr="005761BD">
        <w:rPr>
          <w:rFonts w:ascii="Arial" w:eastAsia="Verdana" w:hAnsi="Arial" w:cs="Arial"/>
          <w:sz w:val="22"/>
        </w:rPr>
        <w:t>: одабране ЈЛС, Привредна комора Србије, предузећа инкубатори, стартап центри, UNDP, Министарство привреде, пројекат ИПА 2022.</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Укупан број ЈЛС којима је кроз програм пружена подршка у увођењу концепта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Почетна вредност:</w:t>
      </w:r>
      <w:r w:rsidRPr="005761BD">
        <w:rPr>
          <w:rFonts w:ascii="Arial" w:eastAsia="Verdana" w:hAnsi="Arial" w:cs="Arial"/>
          <w:sz w:val="22"/>
        </w:rPr>
        <w:t xml:space="preserve"> 4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10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20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Посебан циљ 3: Унапређење система управљања отпадом кроз промовисање ефикасног искоришћења ресурса и модела индустријске симбиозе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 који спроводи активност:</w:t>
      </w:r>
      <w:r w:rsidRPr="005761BD">
        <w:rPr>
          <w:rFonts w:ascii="Arial" w:eastAsia="Verdana" w:hAnsi="Arial" w:cs="Arial"/>
          <w:sz w:val="22"/>
        </w:rPr>
        <w:t xml:space="preserve"> 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Органи партнери у спровођењу активности: </w:t>
      </w:r>
      <w:r w:rsidRPr="005761BD">
        <w:rPr>
          <w:rFonts w:ascii="Arial" w:eastAsia="Verdana" w:hAnsi="Arial" w:cs="Arial"/>
          <w:sz w:val="22"/>
        </w:rPr>
        <w:t>Министарство привреде, Привредна комора Србије, UNDP, Министарство просвете, Министарство пољопривреде, шумарства и водопривреде, Туристичка организација Србије, предшколске установе, студентске мензе, удружења рециклера.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укупан број израђених докумената, укупан број реализованих пилот пројеката, укупан број едукативно промотивних активности за унапређење система управљања отпадом.</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1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6 (2027); 6 (2027); 6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8 (2030); 8 (2030); 8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Посебан циљ 4: Подршка примени добровољних инструмената из области животне средине и зелених јавних набавки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 који спроводи активност:</w:t>
      </w:r>
      <w:r w:rsidRPr="005761BD">
        <w:rPr>
          <w:rFonts w:ascii="Arial" w:eastAsia="Verdana" w:hAnsi="Arial" w:cs="Arial"/>
          <w:sz w:val="22"/>
        </w:rPr>
        <w:t xml:space="preserve"> Министарство заштите животне средине, Канцеларија за јавне набавке.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Органи партнери у спровођењу активности:</w:t>
      </w:r>
      <w:r w:rsidRPr="005761BD">
        <w:rPr>
          <w:rFonts w:ascii="Arial" w:eastAsia="Verdana" w:hAnsi="Arial" w:cs="Arial"/>
          <w:sz w:val="22"/>
        </w:rPr>
        <w:t xml:space="preserve"> Привредна комора Србије, Институт за стандардизацију Србије, Национална алијанса за локални економски развој </w:t>
      </w:r>
      <w:r>
        <w:rPr>
          <w:rFonts w:ascii="Arial" w:eastAsia="Verdana" w:hAnsi="Arial" w:cs="Arial"/>
          <w:sz w:val="22"/>
        </w:rPr>
        <w:t>-</w:t>
      </w:r>
      <w:r w:rsidRPr="005761BD">
        <w:rPr>
          <w:rFonts w:ascii="Arial" w:eastAsia="Verdana" w:hAnsi="Arial" w:cs="Arial"/>
          <w:sz w:val="22"/>
        </w:rPr>
        <w:t xml:space="preserve"> НАЛЕД, Министарство привреде, Mинистарство туризма и омладине.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Удео поступака јавних набавки са зеленим критеријумима у укупном броју поступака, број компанија које су носиоци права на Еко знак, број компанија које примењују еко-дизајн.</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6,91% (2024); 2 (2023);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10% (2027); 6 (2027); 4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15% (2030); 8 (2030); 6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Посебан циљ 5: Подизање свести јавности о концепту циркуларне економије уз унапређење и примену научних сазнања у пракси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Орган који спроводи активност: </w:t>
      </w:r>
      <w:r w:rsidRPr="005761BD">
        <w:rPr>
          <w:rFonts w:ascii="Arial" w:eastAsia="Verdana" w:hAnsi="Arial" w:cs="Arial"/>
          <w:sz w:val="22"/>
        </w:rPr>
        <w:t>Министарство заштите животне средине.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Органи партнери у спровођењу активности: </w:t>
      </w:r>
      <w:r w:rsidRPr="005761BD">
        <w:rPr>
          <w:rFonts w:ascii="Arial" w:eastAsia="Verdana" w:hAnsi="Arial" w:cs="Arial"/>
          <w:sz w:val="22"/>
        </w:rPr>
        <w:t>високошколске установе, удружења потрошача, цивилни сектор, Министарство просвете, Привредна комора Србије, предшколске установе.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Укупан број реализованих кампања о ЦЕ (јавност); укупан број реализованих кампања о ЦЕ (образовне институције); укупан број реализованих кампања о одрживом развоју у предшколским установама.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4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9 (2027); 10 (2027); 15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12 (2030); 12 (2030); 25 (2030).</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6.3. Показатељи учинка на нивоу мера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Посебан циљ 1: Подршка привредном сектору у транзицији ка циркуларним пословним моделима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1.1:</w:t>
      </w:r>
      <w:r w:rsidRPr="005761BD">
        <w:rPr>
          <w:rFonts w:ascii="Arial" w:eastAsia="Verdana" w:hAnsi="Arial" w:cs="Arial"/>
          <w:sz w:val="22"/>
        </w:rPr>
        <w:t xml:space="preserve"> </w:t>
      </w:r>
      <w:r w:rsidRPr="005761BD">
        <w:rPr>
          <w:rFonts w:ascii="Arial" w:eastAsia="Verdana" w:hAnsi="Arial" w:cs="Arial"/>
          <w:b/>
          <w:sz w:val="22"/>
        </w:rPr>
        <w:t xml:space="preserve">Едукација привредних субјеката и предузетника за примену концепта циркуларне 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реализованих догађаја за привредне субјекте, број реализованих радионица, број припремљених пријава на јавни позив за привредне субјекте.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Почетна вредност:</w:t>
      </w:r>
      <w:r w:rsidRPr="005761BD">
        <w:rPr>
          <w:rFonts w:ascii="Arial" w:eastAsia="Verdana" w:hAnsi="Arial" w:cs="Arial"/>
          <w:sz w:val="22"/>
        </w:rPr>
        <w:t xml:space="preserve"> 0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5 (2027); 5 (2027); 15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7 (2030); 8 (2030); 20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1.2:</w:t>
      </w:r>
      <w:r w:rsidRPr="005761BD">
        <w:rPr>
          <w:rFonts w:ascii="Arial" w:eastAsia="Verdana" w:hAnsi="Arial" w:cs="Arial"/>
          <w:sz w:val="22"/>
        </w:rPr>
        <w:t xml:space="preserve"> </w:t>
      </w:r>
      <w:r w:rsidRPr="005761BD">
        <w:rPr>
          <w:rFonts w:ascii="Arial" w:eastAsia="Verdana" w:hAnsi="Arial" w:cs="Arial"/>
          <w:b/>
          <w:sz w:val="22"/>
        </w:rPr>
        <w:t>Анализа потенцијала за примену модела циркуларне економије у сектору прерађивачке индустрије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укупан број привредних субјеката који имају израђене пословне акционе планове за прелазак на ЦЕ, предлог мера подршке за супституцију увоза посебних токова отпада.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Не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10 (2027); Да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 20 (2030); Да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1.3:</w:t>
      </w:r>
      <w:r w:rsidRPr="005761BD">
        <w:rPr>
          <w:rFonts w:ascii="Arial" w:eastAsia="Verdana" w:hAnsi="Arial" w:cs="Arial"/>
          <w:sz w:val="22"/>
        </w:rPr>
        <w:t xml:space="preserve"> </w:t>
      </w:r>
      <w:r w:rsidRPr="005761BD">
        <w:rPr>
          <w:rFonts w:ascii="Arial" w:eastAsia="Verdana" w:hAnsi="Arial" w:cs="Arial"/>
          <w:b/>
          <w:sz w:val="22"/>
        </w:rPr>
        <w:t>Развој и примена индикатора циркуларности и подршка привредним субјектима у транзицији ка циркуларној економији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израђени Водичи за привредне субјекте о индикаторима циркуларности, број подржаних мера за прелазак на ЦЕ, број привредних субјеката који су присуствовали обукама о ESG концепту.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(2027); 3 (2027); 15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5 (2030); 40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1.4: Унапређење сарадње научно-истраживачких организација и привреде и подршка успостављању индустријске симбиозе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предлог за успостављење Хаб-а за умрежавање и сарадњу у области циркуларе економије, израђен предлог за успостављање индустријске симбиозе или индустријских зона, технолошких паркова и браунфилд локација које имају потенцијал за адаптацију у еко-индустријске паркове.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Не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Да (2026);</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Да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1.5: Подршка развоју циркуларне биоекономије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догађаја на којима се промовише Мапа пута за циркуларну биоекономију у Републици Србији, број чланова који су потписали Меморандум о разумевању, број годишњих састанака чланова Центра за биоекономију.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4 (2027); 30 (2027); 2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6 (2030); 40 (2030); 4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Посебан циљ 2: Унапређење капацитета локалних самоуправа за примену принципа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2.1: Подршка одабраним ЈЛС у припреми локалних мапа пута за циркуларну економију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ЈЛС за које су израђене локалне мапе пута, укупан број ЈЛС зa које су усвојене и јавно објављене локалне мапе пута, број годишње одржаних обука за ЈЛС у вези Индекса симбиозе.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Почетна вредност:</w:t>
      </w:r>
      <w:r w:rsidRPr="005761BD">
        <w:rPr>
          <w:rFonts w:ascii="Arial" w:eastAsia="Verdana" w:hAnsi="Arial" w:cs="Arial"/>
          <w:sz w:val="22"/>
        </w:rPr>
        <w:t xml:space="preserve"> 4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10 (2027); 10 (2027); 4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30 (2030); 20 (2030); 6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2.2: Подршка одабраним ЈЛС у имплементацији одређених мера из локалних мапа пута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Подстицајна.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апликација достављених на јавни позив, укупан број имплементираних мера за ЦЕ.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6 (2027); 3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15 (2030); 10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2.3: Јачање капацитета надлежних органа локалних самоуправа, јавних и комуналних предузећа и привреде о концепту циркуларне 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реализованих догађаја, број полазника обука.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3 (2027); 60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6 (2030); 100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Посебан циљ 3: Унапређење система управљања отпадом кроз промовисање ефикасног искоришћења ресурса и модела индустријске симбиозе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3.1: Унапређење управљања отпадом од текстила у складу са принципима ЦЕ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израђена анализа постојећег стања, израђена студија, спроведен пилот пројекат, број едукативно-промотивних активности, број успостављених модела индустријске симбиозе.</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Не (2024); Не (2024); </w:t>
      </w:r>
      <w:r w:rsidRPr="005761BD">
        <w:rPr>
          <w:rFonts w:ascii="Arial" w:eastAsia="Verdana" w:hAnsi="Arial" w:cs="Arial"/>
          <w:sz w:val="22"/>
        </w:rPr>
        <w:br/>
        <w:t>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Да (2026); Да (2027); 8 (2027); 3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Да (2030); Да (2030); 16 (2030); 5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3.2. Даљи развој система управљања храном, вишковима хране и отпадом од хране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 водич за управљање храном, број едукативних радионица, број догађаја.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10 (2027); 8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15 (2030); 12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Mepa 3.3. Подршка имплементацији захтева ЕУ о смањењу утицаја одређених пластичних производа на животну средину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 Студија, израђене Смернице, број едукативно-промотивних радионица.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Не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Да (2026); 5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Да (2030); 8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Мера 3.4: Подршка рециклажном сектору за унапређење рециклажних процеса у погледу хемикалија и циркуларности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 приручник, број радионица/семинара.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2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5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Посебан циљ 4: Подршка примени добровољних инструмената из области животне средине и зелених јавних набавки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4.1: Промоција примене Еко означавања, EMAS и еко-дизајна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Подстицајна и регулаторна.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обука, смернице за Еко знак, EMAS и еко-дизајн, број компанија носилаца Еко знака, број компанија које поседују EMAS.</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 2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5 (2027); 3 (2027); 5 (2027); 2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10 (2030); 6 (2030); 10 (2030); 3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Мера 4.2: Употребе зелених критеријума у поступцима јавних набавки кроз унапређење капацитета наручилаца и понуђача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Подстицајна.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урађена анализа коришћења зелених критеријума у јавним набавкама, број обука, израђен предлог за проширење листе предмета набавки, број израђених моделa конкурсних документација.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2 (2024); Не (2024), 11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(2027); 2 (2027); Да (2027); 13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5 (2030); Да (2030); 15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4.3: Унапређење промоције коришћења стандарда из области циркуларне економије кроз примену серије стандарда ISO 59 000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израђених брошура, број одржаних семинара, број компанија које су увеле стандард серије ISO 59000.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5 (2027); 5 (2027); 2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7 (2030); 8 (2030); 4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4.4: Подршка развоју одрживог туризма кроз примену концепта циркуларне 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Врста мере: </w:t>
      </w:r>
      <w:r w:rsidRPr="005761BD">
        <w:rPr>
          <w:rFonts w:ascii="Arial" w:eastAsia="Verdana" w:hAnsi="Arial" w:cs="Arial"/>
          <w:sz w:val="22"/>
        </w:rPr>
        <w:t>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категорија за које су израђени Национални критеријуми за одрживи развој туризмa; израђена брошура о одрживом туризму, принципима циркуларности и релевантним критеријумима; број одржаних семинара о одрживом туризму, принципима циркуларности и релевантним критеријумима.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Не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5 (2027); Да (2027); 3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7 (2030); Да (2030); 4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Посебан циљ 5: Подизање свести јавности о концепту циркуларне економије уз унапређење и примену научних сазнања у пракси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lastRenderedPageBreak/>
        <w:t xml:space="preserve">Мера 5.1: Информисање и едукација заинтересоване јавности о концепту циркуларне економије и одрживог развоја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Врста мере:</w:t>
      </w:r>
      <w:r w:rsidRPr="005761BD">
        <w:rPr>
          <w:rFonts w:ascii="Arial" w:eastAsia="Verdana" w:hAnsi="Arial" w:cs="Arial"/>
          <w:sz w:val="22"/>
        </w:rPr>
        <w:t xml:space="preserve"> Информативно-едукативна.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израђен План подизања свести заинтересоване јавности о ЦЕ и одрживом развоју, укупан број одржаних догађаја у оквиру реализације Плана за заинтересовану јавност на којима се промовише ЦЕ и одрживи развој, испитивање свести и ставова јавности.</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Не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Да (2026); 4 (2027); 1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(2030); 6 (2030); 2 (2030).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Мера 5.2: Информисање и едукација образовних институција о концепту циркуларне економије </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Врста мере: </w:t>
      </w:r>
      <w:r w:rsidRPr="005761BD">
        <w:rPr>
          <w:rFonts w:ascii="Arial" w:eastAsia="Verdana" w:hAnsi="Arial" w:cs="Arial"/>
          <w:sz w:val="22"/>
        </w:rPr>
        <w:t>Информативно</w:t>
      </w:r>
      <w:r w:rsidRPr="005761BD">
        <w:rPr>
          <w:rFonts w:ascii="Arial" w:eastAsia="Verdana" w:hAnsi="Arial" w:cs="Arial"/>
          <w:b/>
          <w:sz w:val="22"/>
        </w:rPr>
        <w:t>-</w:t>
      </w:r>
      <w:r w:rsidRPr="005761BD">
        <w:rPr>
          <w:rFonts w:ascii="Arial" w:eastAsia="Verdana" w:hAnsi="Arial" w:cs="Arial"/>
          <w:sz w:val="22"/>
        </w:rPr>
        <w:t>едукативна.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Показатељи резултата:</w:t>
      </w:r>
      <w:r w:rsidRPr="005761BD">
        <w:rPr>
          <w:rFonts w:ascii="Arial" w:eastAsia="Verdana" w:hAnsi="Arial" w:cs="Arial"/>
          <w:sz w:val="22"/>
        </w:rPr>
        <w:t xml:space="preserve"> број образовних институција укључених у кампању подизања свести, број високошколских установа које су увеле циркуларну економију у студијске програме, број предшколских установа у којима су дониране канте за примарно раздвајање отпада и засађених садница у дворишту.</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Почетна вредност:</w:t>
      </w:r>
      <w:r w:rsidRPr="005761BD">
        <w:rPr>
          <w:rFonts w:ascii="Arial" w:eastAsia="Verdana" w:hAnsi="Arial" w:cs="Arial"/>
          <w:sz w:val="22"/>
        </w:rPr>
        <w:t xml:space="preserve"> 0 (2024); 0 (2024); 0 (2024).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Циљана вредност:</w:t>
      </w:r>
      <w:r w:rsidRPr="005761BD">
        <w:rPr>
          <w:rFonts w:ascii="Arial" w:eastAsia="Verdana" w:hAnsi="Arial" w:cs="Arial"/>
          <w:sz w:val="22"/>
        </w:rPr>
        <w:t xml:space="preserve"> 10 (2027); 3 (2027); 15 (2027);</w:t>
      </w:r>
    </w:p>
    <w:p w:rsidR="005761BD" w:rsidRPr="005761BD" w:rsidRDefault="005761BD" w:rsidP="005761BD">
      <w:pPr>
        <w:spacing w:line="210" w:lineRule="atLeast"/>
        <w:rPr>
          <w:rFonts w:ascii="Arial" w:hAnsi="Arial" w:cs="Arial"/>
        </w:rPr>
      </w:pPr>
      <w:r w:rsidRPr="005761BD">
        <w:rPr>
          <w:rFonts w:ascii="Arial" w:eastAsia="Verdana" w:hAnsi="Arial" w:cs="Arial"/>
          <w:sz w:val="22"/>
        </w:rPr>
        <w:t>15 (2030); 5 (2030); 30 (2030).</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7. МЕХАНИЗАМ ЗА СПРОВОЂЕЊЕ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Министарство заштите животне средине предлаже Програм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и одговорно је за спровођење активности и вредновање постигнутих учинака. Акциони план за прве две године (2026. и 2027. годину) саставни је део овог програма и садржи један општи циљ и пет посебних циљева са мерама и активностима које ће се спроводити у наведеном периоду.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складу са чланом 39. Закона о планском систему Републике Србије, овај документ ће се реализовати кроз спровођење мера и активности утврђеним у акционом плану. У складу са чланом 40. Закона о планском систему Републике Србије праћење ће се вршити преко квалитативних и квантитативних показатеља за мерење учинака. За праћење спровођења и вредновања учинака користиће се подаци и информације добијени од свих релевантних органа и организација, као и подаци и информације које су прибављене из других извора, а који се односе на учинке јавне политике. Методологија праћења и показатељи учинка са индикаторима циркуларне економије, индикаторима индустријске симбиозе и интегрисани оквир за планирање, праћење и унапређење стратегија циркуларне економије који је заснован на LCA анализи, BSC карти и PDCA циклусу, детаљно су дати у Прилогу 2. овог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програм као документ јавних политика се, такође, прати кроз Јединствени информациони систем за планирање, праћење спровођења, координацију јавних политика и извештавање (ЈИС) који представља јединствени електронски систем у који учесници у планском систему уносе садржај својих докумената јавних политика и средњорочне планове и врше извештавање у складу са Законом о планском систему Републике Србије. Овај информациони систем води Влада Републике Србије преко Републичког секретаријата за јавне политике на такав начин да се обезбеди веза између садржаја јавних политика, средњорочних планова корисника буџетских средстава надлежних за спровођење мера јавних политика и њихових финансијских планова. На основу члана 47. Закона о планском систему Републике Србије, кроз овај информациони систем ће се обезбеђивати благовремено извештавање о оствареним циљевима и праћење остварених вредности показатеља учинка.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складу са чланом 43. став 3. Закона о планском систему Републике Србије, Министарство заштите животне средине, као предлагач овог документа јавне политике има обавезу да извештава Владу, преко надлежног органа за координацију јавних политика, о резултатима спровођења овог документа, најкасније у року од 120 дана по истеку сваке календарске године од дана усвајања. Поред годишњег извештаја, Влади ће се доставити и финални извештај о реализованим активностима најкасније шест месеци након истека примене овог документа.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 xml:space="preserve">На основу члана 40. наведеног закона, након истека периода важења програма и престанка примене, надлежни орган је у обавези да изради </w:t>
      </w:r>
      <w:r w:rsidRPr="005761BD">
        <w:rPr>
          <w:rFonts w:ascii="Arial" w:eastAsia="Verdana" w:hAnsi="Arial" w:cs="Arial"/>
          <w:i/>
          <w:sz w:val="22"/>
        </w:rPr>
        <w:t>еx-post</w:t>
      </w:r>
      <w:r w:rsidRPr="005761BD">
        <w:rPr>
          <w:rFonts w:ascii="Arial" w:eastAsia="Verdana" w:hAnsi="Arial" w:cs="Arial"/>
          <w:sz w:val="22"/>
        </w:rPr>
        <w:t xml:space="preserve"> анализу ефеката која ће сагледати ефекте мера и активности садржаних у програму, стварне позитивне и негативне, директне и индиректне ефекте током примене документа јавне политике, у циљу њиховог преиспитивања и унапређења. Оцењује се релевантност, ефикасност, ефективност и одрживост јавне политике.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8. ОКВИРНА ПРОЦЕНА УКУПНИХ ТРОШКОВА ЗА РЕАЛИЗАЦИЈУ ПРОГРАМА И ИДЕНТИФИКАЦИЈА ИЗВОРА ИЗ КОЈИХ СЕ ОБЕЗБЕЂУЈУ СРЕДСТВА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Ово поглавље пружа оквирну процену финансијских средстава потребних за спровођење Програма, са фокусом на први двогодишњи акциони период 2026</w:t>
      </w:r>
      <w:r>
        <w:rPr>
          <w:rFonts w:ascii="Arial" w:eastAsia="Verdana" w:hAnsi="Arial" w:cs="Arial"/>
          <w:sz w:val="22"/>
        </w:rPr>
        <w:t>-</w:t>
      </w:r>
      <w:r w:rsidRPr="005761BD">
        <w:rPr>
          <w:rFonts w:ascii="Arial" w:eastAsia="Verdana" w:hAnsi="Arial" w:cs="Arial"/>
          <w:sz w:val="22"/>
        </w:rPr>
        <w:t>2027. године. Циљ је приказати агрегиране трошкове мера и активности, као и идентификовати изворе финансирања, укључујући буџетске и донаторске фондове.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За реализацију Програма за период 2026</w:t>
      </w:r>
      <w:r>
        <w:rPr>
          <w:rFonts w:ascii="Arial" w:eastAsia="Verdana" w:hAnsi="Arial" w:cs="Arial"/>
          <w:sz w:val="22"/>
        </w:rPr>
        <w:t>-</w:t>
      </w:r>
      <w:r w:rsidRPr="005761BD">
        <w:rPr>
          <w:rFonts w:ascii="Arial" w:eastAsia="Verdana" w:hAnsi="Arial" w:cs="Arial"/>
          <w:sz w:val="22"/>
        </w:rPr>
        <w:t>2030. године, укупно је планирано финансирање у висини од 88.012.000,00 динара, распоређено по посебним циљевима. Ова средства омогућавају спровођење свих планираних активности, укључујући подршку привредном сектору у транзицији ка циркуларним пословним моделима, јачање капацитета локалних самоуправа и унапређење система управљања отпадом. Програм се реализује уз подршку комбинације донаторских и буџетских извора, што осигурава финансијску одрживост и наставак активности у складу са стратешким циљевима Републике Србије у области ЦЕ.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Први посебан циљ Програма фокусира се на подршку привредном сектору у усвајању циркуларних пословних модела. Циљ има пет мера и 13 активности, чија ће се реализација финансирати делимично кроз буџет а делимично кроз директна донаторска средства која не пролазе кроз буџет. Оквирна укупна средства за његову реализацију, која су већ одређена износе 24.254.000,00 динара. Овај део Програма обухвата едукацију привредних субјеката, анализу потенцијала за примену ЦЕ у прерађивачкој индустрији, развој индикатора циркуларности, као и активности усмерене на индустријску симбиозу и циркуларну биоекономију. Поред буџета кроз донаторске пројекте ГЕФ 7 и ГЕФ 8, средства се обезбеђују и кроз ИПА 2022 пројекат, чија средства не пролазе кроз буџет већ се активности директно финансирају од стране донатора. Поред познатих средстава за неке од активности, донатори, као и износ потребан за реализацију активности, биће накнадно утврђени, али та средства неће ићи кроз буџет већ као директно финансирање активности од стране донатора.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Други посебан циљ се односи на унапређење капацитета локалних самоуправа, што подразумева развој и имплементацију локалних мапа пута за ЦЕ, као и јачање капацитета како јавних, тако и привредних субјеката. Овај циљ има три мере и девет активности за чију реализацију су предвиђена средства у висини од 35.411.000,00 динара. Поред буџета кроз донаторске пројекте ГЕФ 7 и ГЕФ 8, средства се обезбеђују и кроз ИПА 2022 пројекат, чија средства не пролазе кроз буџет већ се активности директно финансирају од стране донатора. Овим активностима се циља оснаживање локалних самоуправа у процесима планирања и имплементације мера циркуларне економије, као и подршка привредним субјектима у примени одрживих пословних решења. Поред познатих средстава за неке од активности донатори, као и износ потребан за реализацију активности, биће накнадно утврђени, али та средства неће ићи кроз буџет већ као директно финансирање активности од стране донатора.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Трећи посебан циљ који има четири мере и 15 активности усмерен је на унапређење система управљања отпадом, са фокусом на текстил, храну и пластичне производе, као и на подршку рециклажном сектору. За ове активности је планирано 21.790.000,00 динара, која се обезбеђују кроз буџет у оквиру ГЕФ 7 и ГЕФ 8 пројеката. Спровођењем ових мера очекује се смањење негативних утицаја на животну средину, подстицање циркуларности у сектору отпада и подршка развоју иновација и нових приступа у управљању ресурсима. Поред познатих средстава за неке од активности донатори, као и износ потребан за реализацију активности, биће накнадно утврђени, али та средства неће ићи кроз буџет већ као директно финансирање активности од стране донатора.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Четврти посебан циљ има четири мере и 13 активности. За мали део активности предвиђено је 990.000,00 динара која су обезбеђена кроз буџет у оквиру ГЕФ 7 пројекта, док је предвиђено да се већи део активности у оквиру овог циља финансира кроз директно финансирање донатора.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Посебан циљ 5 има две мере и осам активности за чију реализацију је предвиђено 5.567.000,00 динара из буџетских средстава кроз ГЕФ 7 и ГЕФ 8 пројекте. Средства за реализацију активности која ће се финансирати кроз ИПА 2022 пројекат не пролазе кроз буџет већ се активности директно финансирају од стране донатора. Поред познатих средстава за неке од активности донатори, као и износ потребан за реализацију активности, </w:t>
      </w:r>
      <w:r w:rsidRPr="005761BD">
        <w:rPr>
          <w:rFonts w:ascii="Arial" w:eastAsia="Verdana" w:hAnsi="Arial" w:cs="Arial"/>
          <w:sz w:val="22"/>
        </w:rPr>
        <w:lastRenderedPageBreak/>
        <w:t>биће накнадно утврђени, али та средства неће ићи кроз буџет већ као директно финансирање активности од стране донатора.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Идентификација извора финансирања показује да је програм конципиран као комбинација донаторских и буџетских средстава. Донаторска средства, пре свега из ГЕФ 7 и ГЕФ 8 пројекте, усмерена су на едукацију, пилот пројекте и развој индикатора циркуларности, док ИПА 2022 пројекат подржава локалне самоуправе и привреду. Буџетска средства Републике Србије, уз подршку Министарства заштите животне средине и партнерских институција као што су Привредна комора Србије, Министарство привреде, Министарство финансија и Министарство државне управе и локалне самоуправе, обезбеђују координацију и реализацију активности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Укупно, овај финансијски оквир омогућава свеобухватну реализацију Програма, усклађену са националним стратешким циљевима и међународним обавезама у области циркуларне економије, са јасним распоредом средстава према приоритетима и ефектима који се очекују у периоду 2026</w:t>
      </w:r>
      <w:r>
        <w:rPr>
          <w:rFonts w:ascii="Arial" w:eastAsia="Verdana" w:hAnsi="Arial" w:cs="Arial"/>
          <w:sz w:val="22"/>
        </w:rPr>
        <w:t>-</w:t>
      </w:r>
      <w:r w:rsidRPr="005761BD">
        <w:rPr>
          <w:rFonts w:ascii="Arial" w:eastAsia="Verdana" w:hAnsi="Arial" w:cs="Arial"/>
          <w:sz w:val="22"/>
        </w:rPr>
        <w:t>2027. године.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9. АКЦИОНИ ПЛАН</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Први двогодишњи Акциони план за спровођење Програма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усваја се за период 2026</w:t>
      </w:r>
      <w:r>
        <w:rPr>
          <w:rFonts w:ascii="Arial" w:eastAsia="Verdana" w:hAnsi="Arial" w:cs="Arial"/>
          <w:sz w:val="22"/>
        </w:rPr>
        <w:t>-</w:t>
      </w:r>
      <w:r w:rsidRPr="005761BD">
        <w:rPr>
          <w:rFonts w:ascii="Arial" w:eastAsia="Verdana" w:hAnsi="Arial" w:cs="Arial"/>
          <w:sz w:val="22"/>
        </w:rPr>
        <w:t>2027.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Други трогодишњи Акциони план за спровођење Програма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усвојиће се за период 2028</w:t>
      </w:r>
      <w:r>
        <w:rPr>
          <w:rFonts w:ascii="Arial" w:eastAsia="Verdana" w:hAnsi="Arial" w:cs="Arial"/>
          <w:sz w:val="22"/>
        </w:rPr>
        <w:t>-</w:t>
      </w:r>
      <w:r w:rsidRPr="005761BD">
        <w:rPr>
          <w:rFonts w:ascii="Arial" w:eastAsia="Verdana" w:hAnsi="Arial" w:cs="Arial"/>
          <w:sz w:val="22"/>
        </w:rPr>
        <w:t>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Акциони план за период 2026</w:t>
      </w:r>
      <w:r>
        <w:rPr>
          <w:rFonts w:ascii="Arial" w:eastAsia="Verdana" w:hAnsi="Arial" w:cs="Arial"/>
          <w:sz w:val="22"/>
        </w:rPr>
        <w:t>-</w:t>
      </w:r>
      <w:r w:rsidRPr="005761BD">
        <w:rPr>
          <w:rFonts w:ascii="Arial" w:eastAsia="Verdana" w:hAnsi="Arial" w:cs="Arial"/>
          <w:sz w:val="22"/>
        </w:rPr>
        <w:t>2027. године за спровођење Програма, одштампан је уз овај програм и чини његов саставни део.</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10. ЗАВРШНИ ДЕО</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Прилог 1. Анализа ефеката мера, Прилог 2. Методологија праћења и показатељи учинка и Прилог 3. Листа скраћеница, одштампани су уз овај програм и чине његов саставни део.</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програм објавити на интернет страници Владе, интернет страници Министарства заштите животне средине и на порталу е-Управе, у року од седам радних дана од дана усвајања.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Овaj програм објавити у </w:t>
      </w:r>
      <w:r>
        <w:rPr>
          <w:rFonts w:ascii="Arial" w:eastAsia="Verdana" w:hAnsi="Arial" w:cs="Arial"/>
          <w:sz w:val="22"/>
        </w:rPr>
        <w:t>"</w:t>
      </w:r>
      <w:r w:rsidRPr="005761BD">
        <w:rPr>
          <w:rFonts w:ascii="Arial" w:eastAsia="Verdana" w:hAnsi="Arial" w:cs="Arial"/>
          <w:sz w:val="22"/>
        </w:rPr>
        <w:t>Службеном гласнику Републике Србије</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jc w:val="right"/>
        <w:rPr>
          <w:rFonts w:ascii="Arial" w:hAnsi="Arial" w:cs="Arial"/>
        </w:rPr>
      </w:pPr>
      <w:r w:rsidRPr="005761BD">
        <w:rPr>
          <w:rFonts w:ascii="Arial" w:eastAsia="Verdana" w:hAnsi="Arial" w:cs="Arial"/>
          <w:sz w:val="22"/>
        </w:rPr>
        <w:t>05 број 353-3624/2026-2</w:t>
      </w:r>
    </w:p>
    <w:p w:rsidR="005761BD" w:rsidRPr="005761BD" w:rsidRDefault="005761BD" w:rsidP="005761BD">
      <w:pPr>
        <w:spacing w:line="210" w:lineRule="atLeast"/>
        <w:jc w:val="right"/>
        <w:rPr>
          <w:rFonts w:ascii="Arial" w:hAnsi="Arial" w:cs="Arial"/>
        </w:rPr>
      </w:pPr>
      <w:r w:rsidRPr="005761BD">
        <w:rPr>
          <w:rFonts w:ascii="Arial" w:eastAsia="Verdana" w:hAnsi="Arial" w:cs="Arial"/>
          <w:sz w:val="22"/>
        </w:rPr>
        <w:t>У Београду, 23. априла 2026. године</w:t>
      </w:r>
    </w:p>
    <w:p w:rsidR="005761BD" w:rsidRPr="005761BD" w:rsidRDefault="005761BD" w:rsidP="005761BD">
      <w:pPr>
        <w:spacing w:line="210" w:lineRule="atLeast"/>
        <w:jc w:val="right"/>
        <w:rPr>
          <w:rFonts w:ascii="Arial" w:hAnsi="Arial" w:cs="Arial"/>
        </w:rPr>
      </w:pPr>
      <w:r w:rsidRPr="005761BD">
        <w:rPr>
          <w:rFonts w:ascii="Arial" w:eastAsia="Verdana" w:hAnsi="Arial" w:cs="Arial"/>
          <w:b/>
          <w:sz w:val="22"/>
        </w:rPr>
        <w:t>Влада</w:t>
      </w:r>
    </w:p>
    <w:p w:rsidR="005761BD" w:rsidRPr="005761BD" w:rsidRDefault="005761BD" w:rsidP="005761BD">
      <w:pPr>
        <w:spacing w:line="210" w:lineRule="atLeast"/>
        <w:jc w:val="right"/>
        <w:rPr>
          <w:rFonts w:ascii="Arial" w:hAnsi="Arial" w:cs="Arial"/>
        </w:rPr>
      </w:pPr>
      <w:r w:rsidRPr="005761BD">
        <w:rPr>
          <w:rFonts w:ascii="Arial" w:eastAsia="Verdana" w:hAnsi="Arial" w:cs="Arial"/>
          <w:sz w:val="22"/>
        </w:rPr>
        <w:t>Председник,</w:t>
      </w:r>
    </w:p>
    <w:p w:rsidR="005761BD" w:rsidRPr="005761BD" w:rsidRDefault="005761BD" w:rsidP="005761BD">
      <w:pPr>
        <w:spacing w:line="210" w:lineRule="atLeast"/>
        <w:jc w:val="right"/>
        <w:rPr>
          <w:rFonts w:ascii="Arial" w:hAnsi="Arial" w:cs="Arial"/>
        </w:rPr>
      </w:pPr>
      <w:r w:rsidRPr="005761BD">
        <w:rPr>
          <w:rFonts w:ascii="Arial" w:eastAsia="Verdana" w:hAnsi="Arial" w:cs="Arial"/>
          <w:sz w:val="22"/>
        </w:rPr>
        <w:t xml:space="preserve">проф. др </w:t>
      </w:r>
      <w:r w:rsidRPr="005761BD">
        <w:rPr>
          <w:rFonts w:ascii="Arial" w:eastAsia="Verdana" w:hAnsi="Arial" w:cs="Arial"/>
          <w:b/>
          <w:sz w:val="22"/>
        </w:rPr>
        <w:t xml:space="preserve">Ђуро Мацут, </w:t>
      </w:r>
      <w:r w:rsidRPr="005761BD">
        <w:rPr>
          <w:rFonts w:ascii="Arial" w:eastAsia="Verdana" w:hAnsi="Arial" w:cs="Arial"/>
          <w:sz w:val="22"/>
        </w:rPr>
        <w:t>с.р.</w:t>
      </w:r>
    </w:p>
    <w:p w:rsidR="005761BD" w:rsidRDefault="005761BD" w:rsidP="005761BD">
      <w:pPr>
        <w:spacing w:line="210" w:lineRule="atLeast"/>
        <w:jc w:val="right"/>
        <w:rPr>
          <w:rFonts w:ascii="Arial" w:eastAsia="Verdana" w:hAnsi="Arial" w:cs="Arial"/>
          <w:b/>
          <w:sz w:val="22"/>
        </w:rPr>
      </w:pPr>
    </w:p>
    <w:p w:rsidR="005761BD" w:rsidRPr="005761BD" w:rsidRDefault="005761BD" w:rsidP="005761BD">
      <w:pPr>
        <w:spacing w:line="210" w:lineRule="atLeast"/>
        <w:jc w:val="right"/>
        <w:rPr>
          <w:rFonts w:ascii="Arial" w:hAnsi="Arial" w:cs="Arial"/>
        </w:rPr>
      </w:pPr>
      <w:r w:rsidRPr="005761BD">
        <w:rPr>
          <w:rFonts w:ascii="Arial" w:eastAsia="Verdana" w:hAnsi="Arial" w:cs="Arial"/>
          <w:b/>
          <w:sz w:val="22"/>
        </w:rPr>
        <w:t>ПРИЛОГ 1.</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Анализа ефеката мера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овом прилогу представљена је детаљна анализа ефеката мера које припадају изабраној опцији Програма, у складу са чл. 11</w:t>
      </w:r>
      <w:r>
        <w:rPr>
          <w:rFonts w:ascii="Arial" w:eastAsia="Verdana" w:hAnsi="Arial" w:cs="Arial"/>
          <w:sz w:val="22"/>
        </w:rPr>
        <w:t>-</w:t>
      </w:r>
      <w:r w:rsidRPr="005761BD">
        <w:rPr>
          <w:rFonts w:ascii="Arial" w:eastAsia="Verdana" w:hAnsi="Arial" w:cs="Arial"/>
          <w:sz w:val="22"/>
        </w:rPr>
        <w:t>16. Уредбе о методологији израде докумената јавних политика (</w:t>
      </w:r>
      <w:r>
        <w:rPr>
          <w:rFonts w:ascii="Arial" w:eastAsia="Verdana" w:hAnsi="Arial" w:cs="Arial"/>
          <w:sz w:val="22"/>
        </w:rPr>
        <w:t>"</w:t>
      </w:r>
      <w:r w:rsidRPr="005761BD">
        <w:rPr>
          <w:rFonts w:ascii="Arial" w:eastAsia="Verdana" w:hAnsi="Arial" w:cs="Arial"/>
          <w:sz w:val="22"/>
        </w:rPr>
        <w:t>Службени гласник PC</w:t>
      </w:r>
      <w:r>
        <w:rPr>
          <w:rFonts w:ascii="Arial" w:eastAsia="Verdana" w:hAnsi="Arial" w:cs="Arial"/>
          <w:sz w:val="22"/>
        </w:rPr>
        <w:t>"</w:t>
      </w:r>
      <w:r w:rsidRPr="005761BD">
        <w:rPr>
          <w:rFonts w:ascii="Arial" w:eastAsia="Verdana" w:hAnsi="Arial" w:cs="Arial"/>
          <w:sz w:val="22"/>
        </w:rPr>
        <w:t>, бр. 20/25, 27/26 и 30/26) и питањима дефинисаним у прилозима 5</w:t>
      </w:r>
      <w:r>
        <w:rPr>
          <w:rFonts w:ascii="Arial" w:eastAsia="Verdana" w:hAnsi="Arial" w:cs="Arial"/>
          <w:sz w:val="22"/>
        </w:rPr>
        <w:t>-</w:t>
      </w:r>
      <w:r w:rsidRPr="005761BD">
        <w:rPr>
          <w:rFonts w:ascii="Arial" w:eastAsia="Verdana" w:hAnsi="Arial" w:cs="Arial"/>
          <w:sz w:val="22"/>
        </w:rPr>
        <w:t>10. Овај приступ омогућава да се у самом тексту Програма концентришемо на кључне показатеље, док се детаљне пројекције, сценарији и прорачуни налазе у овом прилогу.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Анализа обухвата економске, социјалне и макроекономске показатеље. Прорачуни укључују: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Економске уштеде у секторима индустрије, пољопривреде и грађевинарства услед смањене потрошње ресурса и енергије;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Користи за домаћинства као резултат мањих трошкова и дужег века трајања производа;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Ефекте на привреду, локалне самоуправе и државу, укључујући БДП, запосленост и пореске приходе.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Пројекције су приказане за кратки рок (2026</w:t>
      </w:r>
      <w:r>
        <w:rPr>
          <w:rFonts w:ascii="Arial" w:eastAsia="Verdana" w:hAnsi="Arial" w:cs="Arial"/>
          <w:sz w:val="22"/>
        </w:rPr>
        <w:t>-</w:t>
      </w:r>
      <w:r w:rsidRPr="005761BD">
        <w:rPr>
          <w:rFonts w:ascii="Arial" w:eastAsia="Verdana" w:hAnsi="Arial" w:cs="Arial"/>
          <w:sz w:val="22"/>
        </w:rPr>
        <w:t>2027. године) и дужи хоризонт до 2030. године, с обзиром на то да се значајније економске користи очекују тек након потпуне примене принципа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 xml:space="preserve">Примена сценарија који обухватају различите нивое спровођења мера (од </w:t>
      </w:r>
      <w:r w:rsidRPr="005761BD">
        <w:rPr>
          <w:rFonts w:ascii="Arial" w:eastAsia="Verdana" w:hAnsi="Arial" w:cs="Arial"/>
          <w:i/>
          <w:sz w:val="22"/>
        </w:rPr>
        <w:t>status quo</w:t>
      </w:r>
      <w:r w:rsidRPr="005761BD">
        <w:rPr>
          <w:rFonts w:ascii="Arial" w:eastAsia="Verdana" w:hAnsi="Arial" w:cs="Arial"/>
          <w:sz w:val="22"/>
        </w:rPr>
        <w:t>, преко иницијалних и развојних, до трансформационог сценарија) показује значајан потенцијал уштеда и економских користи. Процене указују да се укупне економске уштеде у привредним секторима крећу од 2,3 до 3,7 милијарди динара, економске користи за домаћинства од 44 до 88 милијарди динара, док повећање прихода локалних самоуправа и државе може износити од 9 до 704 милијарде динара у дисконтованој вредности, уз истовремено смањење емисије CO</w:t>
      </w:r>
      <w:r w:rsidRPr="005761BD">
        <w:rPr>
          <w:rFonts w:ascii="Arial" w:eastAsia="Verdana" w:hAnsi="Arial" w:cs="Arial"/>
          <w:sz w:val="22"/>
          <w:vertAlign w:val="subscript"/>
        </w:rPr>
        <w:t>2</w:t>
      </w:r>
      <w:r w:rsidRPr="005761BD">
        <w:rPr>
          <w:rFonts w:ascii="Arial" w:eastAsia="Verdana" w:hAnsi="Arial" w:cs="Arial"/>
          <w:sz w:val="22"/>
        </w:rPr>
        <w:t xml:space="preserve"> од 13 до 123 милијарде динара.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 обзиром на наведене прорачуне, сматрамо да је представљање анализе ефеката само за мере изабране опције адекватно и у потпуности у складу са одредбама Уредбе. Детаљна и комплетна анализа свих сценарија и макроекономских ефеката може бити приложена као додатни документ, чиме се обезбеђује транспарентност и уједно поштује структура Програма прописана Уредбом о методологији израде докумената јавних политика.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1.1. Процена могућих сценарија за реализацију Програма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За потребе анализе ефеката мера ради остваривања циљева Програма развоја циркуларне економије разматрана су четири могућа сценарија која се међусобно разликују по броју спроведених мера и групи учесника који су њима обухваћени.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Утицај спроведених мера је у свакој од опција анализиран кроз:</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економске уштеде по основу смањења употребе ресурса и енергије за оне привредне секторе који су препознати као најзначајнији за развој циркуларне економије (индустрија, пољопривреда и грађевинарство);</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економске користи за домаћинства (пораст њиховог расположивог дохотка због пораста запослености и мањих издатака за куповину нових производа због дужег животног века финалних добара и могућности поправке);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економске користи за привреду због смањења емисије CO</w:t>
      </w:r>
      <w:r w:rsidRPr="005761BD">
        <w:rPr>
          <w:rFonts w:ascii="Arial" w:eastAsia="Verdana" w:hAnsi="Arial" w:cs="Arial"/>
          <w:sz w:val="22"/>
          <w:vertAlign w:val="subscript"/>
        </w:rPr>
        <w:t>2</w:t>
      </w:r>
      <w:r w:rsidRPr="005761BD">
        <w:rPr>
          <w:rFonts w:ascii="Arial" w:eastAsia="Verdana" w:hAnsi="Arial" w:cs="Arial"/>
          <w:sz w:val="22"/>
        </w:rPr>
        <w:t xml:space="preserve"> (смањење угљеничног отиска у фазама процеса производње);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промена бруто домаћег производа;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промена броја запослених у привреди;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промена пореских прихода јединица локалних самоуправа;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промена буџетских прихода државе.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Основна макроекономска претпоставка за пројекцију уштеда и економских користи је просечна стопа раста БДП на годишњем нивоу од 2,75%.</w:t>
      </w:r>
      <w:r w:rsidRPr="005761BD">
        <w:rPr>
          <w:rFonts w:ascii="Arial" w:eastAsia="Verdana" w:hAnsi="Arial" w:cs="Arial"/>
          <w:sz w:val="22"/>
          <w:vertAlign w:val="superscript"/>
        </w:rPr>
        <w:t>24</w:t>
      </w:r>
      <w:r w:rsidRPr="005761BD">
        <w:rPr>
          <w:rFonts w:ascii="Arial" w:eastAsia="Verdana" w:hAnsi="Arial" w:cs="Arial"/>
          <w:sz w:val="22"/>
        </w:rPr>
        <w:t xml:space="preserve"> Временски хоризонт анализе је десет година, односно укупне економске користи и уштеде су израчунате и представљене за временски период од две године (2026</w:t>
      </w:r>
      <w:r>
        <w:rPr>
          <w:rFonts w:ascii="Arial" w:eastAsia="Verdana" w:hAnsi="Arial" w:cs="Arial"/>
          <w:sz w:val="22"/>
        </w:rPr>
        <w:t>-</w:t>
      </w:r>
      <w:r w:rsidRPr="005761BD">
        <w:rPr>
          <w:rFonts w:ascii="Arial" w:eastAsia="Verdana" w:hAnsi="Arial" w:cs="Arial"/>
          <w:sz w:val="22"/>
        </w:rPr>
        <w:t>2027. године) и временски период после спровођења Програма (закључно са 2034. годином). Наиме, значајније економске користи за индустрију</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24 НБС (2025). Макроекономска кретања у Србији (Август 2025). https://www.nbs.rs/export/sites/NBS_site/documents/finansijska-stabilnost/prezentacije/prezentacija_invest.pdf.</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 домаћинства, као и утицај развоја циркуларне економије на макроекономске величине у Републици Србији се могу очекивати тек после реализације овог програма, док су на кратак рок посматрано ти утицаји мање изражени. Из тог разлога потребан је одређени временски период како би предузећа, домаћинства, појединци и јединице локалне самоуправе прихватили принципе циркуларне економије и прилагодили своја понашања и очекивања у складу са њима.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За израчунавање садашње вредности укупних економских користи у наведеном периоду је коришћена друштвена дисконтна стопа од 5%. Због недостатка адекватних података представљене опције не укључују и потенцијалне економске користи за животну средину које настају због смањених емисија штетних гасова у атмосферу, нити економске користи за становништво због смањења здравствених трошкова услед чистије животне средине. Прорачун економских користи по привредним секторима (индустрија, пољопривреда, грађевинарство, транспорт, туризам, угоститељство и информационе технологије) је урађен искључиво на основу процењених директних уштеда у употреби енергије, горива и воде на нивоу сектора.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 xml:space="preserve">Сценарио 1: Полазни сценарио </w:t>
      </w:r>
      <w:r>
        <w:rPr>
          <w:rFonts w:ascii="Arial" w:eastAsia="Verdana" w:hAnsi="Arial" w:cs="Arial"/>
          <w:b/>
          <w:sz w:val="22"/>
        </w:rPr>
        <w:t>-</w:t>
      </w:r>
      <w:r w:rsidRPr="005761BD">
        <w:rPr>
          <w:rFonts w:ascii="Arial" w:eastAsia="Verdana" w:hAnsi="Arial" w:cs="Arial"/>
          <w:b/>
          <w:sz w:val="22"/>
        </w:rPr>
        <w:t xml:space="preserve"> Status quo опција (0%)</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Овај сценарио је заснован на следећим претпоставкама: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не примењују се ниједна од предложених мера из Програма ЦЕ;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употреба енергије из фосилних горива (угља) се мења у складу са мерама из других националних стратегија и програма;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удео обновљивих извора енергије се мења у складу са мерама из других националних стратегија и програма;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нема замене примарних секундарним изворима енергије;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нема промене образаца потрошње;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не креирају се нови производи са продуженим животним веком.</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Сценарио 2: Подстицајни сценарио за циркуларну привреду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Сценарио 2, Подстицајни сценарио за циркуларну привреду, представља фазу иницијалних активности у којој се делимично спроводе мере Програма ЦЕ, са остварењем 0</w:t>
      </w:r>
      <w:r>
        <w:rPr>
          <w:rFonts w:ascii="Arial" w:eastAsia="Verdana" w:hAnsi="Arial" w:cs="Arial"/>
          <w:sz w:val="22"/>
        </w:rPr>
        <w:t>-</w:t>
      </w:r>
      <w:r w:rsidRPr="005761BD">
        <w:rPr>
          <w:rFonts w:ascii="Arial" w:eastAsia="Verdana" w:hAnsi="Arial" w:cs="Arial"/>
          <w:sz w:val="22"/>
        </w:rPr>
        <w:t xml:space="preserve">30% постављених циљева, омогућавајући прве кораке ка транзицији привредног сектора на циркуларне пословне моделе.Овај сценариоподразумева активности које подржавају индустрију и услужне делатности (транспорт, туризам, здравство, угоститељство и информационе технологије) у транзицији ка циркуларном моделу пословања. То укључује едукацију, посебно малих предузетника, развој система за праћење циркуларности који обухвата индикаторе, анализу пословних пракси, процену потенцијала, потребних инвестиција и могућности финансијских подстицаја. Поред тога, сценарио обухвата промоцију припреме циркуларних пројеката и доступних извора финансирања, праћење увоза и извоза секундарних сировина у целој Републици Србији, подршку ESG концепту, као и подстицање сарадње између предузећа и научно-истраживачких организација. Сценарио 2подразумева да су критеријуми, за доделу средстава предузећима кроз јавне позиве (грантове), у оквиру доступних програма/фондова у складу са увођењем принципа ЦЕ. Такође, Сценарио 2подразумева ширу примену добровољних инструмената сертификације, односно да су привреда и корисници потпуно информисани о предностима које они доносе, као и процедурама и критеријумима за њихово увођење и примену. У оквиру овог сценарија владине институције и пословне банке блиско сарађују ради проналажења адекватних средстава за финансирање (кредита, субвенција и сл.) пројеката предузећа у области ЦЕ. Поред тога, комерцијалне банке су развиле и примењују у свом пословању основне принципе функционисања циркуларне економије и ESG концепта кроз јасне процедуре за </w:t>
      </w:r>
      <w:r>
        <w:rPr>
          <w:rFonts w:ascii="Arial" w:eastAsia="Verdana" w:hAnsi="Arial" w:cs="Arial"/>
          <w:sz w:val="22"/>
        </w:rPr>
        <w:t>"</w:t>
      </w:r>
      <w:r w:rsidRPr="005761BD">
        <w:rPr>
          <w:rFonts w:ascii="Arial" w:eastAsia="Verdana" w:hAnsi="Arial" w:cs="Arial"/>
          <w:sz w:val="22"/>
        </w:rPr>
        <w:t>циркуларно финансирање</w:t>
      </w:r>
      <w:r>
        <w:rPr>
          <w:rFonts w:ascii="Arial" w:eastAsia="Verdana" w:hAnsi="Arial" w:cs="Arial"/>
          <w:sz w:val="22"/>
        </w:rPr>
        <w:t>"</w:t>
      </w:r>
      <w:r w:rsidRPr="005761BD">
        <w:rPr>
          <w:rFonts w:ascii="Arial" w:eastAsia="Verdana" w:hAnsi="Arial" w:cs="Arial"/>
          <w:sz w:val="22"/>
        </w:rPr>
        <w:t>, кредитне линије за циркуларне пројекте, методологију за анализу ризика које са собом доносе овакви пројекти и слично. Иако Сценарио 2обухвата примену мера Програма које се односе само на привредни сектор, економске уштеде и користи ће остварити и домаћинства, као и јединице локалне самоуправе и држава кроз повећање буџетских прихода због пораста запослености.</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Сценарио 3: Развојни сценарио за циркуларну привреду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Сценарио 3, Развојни сценарио за циркуларну привреду, описује фазу у којој су већина активности Програма ЦЕ реализована, са остварењем 31</w:t>
      </w:r>
      <w:r>
        <w:rPr>
          <w:rFonts w:ascii="Arial" w:eastAsia="Verdana" w:hAnsi="Arial" w:cs="Arial"/>
          <w:sz w:val="22"/>
        </w:rPr>
        <w:t>-</w:t>
      </w:r>
      <w:r w:rsidRPr="005761BD">
        <w:rPr>
          <w:rFonts w:ascii="Arial" w:eastAsia="Verdana" w:hAnsi="Arial" w:cs="Arial"/>
          <w:sz w:val="22"/>
        </w:rPr>
        <w:t>60% постављених циљева, што омогућава видљив напредак у транзицији привредног сектора ка циркуларним пословним моделима. Поред мера које су усмерене као подршка индустрији, спроводе се и активности на јачање капацитета надлежних органа локалних самоуправа, јавних и комуналних предузећа и привреде о концепту циркуларне економије. Претпоставка ове опције јесте да креатори локалних политика применом принципа ЦЕ мењају структуру и пословање локалне привреде, унапређују инфраструктуру и доприносе одрживијем локалном развоју. ЈЛС су директно одговорне за управљања отпадом, спровођење мера из домена енергетске ефикасности, зелене инфраструктуре, урбане мобилности и друге мере којима се унапређује квалитет живота својих грађана. С обзиром да су као резултат примене претходног Програма (2022</w:t>
      </w:r>
      <w:r>
        <w:rPr>
          <w:rFonts w:ascii="Arial" w:eastAsia="Verdana" w:hAnsi="Arial" w:cs="Arial"/>
          <w:sz w:val="22"/>
        </w:rPr>
        <w:t>-</w:t>
      </w:r>
      <w:r w:rsidRPr="005761BD">
        <w:rPr>
          <w:rFonts w:ascii="Arial" w:eastAsia="Verdana" w:hAnsi="Arial" w:cs="Arial"/>
          <w:sz w:val="22"/>
        </w:rPr>
        <w:t>2024. године) урађене мапе пута развоја ЦЕ у појединим ЈЛС, ова опција предвиђа подршку тим самоуправама у имплементацији одређених мера из локалних мапа пута. Спровођење предвиђених мера мотивише и охрабрује друге ЈЛС да израђују своје мапе пута и на тај начин започну пут ка циркуларној економији. Поред тога, успостављене су везе и добра координација између локалних самоуправа у примени принципа циркуларне економије кроз иновативне дигиталне алате и директну размену знања и искустава. Овај сценарио предвиђа и чврсту сарадњу између научно-истраживачких организација и привредних субјеката у области иновација и оптимизације производње што повећава иновативне перформансе, утиче на све секторе привреде и представља основу одрживог привредног развоја земље. У исто време, унапређење процеса и опреме у претходном периоду доприноси ефикаснијем коришћењу ресурса, замену опасних материја и сировина из производног процеса и смањење стварања отпада.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lastRenderedPageBreak/>
        <w:t>Сценарио 4: Трансформациони сценарио</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Сценарио 4, Трансформациони сценарио за циркуларну привреду, представља фазу интензивне имплементације Програма ЦЕ, са остварењем преко 60% циљева, када привредни сектор и локалне самоуправе у потпуности примењују принципе циркуларне економије и показују видљиве економске и еколошке ефекте. Овај сценарио представља највиши ниво примене принципа циркуларне економије и обухвата све друштвене секторе: привреду, локалне самоуправе, јавне институције, образовни систем и потрошаче. Поред подршке привреди и локалним самоуправама, посебан акценат ставља се на даље унапређење система управљања отпадом, примену зелених јавних набавки и добровољних инструмената, као и ширење употребе зелених критеријума у поступцима набавки кроз јачање капацитета наручилаца и понуђача. Образовне институције добијају значајнију улогу у промоцији и развоју концепта циркуларне економије, чиме се обезбеђује дугорочна одрживост промена. У овом сценарију подразумева се успостављање система примарне селекције отпада, развој индустријске симбиозе ради оптимизације ресурса и смањења количине отпада, као и унапређен регулаторни оквир који омогућава адекватно управљање текстилним отпадом, смањење отпада од пластике за једнократну употребу и развој система управљања храном и отпадом од хране. Истовремено, процеси рециклаже у области хемикалија и материјала достижу значајно виши ниво циркуларности у односу на </w:t>
      </w:r>
      <w:r w:rsidRPr="005761BD">
        <w:rPr>
          <w:rFonts w:ascii="Arial" w:eastAsia="Verdana" w:hAnsi="Arial" w:cs="Arial"/>
          <w:i/>
          <w:sz w:val="22"/>
        </w:rPr>
        <w:t>status quo</w:t>
      </w:r>
      <w:r w:rsidRPr="005761BD">
        <w:rPr>
          <w:rFonts w:ascii="Arial" w:eastAsia="Verdana" w:hAnsi="Arial" w:cs="Arial"/>
          <w:sz w:val="22"/>
        </w:rPr>
        <w:t xml:space="preserve"> опцију. Посебан нагласак ставља се на усклађивање вештина радне снаге са потребама циркуларне економије. Креатори јавних политика правовремено предвиђају потенцијалне неравнотеже између постојећих и потребних компетенција запослених, док се њихово превазилажење обезбеђује кроз унапређену сарадњу образовних и научних институција са привредним субјектима. Применом овог сценарија концепт циркуларне економије постаје интегрисан у све сегменте друштва. Подизање свести потрошача, уз јачање институционалних и привредних капацитета, омогућава остваривање знатно већих економских користи на микро и макро нивоу у односу на </w:t>
      </w:r>
      <w:r w:rsidRPr="005761BD">
        <w:rPr>
          <w:rFonts w:ascii="Arial" w:eastAsia="Verdana" w:hAnsi="Arial" w:cs="Arial"/>
          <w:i/>
          <w:sz w:val="22"/>
        </w:rPr>
        <w:t>status quo</w:t>
      </w:r>
      <w:r w:rsidRPr="005761BD">
        <w:rPr>
          <w:rFonts w:ascii="Arial" w:eastAsia="Verdana" w:hAnsi="Arial" w:cs="Arial"/>
          <w:sz w:val="22"/>
        </w:rPr>
        <w:t xml:space="preserve"> опцију.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Табели 1.1. представљене су нумерички изражене промене трошкова сировина и енергије у индустрији, пољопривреди, грађевинарству, транспорту, туризму, здравству и угоститељству, промене бруто домаћег производа, промене запослености и промене емисија CO</w:t>
      </w:r>
      <w:r w:rsidRPr="005761BD">
        <w:rPr>
          <w:rFonts w:ascii="Arial" w:eastAsia="Verdana" w:hAnsi="Arial" w:cs="Arial"/>
          <w:sz w:val="22"/>
          <w:vertAlign w:val="subscript"/>
        </w:rPr>
        <w:t>2</w:t>
      </w:r>
      <w:r w:rsidRPr="005761BD">
        <w:rPr>
          <w:rFonts w:ascii="Arial" w:eastAsia="Verdana" w:hAnsi="Arial" w:cs="Arial"/>
          <w:sz w:val="22"/>
        </w:rPr>
        <w:t xml:space="preserve"> у односу на </w:t>
      </w:r>
      <w:r w:rsidRPr="005761BD">
        <w:rPr>
          <w:rFonts w:ascii="Arial" w:eastAsia="Verdana" w:hAnsi="Arial" w:cs="Arial"/>
          <w:i/>
          <w:sz w:val="22"/>
        </w:rPr>
        <w:t>status quo</w:t>
      </w:r>
      <w:r w:rsidRPr="005761BD">
        <w:rPr>
          <w:rFonts w:ascii="Arial" w:eastAsia="Verdana" w:hAnsi="Arial" w:cs="Arial"/>
          <w:sz w:val="22"/>
        </w:rPr>
        <w:t xml:space="preserve"> опцију за остала три анализирана сценарија.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1.1. Очекиване промене основних индикатора перформанси циркуларне економије на макро нивоу у односу на </w:t>
      </w:r>
      <w:r w:rsidRPr="005761BD">
        <w:rPr>
          <w:rFonts w:ascii="Arial" w:eastAsia="Verdana" w:hAnsi="Arial" w:cs="Arial"/>
          <w:i/>
          <w:sz w:val="22"/>
        </w:rPr>
        <w:t>status quo</w:t>
      </w:r>
      <w:r w:rsidRPr="005761BD">
        <w:rPr>
          <w:rFonts w:ascii="Arial" w:eastAsia="Verdana" w:hAnsi="Arial" w:cs="Arial"/>
          <w:sz w:val="22"/>
        </w:rPr>
        <w:t xml:space="preserve"> опцију (процентуална промена на годишњем нивоу)</w:t>
      </w:r>
    </w:p>
    <w:tbl>
      <w:tblPr>
        <w:tblW w:w="4950" w:type="pct"/>
        <w:tblInd w:w="10" w:type="dxa"/>
        <w:tblCellMar>
          <w:left w:w="10" w:type="dxa"/>
          <w:right w:w="10" w:type="dxa"/>
        </w:tblCellMar>
        <w:tblLook w:val="04A0" w:firstRow="1" w:lastRow="0" w:firstColumn="1" w:lastColumn="0" w:noHBand="0" w:noVBand="1"/>
      </w:tblPr>
      <w:tblGrid>
        <w:gridCol w:w="5111"/>
        <w:gridCol w:w="2092"/>
        <w:gridCol w:w="2092"/>
        <w:gridCol w:w="2092"/>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Сценарио 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Употреба сировина и енергије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Бруто домаћи производ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Запосленост</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+0,05%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+0,08%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+0,1%</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Емисија CO</w:t>
            </w:r>
            <w:r w:rsidRPr="005761BD">
              <w:rPr>
                <w:rFonts w:ascii="Arial" w:eastAsia="Verdana" w:hAnsi="Arial" w:cs="Arial"/>
                <w:sz w:val="22"/>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w:t>
            </w:r>
          </w:p>
        </w:tc>
      </w:tr>
    </w:tbl>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1.2. Очекивани ефекти имплементације Програма развоја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Табели 1.2. дата је пројекција и поређење сценарија на основу економских користи (уштеда) које настају због смањења употребе ресурса и енергије, односно мањих трошкова у пословању у оним привредним секторима који су обухваћени мерама Програма (индустрија, пољопривреда, грађевинарство, транспорт, туризам и угоститељство).</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1.2. Економске уштеде за привреду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325"/>
        <w:gridCol w:w="1696"/>
        <w:gridCol w:w="552"/>
        <w:gridCol w:w="750"/>
        <w:gridCol w:w="883"/>
        <w:gridCol w:w="883"/>
        <w:gridCol w:w="883"/>
        <w:gridCol w:w="883"/>
        <w:gridCol w:w="883"/>
        <w:gridCol w:w="883"/>
        <w:gridCol w:w="883"/>
        <w:gridCol w:w="883"/>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2.305.444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50.363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51.874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160.290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275.165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396.787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525.460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601.359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619.400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637.982</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2.973.043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50.363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103.748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213.720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440.263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566.839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642.228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721.631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743.280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765.579</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3.716.513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50.363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155.621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267.150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550.329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680.207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817.382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902.039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929.100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956.973</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Укупне потенцијалне економске уштеде за анализиране привредне секторе по основу смањења употребе ресурса и енергије за период од 2025. до 2034. године крећу се у интервалу између 2.305 и 3.716 милијарде динара (дисконтована вредност).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Смањење употребе ресурса и енергије због примене принципа циркуларне економије има позитиван утицај на пораст продуктивности у посматраним привредним секторима што даље има за резултат и промену бруто домаћег производа. У Табели 1.3. приказано је потенцијално повећање бруто домаћег производа у Републици Србији због примене концепта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1.3. Бруто домаћи производ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сценарио,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325"/>
        <w:gridCol w:w="1696"/>
        <w:gridCol w:w="552"/>
        <w:gridCol w:w="750"/>
        <w:gridCol w:w="883"/>
        <w:gridCol w:w="883"/>
        <w:gridCol w:w="883"/>
        <w:gridCol w:w="883"/>
        <w:gridCol w:w="883"/>
        <w:gridCol w:w="883"/>
        <w:gridCol w:w="883"/>
        <w:gridCol w:w="883"/>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460.020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11.502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24.062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37.753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52.653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68.844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86.413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105.452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126.061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148.343</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1.394.202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34.505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72.323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113.693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158.867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208.118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261.732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320.015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383.293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451.911</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2.347.556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57.509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120.769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190.213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266.302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349.529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440.420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539.534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647.471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764.865</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Када је у питању запосленост, досадашња емпиријска истраживања указују да је највећи позитиван утицај циркуларне економије видљив у сектору управљања отпадом (укључујући и рециклирање). С друге стране, може се појавити негативан утицај у сектору грађевинарства, као последица повећања продуктивности и коришћења нових техника грађења, али и у секторима који се односе на производњу трајних потрошних добара, попут електронике и моторних возила. Процењени ефекти на запосленост могу бити и другачији, зависно од степена механизације и аутоматизације тих послова. У предложеним опцијама се полази од претпоставке да ће секторска померања на тржишту рада услед примене концепта циркуларне економије у складу са овим програмом имати позитиван нето ефекат на укупну запосленост у привреди у наредном периоду. Табела 1.4. даје преглед пораста запослености по опцијама у односу на </w:t>
      </w:r>
      <w:r w:rsidRPr="005761BD">
        <w:rPr>
          <w:rFonts w:ascii="Arial" w:eastAsia="Verdana" w:hAnsi="Arial" w:cs="Arial"/>
          <w:i/>
          <w:sz w:val="22"/>
        </w:rPr>
        <w:t>status quo</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1.4. Број запослених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опцију)</w:t>
      </w:r>
    </w:p>
    <w:tbl>
      <w:tblPr>
        <w:tblW w:w="4950" w:type="pct"/>
        <w:tblInd w:w="10" w:type="dxa"/>
        <w:tblCellMar>
          <w:left w:w="10" w:type="dxa"/>
          <w:right w:w="10" w:type="dxa"/>
        </w:tblCellMar>
        <w:tblLook w:val="04A0" w:firstRow="1" w:lastRow="0" w:firstColumn="1" w:lastColumn="0" w:noHBand="0" w:noVBand="1"/>
      </w:tblPr>
      <w:tblGrid>
        <w:gridCol w:w="1579"/>
        <w:gridCol w:w="1574"/>
        <w:gridCol w:w="659"/>
        <w:gridCol w:w="737"/>
        <w:gridCol w:w="737"/>
        <w:gridCol w:w="737"/>
        <w:gridCol w:w="894"/>
        <w:gridCol w:w="894"/>
        <w:gridCol w:w="894"/>
        <w:gridCol w:w="894"/>
        <w:gridCol w:w="894"/>
        <w:gridCol w:w="894"/>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Укупно</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67.984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1.469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2.954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4.454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5.969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7.501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9.048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10.612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12.191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13.787</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108.862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4.726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7.128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9.555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12.008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14.488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16.994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19.526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22.086</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136.150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2.938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5.909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8.912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11.947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15.016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18.119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21.255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24.425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27.629</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Укупни пораст запослености за период од 2025. до 2034. године креће се у интервалу између 68 и 136 хиљада новозапослених.</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Услед пораста запослености повећаће се просечан доходак домаћинстава. Такође, појединци и домаћинства ће остварити економске користи (уштеде) по основу дужег периода замене трајних потрошних добара, односно дужег животног века производа. У Табели 1.5. дате су укупне економске користи за домаћинства.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1.5. Укупне економске користи за домаћинства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сценарио,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412"/>
        <w:gridCol w:w="1809"/>
        <w:gridCol w:w="589"/>
        <w:gridCol w:w="659"/>
        <w:gridCol w:w="659"/>
        <w:gridCol w:w="659"/>
        <w:gridCol w:w="800"/>
        <w:gridCol w:w="800"/>
        <w:gridCol w:w="800"/>
        <w:gridCol w:w="800"/>
        <w:gridCol w:w="800"/>
        <w:gridCol w:w="800"/>
        <w:gridCol w:w="800"/>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44.068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1.356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4.109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5.508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6.921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8.349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9.792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11.249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12.722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44.068</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70.562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2.169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4.361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6.577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8.817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11.081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13.369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15.681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18.018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20.379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70.562</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88.248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2.711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5.452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8.223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11.024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13.856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16.719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19.613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22.538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25.495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88.248</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Укупне потенцијалне економске користи за домаћинства по основу примене концепта циркуларне економије за период од 2025. до 2034. године крећу се у интервалу између 44 и 88 милијарди динара (дисконтована вредност).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Пораст продуктивности рада, БДП и запослености ће имати позитиван утицај и на буџетске приходе јединица локалне самоуправе и државе. У Табели 1.6. и Табели 1.7. приказана су потенцијална повећања укупних буџетских прихода јединица локалне самоуправе, као и буџетских прихода државе.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1.6. Промена буџетских прихода ЈЛС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сценарио,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663"/>
        <w:gridCol w:w="2130"/>
        <w:gridCol w:w="693"/>
        <w:gridCol w:w="693"/>
        <w:gridCol w:w="776"/>
        <w:gridCol w:w="776"/>
        <w:gridCol w:w="776"/>
        <w:gridCol w:w="776"/>
        <w:gridCol w:w="776"/>
        <w:gridCol w:w="776"/>
        <w:gridCol w:w="776"/>
        <w:gridCol w:w="776"/>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8.814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545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822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1.102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1.384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1.670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1.958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2.544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14.112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872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1.315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1.763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2.216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2.674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3.136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3.604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4.076</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17.650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542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1.090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1.645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2.205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2.771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3.344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3.923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4.508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5.099</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Укупно повећање буџетских прихода јединица локалних самоуправа у Републици Србији за период од 2025. до 2034. године креће се у интервалу између 9 и 18 милијарди динара (дисконтована вредност).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Табела 1.7. Промена прихода државног буџета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сценарио,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373"/>
        <w:gridCol w:w="1759"/>
        <w:gridCol w:w="572"/>
        <w:gridCol w:w="777"/>
        <w:gridCol w:w="777"/>
        <w:gridCol w:w="777"/>
        <w:gridCol w:w="777"/>
        <w:gridCol w:w="915"/>
        <w:gridCol w:w="915"/>
        <w:gridCol w:w="915"/>
        <w:gridCol w:w="915"/>
        <w:gridCol w:w="915"/>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(2022</w:t>
            </w:r>
            <w:r>
              <w:rPr>
                <w:rFonts w:ascii="Arial" w:eastAsia="Verdana" w:hAnsi="Arial" w:cs="Arial"/>
                <w:b/>
                <w:sz w:val="22"/>
              </w:rPr>
              <w:t>-</w:t>
            </w: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138.006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3.451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7.219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11.326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15.796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20.653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25.924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31.636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37.818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44.503</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418.261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10.352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21.697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34.108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47.660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62.435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78.520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96.005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114.988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135.573</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704.267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17.253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36.231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57.064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79.890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104.859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132.126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161.860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194.241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229.460</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Укупно повећање прихода државног буџета Република Србије за период од 2025. до 2034. године креће се у интервалу између 138 и 704 милијарде динара (дисконтована вредност).</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Примена концепта циркуларне економије имаће за резултат и смањење емисија CO</w:t>
      </w:r>
      <w:r w:rsidRPr="005761BD">
        <w:rPr>
          <w:rFonts w:ascii="Arial" w:eastAsia="Verdana" w:hAnsi="Arial" w:cs="Arial"/>
          <w:sz w:val="22"/>
          <w:vertAlign w:val="subscript"/>
        </w:rPr>
        <w:t>2</w:t>
      </w:r>
      <w:r w:rsidRPr="005761BD">
        <w:rPr>
          <w:rFonts w:ascii="Arial" w:eastAsia="Verdana" w:hAnsi="Arial" w:cs="Arial"/>
          <w:sz w:val="22"/>
        </w:rPr>
        <w:t>. Поред значајног утицаја на побољшање квалитета животне средине, смањење емисија CO</w:t>
      </w:r>
      <w:r w:rsidRPr="005761BD">
        <w:rPr>
          <w:rFonts w:ascii="Arial" w:eastAsia="Verdana" w:hAnsi="Arial" w:cs="Arial"/>
          <w:sz w:val="22"/>
          <w:vertAlign w:val="subscript"/>
        </w:rPr>
        <w:t>2</w:t>
      </w:r>
      <w:r w:rsidRPr="005761BD">
        <w:rPr>
          <w:rFonts w:ascii="Arial" w:eastAsia="Verdana" w:hAnsi="Arial" w:cs="Arial"/>
          <w:sz w:val="22"/>
        </w:rPr>
        <w:t xml:space="preserve"> имаће утицаја и на конкурентност српске привреде и довести до значајних економских уштеда. У </w:t>
      </w:r>
      <w:r>
        <w:rPr>
          <w:rFonts w:ascii="Arial" w:eastAsia="Verdana" w:hAnsi="Arial" w:cs="Arial"/>
          <w:sz w:val="22"/>
        </w:rPr>
        <w:t>"</w:t>
      </w:r>
      <w:r w:rsidRPr="005761BD">
        <w:rPr>
          <w:rFonts w:ascii="Arial" w:eastAsia="Verdana" w:hAnsi="Arial" w:cs="Arial"/>
          <w:sz w:val="22"/>
        </w:rPr>
        <w:t>Зеленом договору</w:t>
      </w:r>
      <w:r>
        <w:rPr>
          <w:rFonts w:ascii="Arial" w:eastAsia="Verdana" w:hAnsi="Arial" w:cs="Arial"/>
          <w:sz w:val="22"/>
        </w:rPr>
        <w:t>"</w:t>
      </w:r>
      <w:r w:rsidRPr="005761BD">
        <w:rPr>
          <w:rFonts w:ascii="Arial" w:eastAsia="Verdana" w:hAnsi="Arial" w:cs="Arial"/>
          <w:sz w:val="22"/>
        </w:rPr>
        <w:t xml:space="preserve"> Европске уније јасно се дефинише неопходност смањења емисија угљеника у производном циклусу као услов пласирања производа на тржишту ЕУ. Због тога је неопходно угљенични отисак производних циклуса у Србији спустити најмање на просечан ниво земаља ЕУ, како би српски производи остали конкурентни на овом тржишту, односно како се на њих не би приликом увоза обрачунавала додатна царина.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Табели 1.8. приказане су потенцијалне економске уштеде које настају због смањења емисије CO</w:t>
      </w:r>
      <w:r w:rsidRPr="005761BD">
        <w:rPr>
          <w:rFonts w:ascii="Arial" w:eastAsia="Verdana" w:hAnsi="Arial" w:cs="Arial"/>
          <w:sz w:val="22"/>
          <w:vertAlign w:val="subscript"/>
        </w:rPr>
        <w:t>2</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1.8. Економске уштеде по основу смањења емисије CO</w:t>
      </w:r>
      <w:r w:rsidRPr="005761BD">
        <w:rPr>
          <w:rFonts w:ascii="Arial" w:eastAsia="Verdana" w:hAnsi="Arial" w:cs="Arial"/>
          <w:sz w:val="22"/>
          <w:vertAlign w:val="subscript"/>
        </w:rPr>
        <w:t>2</w:t>
      </w:r>
      <w:r w:rsidRPr="005761BD">
        <w:rPr>
          <w:rFonts w:ascii="Arial" w:eastAsia="Verdana" w:hAnsi="Arial" w:cs="Arial"/>
          <w:sz w:val="22"/>
        </w:rPr>
        <w:t xml:space="preserve"> (промена у односу на </w:t>
      </w:r>
      <w:r w:rsidRPr="005761BD">
        <w:rPr>
          <w:rFonts w:ascii="Arial" w:eastAsia="Verdana" w:hAnsi="Arial" w:cs="Arial"/>
          <w:i/>
          <w:sz w:val="22"/>
        </w:rPr>
        <w:t>status quo</w:t>
      </w:r>
      <w:r w:rsidRPr="005761BD">
        <w:rPr>
          <w:rFonts w:ascii="Arial" w:eastAsia="Verdana" w:hAnsi="Arial" w:cs="Arial"/>
          <w:sz w:val="22"/>
        </w:rPr>
        <w:t xml:space="preserve"> сценарио, милиони динара, константне цене из 2025. године)</w:t>
      </w:r>
    </w:p>
    <w:tbl>
      <w:tblPr>
        <w:tblW w:w="4950" w:type="pct"/>
        <w:tblInd w:w="10" w:type="dxa"/>
        <w:tblCellMar>
          <w:left w:w="10" w:type="dxa"/>
          <w:right w:w="10" w:type="dxa"/>
        </w:tblCellMar>
        <w:tblLook w:val="04A0" w:firstRow="1" w:lastRow="0" w:firstColumn="1" w:lastColumn="0" w:noHBand="0" w:noVBand="1"/>
      </w:tblPr>
      <w:tblGrid>
        <w:gridCol w:w="1499"/>
        <w:gridCol w:w="1920"/>
        <w:gridCol w:w="625"/>
        <w:gridCol w:w="700"/>
        <w:gridCol w:w="700"/>
        <w:gridCol w:w="849"/>
        <w:gridCol w:w="849"/>
        <w:gridCol w:w="849"/>
        <w:gridCol w:w="849"/>
        <w:gridCol w:w="849"/>
        <w:gridCol w:w="849"/>
        <w:gridCol w:w="849"/>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Опција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Дисконтована</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вредност</w:t>
            </w:r>
          </w:p>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r>
              <w:rPr>
                <w:rFonts w:ascii="Arial" w:eastAsia="Verdana" w:hAnsi="Arial" w:cs="Arial"/>
                <w:b/>
                <w:sz w:val="22"/>
              </w:rPr>
              <w:t>-</w:t>
            </w:r>
            <w:r w:rsidRPr="005761BD">
              <w:rPr>
                <w:rFonts w:ascii="Arial" w:eastAsia="Verdana" w:hAnsi="Arial" w:cs="Arial"/>
                <w:b/>
                <w:sz w:val="22"/>
              </w:rPr>
              <w:t>2034)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2029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2034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Status quo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12.626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318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664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1.041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1.893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2.373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2.891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3.451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4.056</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74.800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1.909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3.977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6.217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8.637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11.250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14.067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17.101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20.366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23.874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123.415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3.181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6.616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10.322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14.313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18.607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23.222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28.178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33.493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39.188</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Укупне економске уштеде по основу смањења емисије CO</w:t>
      </w:r>
      <w:r w:rsidRPr="005761BD">
        <w:rPr>
          <w:rFonts w:ascii="Arial" w:eastAsia="Verdana" w:hAnsi="Arial" w:cs="Arial"/>
          <w:sz w:val="22"/>
          <w:vertAlign w:val="subscript"/>
        </w:rPr>
        <w:t>2</w:t>
      </w:r>
      <w:r w:rsidRPr="005761BD">
        <w:rPr>
          <w:rFonts w:ascii="Arial" w:eastAsia="Verdana" w:hAnsi="Arial" w:cs="Arial"/>
          <w:sz w:val="22"/>
        </w:rPr>
        <w:t xml:space="preserve"> за период од 2025. до 2034. године креће се у интервалу између 13 и 123 милијарди динара (дисконтована вредност).</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1.3. Образложење прихваћене опције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Економска конкурентност и заштита животне средине све више постају међусобно зависни циљеви у савременим политикама. Многе земље интегришу принципе циркуларне економије како би истовремено оствариле одржив економски раст и смањиле негативан утицај на животну средину. Европска комисија у својој политици о ЦЕ настоји да уравнотежи иновације и економску конкурентност са еколошким циљевима. Традиционални производни процеси не интернализују трошкове загађења, деградације природних ресурса и енергије. Без фискалних и регулаторних инструмената, произвођачи не узимају у обзир утицај својих активности на животну средину. ЦЕ омогућава привредним субјектима да смање зависност од нестабилних тржишта ресурса, повећају продуктивност, остваре материјалне уштеде, повећају стопу запослености и дугорочно смање ризике и екстерне ефекте.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Потрошачи такође добијају користи, не само кроз снижене трошкове производа, већ и кроз бољи избор, прилагођавање производа својим потребама и секундарне користи од продужења животног века производа. Порези и субвенције могу служити као механизми подршке транзицији, стимулишући употребу рециклираних материјала и улагања у циркуларну инфраструктуру.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На тржишту рада, ЦЕ захтева нове вештине и знања, па је потребна блиска сарадња образовних институција, научних организација и привреде. Плански и координисан приступ на нивоу државе, локалних самоуправа, предузећа и домаћинстава је кључан за остваривање максималних користи. У кратком року, предузећа, држава и потрошачи се суочавају са ограничењима у прилагођавању свог понашања принципима ЦЕ. Предузећа у Републици Србији су у раним фазама преласка на ЦЕ и неопходан им је капитал, технолошка прилагођавања и обучено особље како би ефикасно искористили секундарне материјале и побољшали продуктивност ресурса. Међутим, осим економских и техничких препрека, постоје и додатни изазови као што </w:t>
      </w:r>
      <w:r w:rsidRPr="005761BD">
        <w:rPr>
          <w:rFonts w:ascii="Arial" w:eastAsia="Verdana" w:hAnsi="Arial" w:cs="Arial"/>
          <w:sz w:val="22"/>
        </w:rPr>
        <w:lastRenderedPageBreak/>
        <w:t>су социјална и културна ограничења. Друштвене и културне баријере могу имати значајан утицај на понашање потрошача, јер фактори изван економских критеријума, као што су личне преференције и ограничења дохотка, такође утичу на одлуке о куповини. Овим нефинансијским критеријумима такође треба посветити значајну пажњу, јер су искуства неких земаља ЕУ показала да се тешко превазилазе у кратком року. Наиме, на кратак рок може доћи и до негативног утицаја циркуларне економије на БДП, јер ЦЕ захтева значајне промене у понашању, инфраструктури, економским подстицајима и регулаторним оквирима.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Анализа предложених сценарија показује да реализацијом сценарија 4 </w:t>
      </w:r>
      <w:r w:rsidRPr="005761BD">
        <w:rPr>
          <w:rFonts w:ascii="Arial" w:eastAsia="Verdana" w:hAnsi="Arial" w:cs="Arial"/>
          <w:b/>
          <w:sz w:val="22"/>
        </w:rPr>
        <w:t xml:space="preserve">(трансформациони сценарио) </w:t>
      </w:r>
      <w:r w:rsidRPr="005761BD">
        <w:rPr>
          <w:rFonts w:ascii="Arial" w:eastAsia="Verdana" w:hAnsi="Arial" w:cs="Arial"/>
          <w:sz w:val="22"/>
        </w:rPr>
        <w:t>могу се остварити највећи ефекти у свим мереним индикаторима: економске уштеде у привреди (2,3</w:t>
      </w:r>
      <w:r>
        <w:rPr>
          <w:rFonts w:ascii="Arial" w:eastAsia="Verdana" w:hAnsi="Arial" w:cs="Arial"/>
          <w:sz w:val="22"/>
        </w:rPr>
        <w:t>-</w:t>
      </w:r>
      <w:r w:rsidRPr="005761BD">
        <w:rPr>
          <w:rFonts w:ascii="Arial" w:eastAsia="Verdana" w:hAnsi="Arial" w:cs="Arial"/>
          <w:sz w:val="22"/>
        </w:rPr>
        <w:t>3,7 милијарди динара), пораст БДП (2,35 милиона динара), повећање запослености (136.000 нових радних места), економске користи за домаћинства (88 милијарди динара) и потенцијалне приходе за буџете државе и локалних самоуправа. Сценарио 2 и 3 пружају значајно мање користи, јер покривају само ограничен обим.</w:t>
      </w:r>
    </w:p>
    <w:p w:rsidR="005761BD" w:rsidRPr="005761BD" w:rsidRDefault="005761BD" w:rsidP="005761BD">
      <w:pPr>
        <w:spacing w:line="210" w:lineRule="atLeast"/>
        <w:jc w:val="right"/>
        <w:rPr>
          <w:rFonts w:ascii="Arial" w:hAnsi="Arial" w:cs="Arial"/>
        </w:rPr>
      </w:pPr>
      <w:r w:rsidRPr="005761BD">
        <w:rPr>
          <w:rFonts w:ascii="Arial" w:eastAsia="Verdana" w:hAnsi="Arial" w:cs="Arial"/>
          <w:b/>
          <w:sz w:val="22"/>
        </w:rPr>
        <w:t>ПРИЛОГ 2.</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Методологија праћења и показатељи учинка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1.1. Индикатори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контексту развоја циркуларне економије у Републици Србији до 2030. године, важно је истаћи да је Европска унија већ успоставила институционални и аналитички оквир за праћење напретка у овој области. Први такав оквир усвојен је 2018. године од стране Европске комисије, са сврхом да прати реализацију циркуларне економије на нивоу Уније и држава чланица. Након усвајања новог Акционог плана за циркуларну економију, који ставља акценат на чистију и конкурентнију Европу, ЕУ је усвојила и ревидиран систем индикатора који обједињује циркуларност са другим кључним приоритетима као што су: климатска неутралност и смањење загађења. Овај ревидирани оквир је усклађен са ширим стратегијским документима Европске уније, укључујући Европски зелени договор, Осми програм заштите животне средине, Агенду 2030 Уједињених нација за одрживи развој, као и циљеве у погледу безбедности снабдевања и отпорности. Као такав, он представља релевантну референтну тачку за креирање и прилагођавање националних политика у Републици Србији, које треба да унапреде капацитете за праћење, извештавање и унапређење циркуларне економије на свим нивоима, од националног до локалног. Усмеравање Програма ка овим приоритетима обезбеђује усклађеност са европским токовима и ствара основу за еколошки, економски и друштвено одржив развој до 2030. године.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Нови оквир за праћење развоја циркуларне економије, према методологији </w:t>
      </w:r>
      <w:r w:rsidRPr="005761BD">
        <w:rPr>
          <w:rFonts w:ascii="Arial" w:eastAsia="Verdana" w:hAnsi="Arial" w:cs="Arial"/>
          <w:i/>
          <w:sz w:val="22"/>
        </w:rPr>
        <w:t>Eurostat Circular Economy Monitoring Framework,</w:t>
      </w:r>
      <w:r w:rsidRPr="005761BD">
        <w:rPr>
          <w:rFonts w:ascii="Arial" w:eastAsia="Verdana" w:hAnsi="Arial" w:cs="Arial"/>
          <w:sz w:val="22"/>
        </w:rPr>
        <w:t xml:space="preserve"> укључује додатну димензију глобалне одрживости и отпорности, чиме се надограђује постојећа структура која је до сада обухватала четири димензије: производњу и потрошњу, управљање отпадом, секундарне сировине и конкурентност и иновације. У оквиру проширеног приступа, нови оквир за праћење садржи и нове индикаторе који су од суштинског значаја за праћење напретка у транзицији ка циркуларној економији. Посебно се издвајају следећи индикатори: материјални отисак, продуктивност ресурса, отисак потрошње, емисије гасова са ефектом стаклене баште из производних активности, као и зависност од увоза материјала. Овај проширени аналитички оквир пружа стратешку основу за креирање политика и мера у оквиру </w:t>
      </w:r>
      <w:r w:rsidRPr="005761BD">
        <w:rPr>
          <w:rFonts w:ascii="Arial" w:eastAsia="Verdana" w:hAnsi="Arial" w:cs="Arial"/>
          <w:i/>
          <w:sz w:val="22"/>
        </w:rPr>
        <w:t>Програма развоја циркуларне економије у Републици Србији у периоду 2026</w:t>
      </w:r>
      <w:r>
        <w:rPr>
          <w:rFonts w:ascii="Arial" w:eastAsia="Verdana" w:hAnsi="Arial" w:cs="Arial"/>
          <w:i/>
          <w:sz w:val="22"/>
        </w:rPr>
        <w:t>-</w:t>
      </w:r>
      <w:r w:rsidRPr="005761BD">
        <w:rPr>
          <w:rFonts w:ascii="Arial" w:eastAsia="Verdana" w:hAnsi="Arial" w:cs="Arial"/>
          <w:i/>
          <w:sz w:val="22"/>
        </w:rPr>
        <w:t>2030. године</w:t>
      </w:r>
      <w:r w:rsidRPr="005761BD">
        <w:rPr>
          <w:rFonts w:ascii="Arial" w:eastAsia="Verdana" w:hAnsi="Arial" w:cs="Arial"/>
          <w:sz w:val="22"/>
        </w:rPr>
        <w:t>, са циљем јачања отпорности економије, смањења еколошког отиска и обезбеђивања одрживог управљања ресурсима.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1.1. Индикатори за мерење напретка у области циркуларне економије</w:t>
      </w:r>
    </w:p>
    <w:tbl>
      <w:tblPr>
        <w:tblW w:w="4950" w:type="pct"/>
        <w:tblInd w:w="10" w:type="dxa"/>
        <w:tblCellMar>
          <w:left w:w="10" w:type="dxa"/>
          <w:right w:w="10" w:type="dxa"/>
        </w:tblCellMar>
        <w:tblLook w:val="04A0" w:firstRow="1" w:lastRow="0" w:firstColumn="1" w:lastColumn="0" w:noHBand="0" w:noVBand="1"/>
      </w:tblPr>
      <w:tblGrid>
        <w:gridCol w:w="2620"/>
        <w:gridCol w:w="1158"/>
        <w:gridCol w:w="3233"/>
        <w:gridCol w:w="4376"/>
      </w:tblGrid>
      <w:tr w:rsidR="005761BD" w:rsidRPr="005761BD" w:rsidTr="00CF3A2D">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Димензија: Производња и потрошња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Превод назива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Material footprint</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Материјални отисак</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Укупна количина сировина (био, метали, минерали, фосилна горива) које се користе за задовољавање домаће потрошње.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Resource productivity</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Продуктивност ресурса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БДП по јединици укупне потрошње материјала (DMC), мери ефикасност коришћења ресурса.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lastRenderedPageBreak/>
              <w:t>Waste generation per capita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cei_pc034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генерисаног отпада по глави становника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Укупна количина отпада по становнику, свих врста.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Generation of waste excluding major mineral wastes per GDP unit</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cei_pc032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отпада (без минералних) по јединици БДП-а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отпада по јединици БДП, изузимајући велике количине минералног отпада (из грађевинарства итд.).</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Generation of municipal waste per capita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cei_pc031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комуналног отпада по становнику</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комуналног отпада по становнику (из домаћинстава и сличних извора).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Food waste</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cei_pc035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Генерисање отпада од хране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бачене хране, по секторима (домаћинства, угоститељство, прерада и слично).</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Generation of packaging waste per capita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cei_pc040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амбалажног отпада по становнику</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Генерисање амбалажног отпада по становнику.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Generation of plastic packaging waste per capita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cei_pc050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отпада од пластичне амбалаже по становнику</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Количина пластичног амбалажног отпада по становнику.</w:t>
            </w:r>
          </w:p>
        </w:tc>
      </w:tr>
      <w:tr w:rsidR="005761BD" w:rsidRPr="005761BD" w:rsidTr="00CF3A2D">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Димензија: Управљање отпадом</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Превод назива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Recycling rate of municipal waste</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cei_wm011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рециклаже комуналног отпада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укупног комуналног отпада који се рециклира или компостира у односу на укупно генерисану количину комуналног отпада.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Recycling rate of all waste excluding major mineral waste</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cei_wm010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рециклаже укупног отпада без великих минералних отпада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рециклираног отпада у односу на укупно третиран отпад, искључујући грађевински и друге масовне минералне отпаде.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Recycling rate of packaging waste by type of packaging</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cei_wm020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рециклаже амбалажног отпада по врсти амбалаже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амбалажног отпада који се рециклира, приказан по врстама материјала: папир/картон, стакло, пластика, метал и дрво.</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Recycling rate of waste of electrical and electronic equipment (WEEE) separately collected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cei_wm060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рециклаже отпада од електричне и електронске опреме (WEEE) прикупљене одвојено</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електронског и електричног отпада који је одвојено прикупљен и затим рециклиран у складу са прописима.</w:t>
            </w:r>
          </w:p>
        </w:tc>
      </w:tr>
      <w:tr w:rsidR="005761BD" w:rsidRPr="005761BD" w:rsidTr="00CF3A2D">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Димензија: Секундарне сировине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Превод назива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Circular material use rate</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cei_srm030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кружне употребе материјала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материјала који се поново уводи у економију (као рециклирани материјали) у односу на укупну потрошњу материјала. Ово мери степен циркуларности економије.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lastRenderedPageBreak/>
              <w:t xml:space="preserve">Contribution of recycled materials to raw materials demand </w:t>
            </w:r>
            <w:r>
              <w:rPr>
                <w:rFonts w:ascii="Arial" w:eastAsia="Verdana" w:hAnsi="Arial" w:cs="Arial"/>
                <w:i/>
                <w:sz w:val="22"/>
              </w:rPr>
              <w:t>-</w:t>
            </w:r>
            <w:r w:rsidRPr="005761BD">
              <w:rPr>
                <w:rFonts w:ascii="Arial" w:eastAsia="Verdana" w:hAnsi="Arial" w:cs="Arial"/>
                <w:i/>
                <w:sz w:val="22"/>
              </w:rPr>
              <w:t xml:space="preserve"> end-of-life recycling input rates (EOL-RIR)</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cei_srm010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Удео рециклираних материјала у укупној потражњи за сировинама </w:t>
            </w:r>
            <w:r>
              <w:rPr>
                <w:rFonts w:ascii="Arial" w:eastAsia="Verdana" w:hAnsi="Arial" w:cs="Arial"/>
                <w:sz w:val="22"/>
              </w:rPr>
              <w:t>-</w:t>
            </w:r>
            <w:r w:rsidRPr="005761BD">
              <w:rPr>
                <w:rFonts w:ascii="Arial" w:eastAsia="Verdana" w:hAnsi="Arial" w:cs="Arial"/>
                <w:sz w:val="22"/>
              </w:rPr>
              <w:t xml:space="preserve"> стопа уноса рециклаже на крају животног века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материјала добијеног рециклажом производа на крају њиховог животног века који се користи као улаз у нову производњу.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Trade in recyclable raw materials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cei_srm020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Трговина рециклабилним сировинама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Увоз и извоз сировина које се могу рециклирати (нпр. метални отпад, папир, стакло), што указује на економску активност у трговини секундарним сировинама.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 xml:space="preserve">Recyclable secondary raw materials </w:t>
            </w:r>
            <w:r>
              <w:rPr>
                <w:rFonts w:ascii="Arial" w:eastAsia="Verdana" w:hAnsi="Arial" w:cs="Arial"/>
                <w:i/>
                <w:sz w:val="22"/>
              </w:rPr>
              <w:t>-</w:t>
            </w:r>
            <w:r w:rsidRPr="005761BD">
              <w:rPr>
                <w:rFonts w:ascii="Arial" w:eastAsia="Verdana" w:hAnsi="Arial" w:cs="Arial"/>
                <w:i/>
                <w:sz w:val="22"/>
              </w:rPr>
              <w:t xml:space="preserve"> prices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cei_srm040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Цене рециклабилних секундарних сировина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Подаци о ценама секундарних сировина (нпр. рециклирани метали, пластика) на тржишту, што може утицати на мотивацију за рециклажу.</w:t>
            </w:r>
          </w:p>
        </w:tc>
      </w:tr>
      <w:tr w:rsidR="005761BD" w:rsidRPr="005761BD" w:rsidTr="00CF3A2D">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Димензија: конкурентност и иновације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Превод назива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Private investment and gross added value related to circular economy sectors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cei_cie012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Приватне инвестиције и бруто додата вредност у секторима циркуларне економије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Мери вредност приватних инвестиција и остварене бруто додате вредности у секторима који доприносе циркуларној економији (нпр. рециклажа, поправке, поновна употреба, изнајмљивање).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Persons employed in circular economy sectors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cei_cie011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Запослени у секторима циркуларне економије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Број лица запослених у секторима који активно учествују у циркуларној економији, што укључује рециклажу, поправке, поновну употребу, изнајмљивање и слично.</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Patents related to recycling and secondary raw materials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cei_cie020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Патенти повезани са рециклажом и секундарним сировинама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Број пријављених патената који се односе на технологије за рециклажу и поновну употребу секундарних сировина </w:t>
            </w:r>
            <w:r>
              <w:rPr>
                <w:rFonts w:ascii="Arial" w:eastAsia="Verdana" w:hAnsi="Arial" w:cs="Arial"/>
                <w:sz w:val="22"/>
              </w:rPr>
              <w:t>-</w:t>
            </w:r>
            <w:r w:rsidRPr="005761BD">
              <w:rPr>
                <w:rFonts w:ascii="Arial" w:eastAsia="Verdana" w:hAnsi="Arial" w:cs="Arial"/>
                <w:sz w:val="22"/>
              </w:rPr>
              <w:t xml:space="preserve"> индикатор иновација у циркуларној економији.</w:t>
            </w:r>
          </w:p>
        </w:tc>
      </w:tr>
      <w:tr w:rsidR="005761BD" w:rsidRPr="005761BD" w:rsidTr="00CF3A2D">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Димензија: Глобална одрживост и отпорност</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Превод назива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Consumption footprint</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cei_gsr010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Еколошки отисак потрошње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Мери утицај укупне финалне потрошње у ЕУ на животну средину, укључујући производе и услуге које се производе и унутар и ван ЕУ.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Greenhouse gases emissions from production activities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cei_gsr011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Емисија гасова стаклене баште из производних активности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Мери количину гасова са ефектом стаклене баште емитованих током производних активности унутар ЕУ (нпр. индустрија, пољопривреда, енергија).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t>Material import dependency</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cei_gsr030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Зависност од увоза сировина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Проценат увезених сировина у односу на укупну домаћу потрошњу сировина; указује на економску и ресурсну </w:t>
            </w:r>
            <w:r w:rsidRPr="005761BD">
              <w:rPr>
                <w:rFonts w:ascii="Arial" w:eastAsia="Verdana" w:hAnsi="Arial" w:cs="Arial"/>
                <w:sz w:val="22"/>
              </w:rPr>
              <w:lastRenderedPageBreak/>
              <w:t>зависност од других земаља.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i/>
                <w:sz w:val="22"/>
              </w:rPr>
              <w:lastRenderedPageBreak/>
              <w:t>EU self-sufficiency for raw materials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cei_gsr020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Самодовољност ЕУ у погледу сировина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Проценат потреба за сировинама које ЕУ може да задовољи из сопствених извора; важан индикатор отпорности и стратегије смањења ризика у ланцима снабдевања.</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На основу представљених индикатора и проширеног оквира за праћење циркуларне економије, јасно је да транзиција ка одрживом и отпорном моделу захтева холистички и системски приступ. До 2030. године, Република Србија треба да усмери своје напоре ка унапређењу ефикасности у коришћењу ресурса, смањењу отпада, повећању стопе рециклаже и подстицању иновација у секторима циркуларне економије. Увођење индикатора који мере глобалну одрживост и отпорност, као што су еколошки отисак потрошње, зависност од увоза сировина и емисије гасова стаклене баште, омогућава управљање засновано на релевантним подацима и унапређење политичког планирања. Поред тога, Life Cycle Assessment (LCA) доприноси индикаторима циркуларне економије пружајући детаљну квантитативну процену еколошких ефеката производа и процеса, што омогућава прецизније интерпретирање података и боље информисано доношење одлука о уштеди ресурса, смањењу отпада и оптимизацији циркуларних токова. Овај програм поставља темеље за изградњу економије која је отпорнија на спољне шокове, конкурентнија на глобалном тржишту и усмерена на очување природних ресурса за будуће генерације.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1.2. Индикатор индустријске симбиозе</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1.2.1. Потреба за новим индикаторима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последњој деценији, праћење напретка у спровођењу циркуларне економије постало је неизоставни део националних и локалних политика одрживог развоја. Упркос постојању низа индикатора на нивоу Европске уније, који се односе на кључне димензије као што су производња и потрошња, управљање отпадом, секундарне сировине, конкурентност и иновације, као и глобална одрживост и отпорност, показало се да ови индикатори имају ограничену применљивост у процени стварних ефеката циркуларне економије на локалном нивоу у Републици Србији. Увођење нових индикатора, прилагођених специфичностима локалне привреде и територијалног контекста, представља неопходан корак у даљој ефикасној имплементацији принципа циркуларне економије. Иницијални проблем, који је идентификован, односи се на недовољну просторну и функционалну прецизност постојећих индикатора. Они сеуглавном примењују на макроекономском нивоу, без могућности фино-грануларне анализе на нивоу локалних заједница или индустријских кластера. Они се фокусирају на агрегиране вредности (нпр. материјална продуктивност БДП), што отежава препознавање и вредновање конкретних локалних иницијатива, индустријских партнерстава и међуинституционалних облика сарадње у циркуларним токовима. Овакви индикатори не одражавају суштинске друштвено-економске и еколошке синергије које настају унутар локалних симбиоза, било да су у питању размeне енергије, материјала или отпада међу привредним субјектима. Последично, изостаје подстицај за ширу примену индустријске симбиозе као једног од најефикаснијих модела за унапређење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Европска унија већ годинама промовише индустријску симбиозу као окосницу циркуларне економије у оквиру </w:t>
      </w:r>
      <w:r w:rsidRPr="005761BD">
        <w:rPr>
          <w:rFonts w:ascii="Arial" w:eastAsia="Verdana" w:hAnsi="Arial" w:cs="Arial"/>
          <w:i/>
          <w:sz w:val="22"/>
        </w:rPr>
        <w:t>EU Industrial Strategy</w:t>
      </w:r>
      <w:r w:rsidRPr="005761BD">
        <w:rPr>
          <w:rFonts w:ascii="Arial" w:eastAsia="Verdana" w:hAnsi="Arial" w:cs="Arial"/>
          <w:sz w:val="22"/>
        </w:rPr>
        <w:t xml:space="preserve"> и </w:t>
      </w:r>
      <w:r w:rsidRPr="005761BD">
        <w:rPr>
          <w:rFonts w:ascii="Arial" w:eastAsia="Verdana" w:hAnsi="Arial" w:cs="Arial"/>
          <w:i/>
          <w:sz w:val="22"/>
        </w:rPr>
        <w:t>Green Deal</w:t>
      </w:r>
      <w:r w:rsidRPr="005761BD">
        <w:rPr>
          <w:rFonts w:ascii="Arial" w:eastAsia="Verdana" w:hAnsi="Arial" w:cs="Arial"/>
          <w:sz w:val="22"/>
        </w:rPr>
        <w:t>.</w:t>
      </w:r>
      <w:r w:rsidRPr="005761BD">
        <w:rPr>
          <w:rFonts w:ascii="Arial" w:eastAsia="Verdana" w:hAnsi="Arial" w:cs="Arial"/>
          <w:sz w:val="22"/>
          <w:vertAlign w:val="superscript"/>
        </w:rPr>
        <w:t>25</w:t>
      </w:r>
      <w:r w:rsidRPr="005761BD">
        <w:rPr>
          <w:rFonts w:ascii="Arial" w:eastAsia="Verdana" w:hAnsi="Arial" w:cs="Arial"/>
          <w:sz w:val="22"/>
        </w:rPr>
        <w:t xml:space="preserve"> У том контексту, синергијска сарадња између индустријских актера на локалном нивоу препозната је као кључни механизам за смањење отпада, смањење потрошње примарних ресурса, и повећање енергетске ефикасности. Зелена агенда за Западни Балкан, коју је Република Србија прихватила 2020. године, у оквиру стуба о Циркуларној економији и управљању ресурсима, посебно наглашава важност територијалне димензије циркуларности. Ово подразумева јачање локалних циркуларних токова и повезивање малих и средњих предузећа кроз локалне и регионалне мреже. Стога, увођење индикатора који мере степен повезаности и заједничких иницијатива између актера циркуларне економије на локалном нивоу директно подржава циљеве ове агенде и указује на степен њене имплементације</w:t>
      </w:r>
      <w:r w:rsidRPr="005761BD">
        <w:rPr>
          <w:rFonts w:ascii="Arial" w:eastAsia="Verdana" w:hAnsi="Arial" w:cs="Arial"/>
          <w:sz w:val="22"/>
          <w:vertAlign w:val="superscript"/>
        </w:rPr>
        <w:t>26</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Други уочени проблем се односи на недостатак интегрисаних показатеља за праћење циркуларности на микро нивоу. Употреба појединачних индикатора попут броја ISO 14001 сертификованих предузећа, учешћа зелених јавних набавки или количине рециклираног отпада, иако значајна, не даје довољно информација о кохерентности и интеграцији пракси циркуларне економије на нивоу заједнице. Они се посматрају изоловано, без разумевања повезаности, интензитета сарадње и степена међузависности међу актерима. Потребан је сложени индикатор који би обједињено мерио неколико димензија: институционалну, економску, техничку и социјалну сарадњу. Такав индикатор би требало да буде осетљив на број и дубину формализованих </w:t>
      </w:r>
      <w:r w:rsidRPr="005761BD">
        <w:rPr>
          <w:rFonts w:ascii="Arial" w:eastAsia="Verdana" w:hAnsi="Arial" w:cs="Arial"/>
          <w:sz w:val="22"/>
        </w:rPr>
        <w:lastRenderedPageBreak/>
        <w:t>партнерстава, учесталост и обим размене ресурса, као и постојање заједничких инвестиција или инфраструктуре за циркуларну економију.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 тим у вези, за предложени модел су узети примери добре праксе из ЕУ. У скандинавским земљама, попут Краљевине Данске и Републике Финске, већ се користе алати и индикатори који мапирају тзв.</w:t>
      </w:r>
      <w:r>
        <w:rPr>
          <w:rFonts w:ascii="Arial" w:eastAsia="Verdana" w:hAnsi="Arial" w:cs="Arial"/>
          <w:sz w:val="22"/>
        </w:rPr>
        <w:t>,</w:t>
      </w:r>
      <w:r w:rsidRPr="005761BD">
        <w:rPr>
          <w:rFonts w:ascii="Arial" w:eastAsia="Verdana" w:hAnsi="Arial" w:cs="Arial"/>
          <w:sz w:val="22"/>
        </w:rPr>
        <w:t>,ресурсне токове</w:t>
      </w:r>
      <w:r>
        <w:rPr>
          <w:rFonts w:ascii="Arial" w:eastAsia="Verdana" w:hAnsi="Arial" w:cs="Arial"/>
          <w:sz w:val="22"/>
        </w:rPr>
        <w:t>"</w:t>
      </w:r>
      <w:r w:rsidRPr="005761BD">
        <w:rPr>
          <w:rFonts w:ascii="Arial" w:eastAsia="Verdana" w:hAnsi="Arial" w:cs="Arial"/>
          <w:sz w:val="22"/>
        </w:rPr>
        <w:t xml:space="preserve"> међу индустријским субјектима (нпр. Kalundborg Symbiosis Model</w:t>
      </w:r>
      <w:r w:rsidRPr="005761BD">
        <w:rPr>
          <w:rFonts w:ascii="Arial" w:eastAsia="Verdana" w:hAnsi="Arial" w:cs="Arial"/>
          <w:sz w:val="22"/>
          <w:vertAlign w:val="superscript"/>
        </w:rPr>
        <w:t>27</w:t>
      </w:r>
      <w:r w:rsidRPr="005761BD">
        <w:rPr>
          <w:rFonts w:ascii="Arial" w:eastAsia="Verdana" w:hAnsi="Arial" w:cs="Arial"/>
          <w:sz w:val="22"/>
        </w:rPr>
        <w:t>). Ови индикатори не само да</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25 https://www.oecd.org/en/events/2024/04/regional-peer-dialogue-on-industrial-symbiosis.html.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26 https://www.oecd.org/content/dam/oecd/en/about/programmes/grc/grc-see/Presentations_Regional%20Peer%20Dialogue_Industrial%20Symbiosis_April%2017%202024.pdf.</w:t>
      </w:r>
    </w:p>
    <w:p w:rsidR="005761BD" w:rsidRPr="005761BD" w:rsidRDefault="005761BD" w:rsidP="005761BD">
      <w:pPr>
        <w:spacing w:line="210" w:lineRule="atLeast"/>
        <w:rPr>
          <w:rFonts w:ascii="Arial" w:hAnsi="Arial" w:cs="Arial"/>
        </w:rPr>
      </w:pPr>
      <w:r w:rsidRPr="005761BD">
        <w:rPr>
          <w:rFonts w:ascii="Arial" w:eastAsia="Verdana" w:hAnsi="Arial" w:cs="Arial"/>
          <w:sz w:val="22"/>
        </w:rPr>
        <w:t>27 https://www.sciencedirect.com/science/article/abs/pii/S0959652616000962?via%3Dihub.</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помажу у доношењу локалних политика, већ и омогућавају мерење еколошких и економских уштеда остварених захваљујући сарадњи. Такви приступи показују да сложени индикатори доприносе доношењу ефикасних мера и усмеравању подршке ка симбиотским системима. Република Србија може користити ове примере као основу за израду сопственог индикатора у складу са својим капацитетима и подацима који су доступни.</w:t>
      </w:r>
      <w:r w:rsidRPr="005761BD">
        <w:rPr>
          <w:rFonts w:ascii="Arial" w:eastAsia="Verdana" w:hAnsi="Arial" w:cs="Arial"/>
          <w:sz w:val="22"/>
          <w:vertAlign w:val="superscript"/>
        </w:rPr>
        <w:t>28</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Управо због наведених ограничења и амбициозних циљева у наредном програмском периоду, предлаже се увођење Индекса симбиозе локалних заједница. Индексно праћење је погодно за мерење напретка и континуирано извештавање ЈЛС. Основна функција овог индекса би била 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1. мери број формализованих ЦЕ партнерстава (уговори, меморандуми, заједнички пројекти);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2. прати фреквенцију и количину размене ресурса (материјала, енергије,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3. укључи сарадњу са локалном самоуправом у планским и регулаторним процесима (просторни планови, јавне набавке, субвенције);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4. процењује постојање институционалне инфраструктурне подршке (заједничка постројења, логистички центри, ЦЕ хабови, као и мреже, капацитети, системи и процедуре јавних институција).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Овакав индекс би омогућио интегрисано и територијално осетљиво праћење напретка циркуларне економије, и служио би као основ за усмеравање јавних политика, подстицаја и инвестиција у локалне иницијативе. Да би Република Србија адекватно пратила напредак у циркуларној економији и остварила своје међународне обавезе, укључујући ЕУ процес приступања и Зелену агенду за Западни Балкан, неопходно је увођење нових индикатора који надограђују постојећи оквир за мониторинг. Индекс симбиозе локалних заједница представља иновативан алат за подршку локалној циркуларној трансформацији и јачање међусекторске сарадње. Његова примена би значајно унапредила транспарентност, учинак и ефикасност мера циркуларне економије у наредном циклусу јавних политика.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1.2.2. Дефиниција Индекса симбиозе локалних заједница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Развој и унапређење циркуларне економије на локалном нивоу захтева системску и структурирану подршку, која не може бити у потпуности остварена без јасних и поузданих механизама праћења. У том контексту, Индекс симбиозе локалних заједница представља нови, композитни индикатор, креиран са циљем да омогући праћење и вредновање стварне повезаности, сарадње и интеграције различитих актера унутар локалних циркуларних токова. Индекс симбиозе локалних заједница не представља само средство за прикупљање података, већ аналитички алат који оцењује дубину и квалитет сарадње у оквиру индустријске симбиозе, еколошке повезаности и институционалне укључености на територијалној основи. Кроз увођење овог индикатора, омогућава се квантификовање напора локалних заједница у правцу остваривања принципа циркуларне економије и идентификација примера добре праксе који могу послужити као модел другим срединама.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је заснован на вишедимензионалном приступу који интегрише четири главна критеријума, сваки са својом специфичном логиком, квалитативним и квантитативним показатељима.</w:t>
      </w:r>
      <w:r w:rsidRPr="005761BD">
        <w:rPr>
          <w:rFonts w:ascii="Arial" w:eastAsia="Verdana" w:hAnsi="Arial" w:cs="Arial"/>
          <w:sz w:val="22"/>
          <w:vertAlign w:val="superscript"/>
        </w:rPr>
        <w:t>29</w:t>
      </w:r>
      <w:r w:rsidRPr="005761BD">
        <w:rPr>
          <w:rFonts w:ascii="Arial" w:eastAsia="Verdana" w:hAnsi="Arial" w:cs="Arial"/>
          <w:sz w:val="22"/>
        </w:rPr>
        <w:t xml:space="preserve"> Сваки критеријум мери различите аспекте локалне симбиозе, почев од формализованих партнерстава, преко размене материјала, енергије и отпада, заједничких иницијатива и пројеката са ЈЛС до институционално инфраструктурне подршке. Ова структура омогућава вишеслојну анализу и упоредивост између различитих јединица локалне самоуправе.</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lastRenderedPageBreak/>
        <w:t>Критеријум 1: Број формализованих партнерстава из области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Први критеријум Индекса симбиозе локалних заједница односи се на број и структуру формално успостављених партнерстава између привредних субјеката, јавних институција, организација цивилног друштва и академског сектора у области циркуларне економије. Формализација партнерстава подразумева постојање</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28 https://www.oecd.org/en/about/programmes/green-transition-in-the-western-balkans.html.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29 https://www.sciencedirect.com/science/article/abs/pii/S0959652616000962?via%3Dihub.</w:t>
      </w:r>
    </w:p>
    <w:p w:rsidR="005761BD" w:rsidRPr="005761BD" w:rsidRDefault="005761BD" w:rsidP="005761BD">
      <w:pPr>
        <w:spacing w:line="210" w:lineRule="atLeast"/>
        <w:rPr>
          <w:rFonts w:ascii="Arial" w:hAnsi="Arial" w:cs="Arial"/>
        </w:rPr>
      </w:pPr>
      <w:r w:rsidRPr="005761BD">
        <w:rPr>
          <w:rFonts w:ascii="Arial" w:eastAsia="Verdana" w:hAnsi="Arial" w:cs="Arial"/>
          <w:sz w:val="22"/>
        </w:rPr>
        <w:t>писаних докумената, као што су: уговори о сарадњи, меморандуми о разумевању, заједничке апликације за пројекте финансиране из националних или међународних фондова, као и успостављени конзорцијуми или мреже. Овај критеријум пружа увид у институционалну зрелост и степен формалне ангажованости актера. Виши број формализованих партнерстава указује на снажнију основу за развој системских циркуларних решења, бољу расподелу одговорности и дугорочнију стабилност иницијатива.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примене: У јединици локалне самоуправе која има пет активних уговора о сарадњи на пројектима управљања отпадом између привредних субјеката и локалне самоуправе, критеријум би био високо оцењен. У поређењу, средине са неформалним и ad hoc приступом биле би на нижој скали индекса.</w:t>
      </w:r>
      <w:r w:rsidRPr="005761BD">
        <w:rPr>
          <w:rFonts w:ascii="Arial" w:eastAsia="Verdana" w:hAnsi="Arial" w:cs="Arial"/>
          <w:sz w:val="22"/>
          <w:vertAlign w:val="superscript"/>
        </w:rPr>
        <w:t>30</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Критеријум 2: Обим и тип размене материјала, енергије или отпада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Други критеријум се односи на мерљиву размену ресурса међу учесницима симбиозе. У оквиру овог параметра бележе се и процењују количине пренетог материјала (нпр. секундарне сировине), енергената (нпр. топлотна енергија, биогас) или отпада који се улаже у поновну употребу или рециклажу између више актера. Посебна вредност се придаје постојању системских токова који су у функцији дужег временског периода и имају документоване техничке или комерцијалне аранжмане. Тип размене такође утиче на тежину резултата, енергетска симбиоза има већи еколошки ефекат од логистичке, па се и унутар критеријума врши унутрашње рангирање.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примене: Уколико индустријска зона размењује топлотну енергију насталу као нуспроизвод између топлане и хемијског погона у оквиру исте територијалне целине, то се бележи као циркуларна размена високе вредности.</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Критеријум 3: Број заједничких пројеката или иницијатива са локалним самоуправама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Сврха трећег критеријума је да процени колико су иницијативе циркуларне економије интегрисане у политичке, развојне и финансијске инструменте локалне самоуправе. Под тим се подразумева број заједнички реализованих пројеката који укључују јавне институције као активне носиоце или партнере у реализацији активности циркуларне економије. Такви пројекти могу бити део локалних мапа пута, локалних економских развојних стратегија, планова управљања отпадом, јавних набавки или иницијатива у области јавних услуга (нпр. заједничка постројења за компостирање, биогас станице, дистрибутивни системи за рециклажу у домаћинствима). Присуство оваквих пројеката указује на дубљу институционалну подршку циркуларне економије и подиже капацитете за ширење добре праксе у другим секторима.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примене: ЈЛС је успоставила дигиталну платформу за циркуларну економију која повезује Јавно комунално предузеће, локалне компаније и грађане. Путем платформе реализовано је седам уговора о сарадњи, од заједничког коришћења опреме за прераду грађевинског отпада, до размене секундарних сировина између фабрика и јавних установа. Платформа аутоматски прати и извештава о уштеди ресурса и смањењу емисија CO</w:t>
      </w:r>
      <w:r w:rsidRPr="005761BD">
        <w:rPr>
          <w:rFonts w:ascii="Cambria Math" w:eastAsia="Verdana" w:hAnsi="Cambria Math" w:cs="Cambria Math"/>
          <w:i/>
          <w:sz w:val="22"/>
        </w:rPr>
        <w:t>₂</w:t>
      </w:r>
      <w:r w:rsidRPr="005761BD">
        <w:rPr>
          <w:rFonts w:ascii="Arial" w:eastAsia="Verdana" w:hAnsi="Arial" w:cs="Arial"/>
          <w:i/>
          <w:sz w:val="22"/>
        </w:rPr>
        <w:t>, а подаци се користе у Локалном плану развоја. Оваква систематска и технолошки подржана сарадња представља висок степен институционалне инфраструктуре и значајно повећава оцену по овом критеријуму.</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 xml:space="preserve">Критеријум 4: Подршка институционалној </w:t>
      </w:r>
      <w:r w:rsidRPr="005761BD">
        <w:rPr>
          <w:rFonts w:ascii="Arial" w:eastAsia="Verdana" w:hAnsi="Arial" w:cs="Arial"/>
          <w:b/>
          <w:sz w:val="22"/>
        </w:rPr>
        <w:br/>
        <w:t>инфраструктури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Овај критеријум процењује у којој мери јавни сектор, било на локалном, регионалном или националном нивоу, подржава иницијативе индустријске симбиозе и циркуларне економије. Подршка може бити у виду: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директних финансијских подстицаја;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приступа јавним фондовима;</w:t>
      </w:r>
    </w:p>
    <w:p w:rsidR="005761BD" w:rsidRPr="005761BD" w:rsidRDefault="005761BD" w:rsidP="005761BD">
      <w:pPr>
        <w:spacing w:line="210" w:lineRule="atLeast"/>
        <w:rPr>
          <w:rFonts w:ascii="Arial" w:hAnsi="Arial" w:cs="Arial"/>
        </w:rPr>
      </w:pPr>
      <w:r>
        <w:rPr>
          <w:rFonts w:ascii="Arial" w:eastAsia="Verdana" w:hAnsi="Arial" w:cs="Arial"/>
          <w:sz w:val="22"/>
        </w:rPr>
        <w:lastRenderedPageBreak/>
        <w:t>-</w:t>
      </w:r>
      <w:r w:rsidRPr="005761BD">
        <w:rPr>
          <w:rFonts w:ascii="Arial" w:eastAsia="Verdana" w:hAnsi="Arial" w:cs="Arial"/>
          <w:sz w:val="22"/>
        </w:rPr>
        <w:t xml:space="preserve"> субвенција или повлашћених услова коришћења инфраструктуре;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регулаторних олакшица (нпр. просторно планирање, брже дозволе);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као и укључивања у едукацију и техничку помоћ.</w:t>
      </w:r>
    </w:p>
    <w:p w:rsidR="005761BD" w:rsidRPr="005761BD" w:rsidRDefault="005761BD" w:rsidP="005761BD">
      <w:pPr>
        <w:spacing w:line="210" w:lineRule="atLeast"/>
        <w:rPr>
          <w:rFonts w:ascii="Arial" w:hAnsi="Arial" w:cs="Arial"/>
        </w:rPr>
      </w:pPr>
      <w:r w:rsidRPr="005761BD">
        <w:rPr>
          <w:rFonts w:ascii="Arial" w:eastAsia="Verdana" w:hAnsi="Arial" w:cs="Arial"/>
          <w:sz w:val="22"/>
        </w:rPr>
        <w:t>Вредновање у оквиру овог критеријума се не заснива искључиво на финансијској подршци, већ на системској природи и континуитету мера. Стога су приоритетне иницијативе које добијају подршку кроз више инструмената и током дужег временског периода. Комбинацијом ова четири критеријума, Индекс симбиозе локалних заједница нуди реалну слику зрелости и динамике циркуларне економије на терену, што га чини изузетно вредним алатом за наредну фазу имплементације Програма.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примене:</w:t>
      </w:r>
      <w:r w:rsidRPr="005761BD">
        <w:rPr>
          <w:rFonts w:ascii="Arial" w:eastAsia="Verdana" w:hAnsi="Arial" w:cs="Arial"/>
          <w:sz w:val="22"/>
        </w:rPr>
        <w:t xml:space="preserve"> </w:t>
      </w:r>
      <w:r w:rsidRPr="005761BD">
        <w:rPr>
          <w:rFonts w:ascii="Arial" w:eastAsia="Verdana" w:hAnsi="Arial" w:cs="Arial"/>
          <w:i/>
          <w:sz w:val="22"/>
        </w:rPr>
        <w:t xml:space="preserve">Регионална развојна агенција у сарадњи са три ЈЛС и универзитетом покренула је Центар за циркуларне иновације као заједничку институционалну платформу. Центар служи као </w:t>
      </w:r>
      <w:r>
        <w:rPr>
          <w:rFonts w:ascii="Arial" w:eastAsia="Verdana" w:hAnsi="Arial" w:cs="Arial"/>
          <w:i/>
          <w:sz w:val="22"/>
        </w:rPr>
        <w:t>"</w:t>
      </w:r>
      <w:r w:rsidRPr="005761BD">
        <w:rPr>
          <w:rFonts w:ascii="Arial" w:eastAsia="Verdana" w:hAnsi="Arial" w:cs="Arial"/>
          <w:i/>
          <w:sz w:val="22"/>
        </w:rPr>
        <w:t>one-stop</w:t>
      </w:r>
      <w:r>
        <w:rPr>
          <w:rFonts w:ascii="Arial" w:eastAsia="Verdana" w:hAnsi="Arial" w:cs="Arial"/>
          <w:sz w:val="22"/>
        </w:rPr>
        <w:t>"</w:t>
      </w:r>
      <w:r w:rsidRPr="005761BD">
        <w:rPr>
          <w:rFonts w:ascii="Arial" w:eastAsia="Verdana" w:hAnsi="Arial" w:cs="Arial"/>
          <w:i/>
          <w:sz w:val="22"/>
        </w:rPr>
        <w:t xml:space="preserve"> тачка за предузећа, јавна предузећа и невладине организације, нудећи техничку подршку, правне савете, обуке и лабораторију за тестирање материјала у складу са принципима циркуларне економије. Све активности Центра интегрисане су у локалне стратегије развоја и финансијске планове општина, а резултати се прате преко јавног онлајн портала. Овакав модел обједињује више институција у стабилну и функционалну инфраструктуру, омогућавајући системску и дугорочну подршку циркуларним иницијативама.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наставку је приказан кратак табеларни преглед (Табела 1.2) за илустрацију како би изгледала примена Индекса симбиозе локалних заједница на примеру три различите ЈЛС. Ова симулација користи тежинске коефицијенте и бодовање по четири критеријума, како би се добила укупна оцена у распону од 0 до 100.</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1.2. Пример обрачуна Индекса симбиозе локалних заједница</w:t>
      </w:r>
    </w:p>
    <w:tbl>
      <w:tblPr>
        <w:tblW w:w="4950" w:type="pct"/>
        <w:tblInd w:w="10" w:type="dxa"/>
        <w:tblCellMar>
          <w:left w:w="10" w:type="dxa"/>
          <w:right w:w="10" w:type="dxa"/>
        </w:tblCellMar>
        <w:tblLook w:val="04A0" w:firstRow="1" w:lastRow="0" w:firstColumn="1" w:lastColumn="0" w:noHBand="0" w:noVBand="1"/>
      </w:tblPr>
      <w:tblGrid>
        <w:gridCol w:w="3414"/>
        <w:gridCol w:w="1762"/>
        <w:gridCol w:w="2354"/>
        <w:gridCol w:w="1849"/>
        <w:gridCol w:w="2008"/>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Критеријум</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Тежински коефицијент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1</w:t>
            </w:r>
          </w:p>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(ЈЛС А </w:t>
            </w:r>
            <w:r>
              <w:rPr>
                <w:rFonts w:ascii="Arial" w:eastAsia="Verdana" w:hAnsi="Arial" w:cs="Arial"/>
                <w:sz w:val="22"/>
              </w:rPr>
              <w:t>-</w:t>
            </w:r>
            <w:r w:rsidRPr="005761BD">
              <w:rPr>
                <w:rFonts w:ascii="Arial" w:eastAsia="Verdana" w:hAnsi="Arial" w:cs="Arial"/>
                <w:sz w:val="22"/>
              </w:rPr>
              <w:t xml:space="preserve"> урбана индустријска зона)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2</w:t>
            </w:r>
          </w:p>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(ЈЛС Б </w:t>
            </w:r>
            <w:r>
              <w:rPr>
                <w:rFonts w:ascii="Arial" w:eastAsia="Verdana" w:hAnsi="Arial" w:cs="Arial"/>
                <w:sz w:val="22"/>
              </w:rPr>
              <w:t>-</w:t>
            </w:r>
            <w:r w:rsidRPr="005761BD">
              <w:rPr>
                <w:rFonts w:ascii="Arial" w:eastAsia="Verdana" w:hAnsi="Arial" w:cs="Arial"/>
                <w:sz w:val="22"/>
              </w:rPr>
              <w:t xml:space="preserve"> рурална општина)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Сценарио 3</w:t>
            </w:r>
          </w:p>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(ЈЛС В </w:t>
            </w:r>
            <w:r>
              <w:rPr>
                <w:rFonts w:ascii="Arial" w:eastAsia="Verdana" w:hAnsi="Arial" w:cs="Arial"/>
                <w:sz w:val="22"/>
              </w:rPr>
              <w:t>-</w:t>
            </w:r>
            <w:r w:rsidRPr="005761BD">
              <w:rPr>
                <w:rFonts w:ascii="Arial" w:eastAsia="Verdana" w:hAnsi="Arial" w:cs="Arial"/>
                <w:sz w:val="22"/>
              </w:rPr>
              <w:t xml:space="preserve"> средња варошица)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Број формализованих ЦЕ партнерстава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 партнерстава → 27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 партнерства → 6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 партнерства → 12 бодова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Размена материјала/енергије/отпада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 типа размене, високи обим → 30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 тип, мали обим → 9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 типа, средњи обим → 18 бодова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Заједнички пројекти са ЈЛС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 пројеката → 20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 пројекат → 4 бода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 пројекта → 8 бодова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Подршка институционалној инфраструктури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 врсте подршке → 18 бодова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 врста подршке → 4 бода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 врсте подршке → 10 бодова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УКУПНО</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95/100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23/100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48/100</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Објашњење резултата: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ЈЛС А има развијену индустријску симбиозу, велики број партнерстава и подршку институција </w:t>
      </w:r>
      <w:r>
        <w:rPr>
          <w:rFonts w:ascii="Arial" w:eastAsia="Verdana" w:hAnsi="Arial" w:cs="Arial"/>
          <w:sz w:val="22"/>
        </w:rPr>
        <w:t>-</w:t>
      </w:r>
      <w:r w:rsidRPr="005761BD">
        <w:rPr>
          <w:rFonts w:ascii="Arial" w:eastAsia="Verdana" w:hAnsi="Arial" w:cs="Arial"/>
          <w:sz w:val="22"/>
        </w:rPr>
        <w:t xml:space="preserve"> резултат: 95 (висока симбиоза);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ЈЛС Б има скромне капацитете и иницијативе </w:t>
      </w:r>
      <w:r>
        <w:rPr>
          <w:rFonts w:ascii="Arial" w:eastAsia="Verdana" w:hAnsi="Arial" w:cs="Arial"/>
          <w:sz w:val="22"/>
        </w:rPr>
        <w:t>-</w:t>
      </w:r>
      <w:r w:rsidRPr="005761BD">
        <w:rPr>
          <w:rFonts w:ascii="Arial" w:eastAsia="Verdana" w:hAnsi="Arial" w:cs="Arial"/>
          <w:sz w:val="22"/>
        </w:rPr>
        <w:t xml:space="preserve"> резултат: 23 (ниска симбиоза);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ЈЛС В је на путу развоја и већ има делимичну институционалну подршку </w:t>
      </w:r>
      <w:r>
        <w:rPr>
          <w:rFonts w:ascii="Arial" w:eastAsia="Verdana" w:hAnsi="Arial" w:cs="Arial"/>
          <w:sz w:val="22"/>
        </w:rPr>
        <w:t>-</w:t>
      </w:r>
      <w:r w:rsidRPr="005761BD">
        <w:rPr>
          <w:rFonts w:ascii="Arial" w:eastAsia="Verdana" w:hAnsi="Arial" w:cs="Arial"/>
          <w:sz w:val="22"/>
        </w:rPr>
        <w:t xml:space="preserve"> резултат: 48 (средњи ниво развоја).</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30 https://reform-support.ec.europa.eu/what-we-do/green-transition/strategy-economic-and-social-development-jiu-valley-coal-region-transition-romania_en.</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1.2.3. Метод израчунавања индекса симбиозе локалних заједница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Индекс симбиозе локалних заједница као сложени индикатор захтева јасно дефинисану методологију израчунавања како би се обезбедила доследност, упоредивост и објективност у анализи различитих локалних заједница. Циљ је да индекс симбиозе локалних заједница омогући свеобухватну и квантитативно мерљиву процену развоја индустријске симбиозе и циркуларне сарадње на нивоу ЈЛС, уз примену унапред дефинисаних критеријума, скала бодовања и тежинских коефицијената. Метод израчунавања индекса симбиозе локалних заједница базира се на мултикритеријалном приступу, где се сваки од четири идентификована критеријума вреднује посебно, а затим се комбинују у коначну, уједначену вредност на скали од 0 до 100. У овом поступку, сваком критеријуму се додељује релативна важност у виду тежинског фактора, док се конкретне активности и резултати локалне заједнице у сваком критеријуму бодовно оцењују на скали од 0 до 30 (или 0 до 20, у складу са значајем критеријума).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 xml:space="preserve">Основна формула израчунавања </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се израчунава применом следеће формуле:</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ИСЛЗ=(Б</w:t>
      </w:r>
      <w:r w:rsidRPr="005761BD">
        <w:rPr>
          <w:rFonts w:ascii="Arial" w:eastAsia="Verdana" w:hAnsi="Arial" w:cs="Arial"/>
          <w:sz w:val="22"/>
          <w:vertAlign w:val="subscript"/>
        </w:rPr>
        <w:t>1</w:t>
      </w:r>
      <w:r w:rsidRPr="005761BD">
        <w:rPr>
          <w:rFonts w:ascii="Arial" w:eastAsia="Verdana" w:hAnsi="Arial" w:cs="Arial"/>
          <w:sz w:val="22"/>
        </w:rPr>
        <w:t>×Т</w:t>
      </w:r>
      <w:r w:rsidRPr="005761BD">
        <w:rPr>
          <w:rFonts w:ascii="Arial" w:eastAsia="Verdana" w:hAnsi="Arial" w:cs="Arial"/>
          <w:sz w:val="22"/>
          <w:vertAlign w:val="subscript"/>
        </w:rPr>
        <w:t>1</w:t>
      </w:r>
      <w:r w:rsidRPr="005761BD">
        <w:rPr>
          <w:rFonts w:ascii="Arial" w:eastAsia="Verdana" w:hAnsi="Arial" w:cs="Arial"/>
          <w:sz w:val="22"/>
        </w:rPr>
        <w:t>)+(Б</w:t>
      </w:r>
      <w:r w:rsidRPr="005761BD">
        <w:rPr>
          <w:rFonts w:ascii="Arial" w:eastAsia="Verdana" w:hAnsi="Arial" w:cs="Arial"/>
          <w:sz w:val="22"/>
          <w:vertAlign w:val="subscript"/>
        </w:rPr>
        <w:t>2</w:t>
      </w:r>
      <w:r w:rsidRPr="005761BD">
        <w:rPr>
          <w:rFonts w:ascii="Arial" w:eastAsia="Verdana" w:hAnsi="Arial" w:cs="Arial"/>
          <w:sz w:val="22"/>
        </w:rPr>
        <w:t>×Т</w:t>
      </w:r>
      <w:r w:rsidRPr="005761BD">
        <w:rPr>
          <w:rFonts w:ascii="Arial" w:eastAsia="Verdana" w:hAnsi="Arial" w:cs="Arial"/>
          <w:sz w:val="22"/>
          <w:vertAlign w:val="subscript"/>
        </w:rPr>
        <w:t>2</w:t>
      </w:r>
      <w:r w:rsidRPr="005761BD">
        <w:rPr>
          <w:rFonts w:ascii="Arial" w:eastAsia="Verdana" w:hAnsi="Arial" w:cs="Arial"/>
          <w:sz w:val="22"/>
        </w:rPr>
        <w:t>)+(Б</w:t>
      </w:r>
      <w:r w:rsidRPr="005761BD">
        <w:rPr>
          <w:rFonts w:ascii="Arial" w:eastAsia="Verdana" w:hAnsi="Arial" w:cs="Arial"/>
          <w:sz w:val="22"/>
          <w:vertAlign w:val="subscript"/>
        </w:rPr>
        <w:t>3</w:t>
      </w:r>
      <w:r w:rsidRPr="005761BD">
        <w:rPr>
          <w:rFonts w:ascii="Arial" w:eastAsia="Verdana" w:hAnsi="Arial" w:cs="Arial"/>
          <w:sz w:val="22"/>
        </w:rPr>
        <w:t>×Т</w:t>
      </w:r>
      <w:r w:rsidRPr="005761BD">
        <w:rPr>
          <w:rFonts w:ascii="Arial" w:eastAsia="Verdana" w:hAnsi="Arial" w:cs="Arial"/>
          <w:sz w:val="22"/>
          <w:vertAlign w:val="subscript"/>
        </w:rPr>
        <w:t>3</w:t>
      </w:r>
      <w:r w:rsidRPr="005761BD">
        <w:rPr>
          <w:rFonts w:ascii="Arial" w:eastAsia="Verdana" w:hAnsi="Arial" w:cs="Arial"/>
          <w:sz w:val="22"/>
        </w:rPr>
        <w:t>)+(Б</w:t>
      </w:r>
      <w:r w:rsidRPr="005761BD">
        <w:rPr>
          <w:rFonts w:ascii="Arial" w:eastAsia="Verdana" w:hAnsi="Arial" w:cs="Arial"/>
          <w:sz w:val="22"/>
          <w:vertAlign w:val="subscript"/>
        </w:rPr>
        <w:t>4</w:t>
      </w:r>
      <w:r w:rsidRPr="005761BD">
        <w:rPr>
          <w:rFonts w:ascii="Arial" w:eastAsia="Verdana" w:hAnsi="Arial" w:cs="Arial"/>
          <w:sz w:val="22"/>
        </w:rPr>
        <w:t>×Т</w:t>
      </w:r>
      <w:r w:rsidRPr="005761BD">
        <w:rPr>
          <w:rFonts w:ascii="Arial" w:eastAsia="Verdana" w:hAnsi="Arial" w:cs="Arial"/>
          <w:sz w:val="22"/>
          <w:vertAlign w:val="subscript"/>
        </w:rPr>
        <w:t>4</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где су: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Б</w:t>
      </w:r>
      <w:r w:rsidRPr="005761BD">
        <w:rPr>
          <w:rFonts w:ascii="Cambria Math" w:eastAsia="Verdana" w:hAnsi="Cambria Math" w:cs="Cambria Math"/>
          <w:b/>
          <w:sz w:val="22"/>
        </w:rPr>
        <w:t>₁</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 xml:space="preserve"> број бодова за критеријум формализованих партнерстава из области циркуларне економије;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Б</w:t>
      </w:r>
      <w:r w:rsidRPr="005761BD">
        <w:rPr>
          <w:rFonts w:ascii="Cambria Math" w:eastAsia="Verdana" w:hAnsi="Cambria Math" w:cs="Cambria Math"/>
          <w:b/>
          <w:sz w:val="22"/>
        </w:rPr>
        <w:t>₂</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 xml:space="preserve"> број бодова за критеријум размене ресурса;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Б</w:t>
      </w:r>
      <w:r w:rsidRPr="005761BD">
        <w:rPr>
          <w:rFonts w:ascii="Cambria Math" w:eastAsia="Verdana" w:hAnsi="Cambria Math" w:cs="Cambria Math"/>
          <w:b/>
          <w:sz w:val="22"/>
        </w:rPr>
        <w:t>₃</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 xml:space="preserve"> број бодова за критеријум заједничких пројеката са ЈЛС;</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Б</w:t>
      </w:r>
      <w:r w:rsidRPr="005761BD">
        <w:rPr>
          <w:rFonts w:ascii="Cambria Math" w:eastAsia="Verdana" w:hAnsi="Cambria Math" w:cs="Cambria Math"/>
          <w:b/>
          <w:sz w:val="22"/>
        </w:rPr>
        <w:t>₄</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 xml:space="preserve"> број бодова за критеријум подршке институционалној инфраструктури;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Т</w:t>
      </w:r>
      <w:r w:rsidRPr="005761BD">
        <w:rPr>
          <w:rFonts w:ascii="Cambria Math" w:eastAsia="Verdana" w:hAnsi="Cambria Math" w:cs="Cambria Math"/>
          <w:b/>
          <w:sz w:val="22"/>
        </w:rPr>
        <w:t>₁</w:t>
      </w:r>
      <w:r w:rsidRPr="005761BD">
        <w:rPr>
          <w:rFonts w:ascii="Arial" w:eastAsia="Verdana" w:hAnsi="Arial" w:cs="Arial"/>
          <w:b/>
          <w:sz w:val="22"/>
        </w:rPr>
        <w:t>, Т</w:t>
      </w:r>
      <w:r w:rsidRPr="005761BD">
        <w:rPr>
          <w:rFonts w:ascii="Cambria Math" w:eastAsia="Verdana" w:hAnsi="Cambria Math" w:cs="Cambria Math"/>
          <w:b/>
          <w:sz w:val="22"/>
        </w:rPr>
        <w:t>₂</w:t>
      </w:r>
      <w:r w:rsidRPr="005761BD">
        <w:rPr>
          <w:rFonts w:ascii="Arial" w:eastAsia="Verdana" w:hAnsi="Arial" w:cs="Arial"/>
          <w:b/>
          <w:sz w:val="22"/>
        </w:rPr>
        <w:t>, Т</w:t>
      </w:r>
      <w:r w:rsidRPr="005761BD">
        <w:rPr>
          <w:rFonts w:ascii="Cambria Math" w:eastAsia="Verdana" w:hAnsi="Cambria Math" w:cs="Cambria Math"/>
          <w:b/>
          <w:sz w:val="22"/>
        </w:rPr>
        <w:t>₃</w:t>
      </w:r>
      <w:r w:rsidRPr="005761BD">
        <w:rPr>
          <w:rFonts w:ascii="Arial" w:eastAsia="Verdana" w:hAnsi="Arial" w:cs="Arial"/>
          <w:b/>
          <w:sz w:val="22"/>
        </w:rPr>
        <w:t>, Т</w:t>
      </w:r>
      <w:r w:rsidRPr="005761BD">
        <w:rPr>
          <w:rFonts w:ascii="Cambria Math" w:eastAsia="Verdana" w:hAnsi="Cambria Math" w:cs="Cambria Math"/>
          <w:b/>
          <w:sz w:val="22"/>
        </w:rPr>
        <w:t>₄</w:t>
      </w:r>
      <w:r w:rsidRPr="005761BD">
        <w:rPr>
          <w:rFonts w:ascii="Arial" w:eastAsia="Verdana" w:hAnsi="Arial" w:cs="Arial"/>
          <w:sz w:val="22"/>
        </w:rPr>
        <w:t xml:space="preserve"> </w:t>
      </w:r>
      <w:r>
        <w:rPr>
          <w:rFonts w:ascii="Arial" w:eastAsia="Verdana" w:hAnsi="Arial" w:cs="Arial"/>
          <w:sz w:val="22"/>
        </w:rPr>
        <w:t>-</w:t>
      </w:r>
      <w:r w:rsidRPr="005761BD">
        <w:rPr>
          <w:rFonts w:ascii="Arial" w:eastAsia="Verdana" w:hAnsi="Arial" w:cs="Arial"/>
          <w:sz w:val="22"/>
        </w:rPr>
        <w:t xml:space="preserve"> тежински коефицијенти по критеријумима (у опсегу од 0 до 1).</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Тежински коефицијенти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Тежински коефицијенти су дефинисани на основу важности појединачних критеријума у контексту успешне циркуларне сарадње. Предложене вредности су: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Т</w:t>
      </w:r>
      <w:r w:rsidRPr="005761BD">
        <w:rPr>
          <w:rFonts w:ascii="Cambria Math" w:eastAsia="Verdana" w:hAnsi="Cambria Math" w:cs="Cambria Math"/>
          <w:b/>
          <w:sz w:val="22"/>
        </w:rPr>
        <w:t>₁</w:t>
      </w:r>
      <w:r w:rsidRPr="005761BD">
        <w:rPr>
          <w:rFonts w:ascii="Arial" w:eastAsia="Verdana" w:hAnsi="Arial" w:cs="Arial"/>
          <w:b/>
          <w:sz w:val="22"/>
        </w:rPr>
        <w:t xml:space="preserve"> </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Формализована партнерства из области циркуларне економије: 30% (0.30);</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Т</w:t>
      </w:r>
      <w:r w:rsidRPr="005761BD">
        <w:rPr>
          <w:rFonts w:ascii="Cambria Math" w:eastAsia="Verdana" w:hAnsi="Cambria Math" w:cs="Cambria Math"/>
          <w:b/>
          <w:sz w:val="22"/>
        </w:rPr>
        <w:t>₂</w:t>
      </w:r>
      <w:r w:rsidRPr="005761BD">
        <w:rPr>
          <w:rFonts w:ascii="Arial" w:eastAsia="Verdana" w:hAnsi="Arial" w:cs="Arial"/>
          <w:b/>
          <w:sz w:val="22"/>
        </w:rPr>
        <w:t xml:space="preserve"> </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Размена материјала, енергије или отпада: 30% (0.30);</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Т</w:t>
      </w:r>
      <w:r w:rsidRPr="005761BD">
        <w:rPr>
          <w:rFonts w:ascii="Cambria Math" w:eastAsia="Verdana" w:hAnsi="Cambria Math" w:cs="Cambria Math"/>
          <w:b/>
          <w:sz w:val="22"/>
        </w:rPr>
        <w:t>₃</w:t>
      </w:r>
      <w:r w:rsidRPr="005761BD">
        <w:rPr>
          <w:rFonts w:ascii="Arial" w:eastAsia="Verdana" w:hAnsi="Arial" w:cs="Arial"/>
          <w:b/>
          <w:sz w:val="22"/>
        </w:rPr>
        <w:t xml:space="preserve"> </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Заједнички пројекти са ЈЛС: 20% (0.20);</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w:t>
      </w:r>
      <w:r w:rsidRPr="005761BD">
        <w:rPr>
          <w:rFonts w:ascii="Arial" w:eastAsia="Verdana" w:hAnsi="Arial" w:cs="Arial"/>
          <w:b/>
          <w:sz w:val="22"/>
        </w:rPr>
        <w:t>Т</w:t>
      </w:r>
      <w:r w:rsidRPr="005761BD">
        <w:rPr>
          <w:rFonts w:ascii="Cambria Math" w:eastAsia="Verdana" w:hAnsi="Cambria Math" w:cs="Cambria Math"/>
          <w:b/>
          <w:sz w:val="22"/>
        </w:rPr>
        <w:t>₄</w:t>
      </w:r>
      <w:r w:rsidRPr="005761BD">
        <w:rPr>
          <w:rFonts w:ascii="Arial" w:eastAsia="Verdana" w:hAnsi="Arial" w:cs="Arial"/>
          <w:b/>
          <w:sz w:val="22"/>
        </w:rPr>
        <w:t xml:space="preserve"> </w:t>
      </w:r>
      <w:r>
        <w:rPr>
          <w:rFonts w:ascii="Arial" w:eastAsia="Verdana" w:hAnsi="Arial" w:cs="Arial"/>
          <w:b/>
          <w:sz w:val="22"/>
        </w:rPr>
        <w:t>-</w:t>
      </w:r>
      <w:r w:rsidRPr="005761BD">
        <w:rPr>
          <w:rFonts w:ascii="Arial" w:eastAsia="Verdana" w:hAnsi="Arial" w:cs="Arial"/>
          <w:b/>
          <w:sz w:val="22"/>
        </w:rPr>
        <w:t xml:space="preserve"> </w:t>
      </w:r>
      <w:r w:rsidRPr="005761BD">
        <w:rPr>
          <w:rFonts w:ascii="Arial" w:eastAsia="Verdana" w:hAnsi="Arial" w:cs="Arial"/>
          <w:sz w:val="22"/>
        </w:rPr>
        <w:t>Подршка институционалној инфраструктури: 20% (0.20).</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Ова расподела тежине наглашава примарну улогу институционализоване сарадње и стварне циркуларне размене као основне покретаче индустријске симбиозе, при чему пројектна активност и подршка институција доприносе оперативној реализацији и одрживости модела.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Скала бодовања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Сваки критеријум има сопствени интерни систем бодовања, дефинисан квалитативним и квантитативним параметрима. Сви бодови се нормализују у опсегу 0</w:t>
      </w:r>
      <w:r>
        <w:rPr>
          <w:rFonts w:ascii="Arial" w:eastAsia="Verdana" w:hAnsi="Arial" w:cs="Arial"/>
          <w:sz w:val="22"/>
        </w:rPr>
        <w:t>-</w:t>
      </w:r>
      <w:r w:rsidRPr="005761BD">
        <w:rPr>
          <w:rFonts w:ascii="Arial" w:eastAsia="Verdana" w:hAnsi="Arial" w:cs="Arial"/>
          <w:sz w:val="22"/>
        </w:rPr>
        <w:t>30 или 0</w:t>
      </w:r>
      <w:r>
        <w:rPr>
          <w:rFonts w:ascii="Arial" w:eastAsia="Verdana" w:hAnsi="Arial" w:cs="Arial"/>
          <w:sz w:val="22"/>
        </w:rPr>
        <w:t>-</w:t>
      </w:r>
      <w:r w:rsidRPr="005761BD">
        <w:rPr>
          <w:rFonts w:ascii="Arial" w:eastAsia="Verdana" w:hAnsi="Arial" w:cs="Arial"/>
          <w:sz w:val="22"/>
        </w:rPr>
        <w:t>20, у зависности од тежинског фактора. У наставку је представљен предлог бодовања по критеријумима:</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Критеријум 1: Формализована партнерства (макс. 30 бодова)</w:t>
      </w:r>
    </w:p>
    <w:tbl>
      <w:tblPr>
        <w:tblW w:w="4950" w:type="pct"/>
        <w:tblInd w:w="10" w:type="dxa"/>
        <w:tblCellMar>
          <w:left w:w="10" w:type="dxa"/>
          <w:right w:w="10" w:type="dxa"/>
        </w:tblCellMar>
        <w:tblLook w:val="04A0" w:firstRow="1" w:lastRow="0" w:firstColumn="1" w:lastColumn="0" w:noHBand="0" w:noVBand="1"/>
      </w:tblPr>
      <w:tblGrid>
        <w:gridCol w:w="9095"/>
        <w:gridCol w:w="2292"/>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Број формалних партнерстава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Бодови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r>
              <w:rPr>
                <w:rFonts w:ascii="Arial" w:eastAsia="Verdana" w:hAnsi="Arial" w:cs="Arial"/>
                <w:sz w:val="22"/>
              </w:rPr>
              <w:t>-</w:t>
            </w:r>
            <w:r w:rsidRPr="005761BD">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r>
              <w:rPr>
                <w:rFonts w:ascii="Arial" w:eastAsia="Verdana" w:hAnsi="Arial" w:cs="Arial"/>
                <w:sz w:val="22"/>
              </w:rPr>
              <w:t>-</w:t>
            </w:r>
            <w:r w:rsidRPr="005761BD">
              <w:rPr>
                <w:rFonts w:ascii="Arial" w:eastAsia="Verdana" w:hAnsi="Arial" w:cs="Arial"/>
                <w:sz w:val="22"/>
              </w:rPr>
              <w:t>5</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w:t>
            </w:r>
            <w:r>
              <w:rPr>
                <w:rFonts w:ascii="Arial" w:eastAsia="Verdana" w:hAnsi="Arial" w:cs="Arial"/>
                <w:sz w:val="22"/>
              </w:rPr>
              <w:t>-</w:t>
            </w:r>
            <w:r w:rsidRPr="005761BD">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r>
              <w:rPr>
                <w:rFonts w:ascii="Arial" w:eastAsia="Verdana" w:hAnsi="Arial" w:cs="Arial"/>
                <w:sz w:val="22"/>
              </w:rPr>
              <w:t>-</w:t>
            </w:r>
            <w:r w:rsidRPr="005761BD">
              <w:rPr>
                <w:rFonts w:ascii="Arial" w:eastAsia="Verdana" w:hAnsi="Arial" w:cs="Arial"/>
                <w:sz w:val="22"/>
              </w:rPr>
              <w:t>12</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w:t>
            </w:r>
            <w:r>
              <w:rPr>
                <w:rFonts w:ascii="Arial" w:eastAsia="Verdana" w:hAnsi="Arial" w:cs="Arial"/>
                <w:sz w:val="22"/>
              </w:rPr>
              <w:t>-</w:t>
            </w: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13</w:t>
            </w:r>
            <w:r>
              <w:rPr>
                <w:rFonts w:ascii="Arial" w:eastAsia="Verdana" w:hAnsi="Arial" w:cs="Arial"/>
                <w:sz w:val="22"/>
              </w:rPr>
              <w:t>-</w:t>
            </w:r>
            <w:r w:rsidRPr="005761BD">
              <w:rPr>
                <w:rFonts w:ascii="Arial" w:eastAsia="Verdana" w:hAnsi="Arial" w:cs="Arial"/>
                <w:sz w:val="22"/>
              </w:rPr>
              <w:t>20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w:t>
            </w:r>
            <w:r>
              <w:rPr>
                <w:rFonts w:ascii="Arial" w:eastAsia="Verdana" w:hAnsi="Arial" w:cs="Arial"/>
                <w:sz w:val="22"/>
              </w:rPr>
              <w:t>-</w:t>
            </w:r>
            <w:r w:rsidRPr="005761BD">
              <w:rPr>
                <w:rFonts w:ascii="Arial" w:eastAsia="Verdana" w:hAnsi="Arial" w:cs="Arial"/>
                <w:sz w:val="22"/>
              </w:rPr>
              <w:t>30</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Критеријум 2: Размена ресурса (макс. 30 бодова)</w:t>
      </w:r>
    </w:p>
    <w:tbl>
      <w:tblPr>
        <w:tblW w:w="4950" w:type="pct"/>
        <w:tblInd w:w="10" w:type="dxa"/>
        <w:tblCellMar>
          <w:left w:w="10" w:type="dxa"/>
          <w:right w:w="10" w:type="dxa"/>
        </w:tblCellMar>
        <w:tblLook w:val="04A0" w:firstRow="1" w:lastRow="0" w:firstColumn="1" w:lastColumn="0" w:noHBand="0" w:noVBand="1"/>
      </w:tblPr>
      <w:tblGrid>
        <w:gridCol w:w="9170"/>
        <w:gridCol w:w="2217"/>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lastRenderedPageBreak/>
              <w:t>Типови размене и обим</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Бодови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Без циркуларне размене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r>
              <w:rPr>
                <w:rFonts w:ascii="Arial" w:eastAsia="Verdana" w:hAnsi="Arial" w:cs="Arial"/>
                <w:sz w:val="22"/>
              </w:rPr>
              <w:t>-</w:t>
            </w:r>
            <w:r w:rsidRPr="005761BD">
              <w:rPr>
                <w:rFonts w:ascii="Arial" w:eastAsia="Verdana" w:hAnsi="Arial" w:cs="Arial"/>
                <w:sz w:val="22"/>
              </w:rPr>
              <w:t>3</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Један тип, ниског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w:t>
            </w:r>
            <w:r>
              <w:rPr>
                <w:rFonts w:ascii="Arial" w:eastAsia="Verdana" w:hAnsi="Arial" w:cs="Arial"/>
                <w:sz w:val="22"/>
              </w:rPr>
              <w:t>-</w:t>
            </w:r>
            <w:r w:rsidRPr="005761BD">
              <w:rPr>
                <w:rFonts w:ascii="Arial" w:eastAsia="Verdana" w:hAnsi="Arial" w:cs="Arial"/>
                <w:sz w:val="22"/>
              </w:rPr>
              <w:t>10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Два типа, умереног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11</w:t>
            </w:r>
            <w:r>
              <w:rPr>
                <w:rFonts w:ascii="Arial" w:eastAsia="Verdana" w:hAnsi="Arial" w:cs="Arial"/>
                <w:sz w:val="22"/>
              </w:rPr>
              <w:t>-</w:t>
            </w:r>
            <w:r w:rsidRPr="005761BD">
              <w:rPr>
                <w:rFonts w:ascii="Arial" w:eastAsia="Verdana" w:hAnsi="Arial" w:cs="Arial"/>
                <w:sz w:val="22"/>
              </w:rPr>
              <w:t>20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Три и више типова, високог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21</w:t>
            </w:r>
            <w:r>
              <w:rPr>
                <w:rFonts w:ascii="Arial" w:eastAsia="Verdana" w:hAnsi="Arial" w:cs="Arial"/>
                <w:sz w:val="22"/>
              </w:rPr>
              <w:t>-</w:t>
            </w:r>
            <w:r w:rsidRPr="005761BD">
              <w:rPr>
                <w:rFonts w:ascii="Arial" w:eastAsia="Verdana" w:hAnsi="Arial" w:cs="Arial"/>
                <w:sz w:val="22"/>
              </w:rPr>
              <w:t>30</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Критеријум 3: Заједнички пројекти (макс. 20 бодова)</w:t>
      </w:r>
    </w:p>
    <w:tbl>
      <w:tblPr>
        <w:tblW w:w="4950" w:type="pct"/>
        <w:tblInd w:w="10" w:type="dxa"/>
        <w:tblCellMar>
          <w:left w:w="10" w:type="dxa"/>
          <w:right w:w="10" w:type="dxa"/>
        </w:tblCellMar>
        <w:tblLook w:val="04A0" w:firstRow="1" w:lastRow="0" w:firstColumn="1" w:lastColumn="0" w:noHBand="0" w:noVBand="1"/>
      </w:tblPr>
      <w:tblGrid>
        <w:gridCol w:w="8790"/>
        <w:gridCol w:w="2597"/>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Број и вредност пројеката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Бодови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Ниједан</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Један</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Два до три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Четири и више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15</w:t>
            </w:r>
            <w:r>
              <w:rPr>
                <w:rFonts w:ascii="Arial" w:eastAsia="Verdana" w:hAnsi="Arial" w:cs="Arial"/>
                <w:sz w:val="22"/>
              </w:rPr>
              <w:t>-</w:t>
            </w:r>
            <w:r w:rsidRPr="005761BD">
              <w:rPr>
                <w:rFonts w:ascii="Arial" w:eastAsia="Verdana" w:hAnsi="Arial" w:cs="Arial"/>
                <w:sz w:val="22"/>
              </w:rPr>
              <w:t>20</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Критеријум 4: Институционална подршка (макс. 20 бодова)</w:t>
      </w:r>
    </w:p>
    <w:tbl>
      <w:tblPr>
        <w:tblW w:w="4950" w:type="pct"/>
        <w:tblInd w:w="10" w:type="dxa"/>
        <w:tblCellMar>
          <w:left w:w="10" w:type="dxa"/>
          <w:right w:w="10" w:type="dxa"/>
        </w:tblCellMar>
        <w:tblLook w:val="04A0" w:firstRow="1" w:lastRow="0" w:firstColumn="1" w:lastColumn="0" w:noHBand="0" w:noVBand="1"/>
      </w:tblPr>
      <w:tblGrid>
        <w:gridCol w:w="8603"/>
        <w:gridCol w:w="2784"/>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Тип подршке и трајање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Бодови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Без подршке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r>
              <w:rPr>
                <w:rFonts w:ascii="Arial" w:eastAsia="Verdana" w:hAnsi="Arial" w:cs="Arial"/>
                <w:sz w:val="22"/>
              </w:rPr>
              <w:t>-</w:t>
            </w:r>
            <w:r w:rsidRPr="005761BD">
              <w:rPr>
                <w:rFonts w:ascii="Arial" w:eastAsia="Verdana" w:hAnsi="Arial" w:cs="Arial"/>
                <w:sz w:val="22"/>
              </w:rPr>
              <w:t>3</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Једнократна финансијска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w:t>
            </w:r>
            <w:r>
              <w:rPr>
                <w:rFonts w:ascii="Arial" w:eastAsia="Verdana" w:hAnsi="Arial" w:cs="Arial"/>
                <w:sz w:val="22"/>
              </w:rPr>
              <w:t>-</w:t>
            </w:r>
            <w:r w:rsidRPr="005761BD">
              <w:rPr>
                <w:rFonts w:ascii="Arial" w:eastAsia="Verdana" w:hAnsi="Arial" w:cs="Arial"/>
                <w:sz w:val="22"/>
              </w:rPr>
              <w:t>8</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Више облика подршке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w:t>
            </w:r>
            <w:r>
              <w:rPr>
                <w:rFonts w:ascii="Arial" w:eastAsia="Verdana" w:hAnsi="Arial" w:cs="Arial"/>
                <w:sz w:val="22"/>
              </w:rPr>
              <w:t>-</w:t>
            </w:r>
            <w:r w:rsidRPr="005761BD">
              <w:rPr>
                <w:rFonts w:ascii="Arial" w:eastAsia="Verdana" w:hAnsi="Arial" w:cs="Arial"/>
                <w:sz w:val="22"/>
              </w:rPr>
              <w:t>15</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Стратегијска и системска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16</w:t>
            </w:r>
            <w:r>
              <w:rPr>
                <w:rFonts w:ascii="Arial" w:eastAsia="Verdana" w:hAnsi="Arial" w:cs="Arial"/>
                <w:sz w:val="22"/>
              </w:rPr>
              <w:t>-</w:t>
            </w:r>
            <w:r w:rsidRPr="005761BD">
              <w:rPr>
                <w:rFonts w:ascii="Arial" w:eastAsia="Verdana" w:hAnsi="Arial" w:cs="Arial"/>
                <w:sz w:val="22"/>
              </w:rPr>
              <w:t>20</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Нормализација и интерпретација резултата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Након обрачуна по сваком критеријуму, збир се нормализује у опсегу од 0 до 100, што омогућава упоредивост различитих ЈЛС. Пример:</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ИСЛЗ=(27×0.3)+(21×0.3)+(10×0.2)+(15×0.2)=8.1+6.3+2.0+3.0=19.4</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Класификација по скали симбиозе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Ради бољег тумачења, предвиђа се и класификација у четири нивоа развоја:</w:t>
      </w:r>
    </w:p>
    <w:tbl>
      <w:tblPr>
        <w:tblW w:w="4950" w:type="pct"/>
        <w:tblInd w:w="10" w:type="dxa"/>
        <w:tblCellMar>
          <w:left w:w="10" w:type="dxa"/>
          <w:right w:w="10" w:type="dxa"/>
        </w:tblCellMar>
        <w:tblLook w:val="04A0" w:firstRow="1" w:lastRow="0" w:firstColumn="1" w:lastColumn="0" w:noHBand="0" w:noVBand="1"/>
      </w:tblPr>
      <w:tblGrid>
        <w:gridCol w:w="2821"/>
        <w:gridCol w:w="8566"/>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Опсег ИСЛЗ</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Класификација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0</w:t>
            </w:r>
            <w:r>
              <w:rPr>
                <w:rFonts w:ascii="Arial" w:eastAsia="Verdana" w:hAnsi="Arial" w:cs="Arial"/>
                <w:sz w:val="22"/>
              </w:rPr>
              <w:t>-</w:t>
            </w:r>
            <w:r w:rsidRPr="005761BD">
              <w:rPr>
                <w:rFonts w:ascii="Arial" w:eastAsia="Verdana" w:hAnsi="Arial" w:cs="Arial"/>
                <w:sz w:val="22"/>
              </w:rPr>
              <w:t>25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Недовољан ниво локалне симбиозе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26</w:t>
            </w:r>
            <w:r>
              <w:rPr>
                <w:rFonts w:ascii="Arial" w:eastAsia="Verdana" w:hAnsi="Arial" w:cs="Arial"/>
                <w:sz w:val="22"/>
              </w:rPr>
              <w:t>-</w:t>
            </w:r>
            <w:r w:rsidRPr="005761BD">
              <w:rPr>
                <w:rFonts w:ascii="Arial" w:eastAsia="Verdana" w:hAnsi="Arial" w:cs="Arial"/>
                <w:sz w:val="22"/>
              </w:rPr>
              <w:t>50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Почетни ниво развоја симбиозе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51</w:t>
            </w:r>
            <w:r>
              <w:rPr>
                <w:rFonts w:ascii="Arial" w:eastAsia="Verdana" w:hAnsi="Arial" w:cs="Arial"/>
                <w:sz w:val="22"/>
              </w:rPr>
              <w:t>-</w:t>
            </w:r>
            <w:r w:rsidRPr="005761BD">
              <w:rPr>
                <w:rFonts w:ascii="Arial" w:eastAsia="Verdana" w:hAnsi="Arial" w:cs="Arial"/>
                <w:sz w:val="22"/>
              </w:rPr>
              <w:t>75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Средње развијен систем симбиозе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76</w:t>
            </w:r>
            <w:r>
              <w:rPr>
                <w:rFonts w:ascii="Arial" w:eastAsia="Verdana" w:hAnsi="Arial" w:cs="Arial"/>
                <w:sz w:val="22"/>
              </w:rPr>
              <w:t>-</w:t>
            </w:r>
            <w:r w:rsidRPr="005761BD">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Високо развијена и стабилна симбиоза</w:t>
            </w:r>
          </w:p>
        </w:tc>
      </w:tr>
    </w:tbl>
    <w:p w:rsidR="005761BD" w:rsidRPr="005761BD" w:rsidRDefault="005761BD" w:rsidP="005761BD">
      <w:pPr>
        <w:spacing w:line="210" w:lineRule="atLeast"/>
        <w:rPr>
          <w:rFonts w:ascii="Arial" w:hAnsi="Arial" w:cs="Arial"/>
        </w:rPr>
      </w:pPr>
      <w:r w:rsidRPr="005761BD">
        <w:rPr>
          <w:rFonts w:ascii="Arial" w:eastAsia="Verdana" w:hAnsi="Arial" w:cs="Arial"/>
          <w:sz w:val="22"/>
        </w:rPr>
        <w:t>Оваква класификација омогућава да се резултати не тумаче само као апстрактни бројеви, већ као основ за доношење политичких и финансијских одлука на националном, регионалном или локалном нивоу.</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Методолошка јасноћа и транспарентност израчунавања индекса симбиозе локалних заједница омогућавају интеграцију овог индикатора у званичне алате за праћење имплементације Програма циркуларне економије. Уз могућност визуелизације података по регионима, омогућава се геопросторно праћење напретка, идентификација</w:t>
      </w:r>
      <w:r>
        <w:rPr>
          <w:rFonts w:ascii="Arial" w:eastAsia="Verdana" w:hAnsi="Arial" w:cs="Arial"/>
          <w:sz w:val="22"/>
        </w:rPr>
        <w:t>,</w:t>
      </w:r>
      <w:r w:rsidRPr="005761BD">
        <w:rPr>
          <w:rFonts w:ascii="Arial" w:eastAsia="Verdana" w:hAnsi="Arial" w:cs="Arial"/>
          <w:sz w:val="22"/>
        </w:rPr>
        <w:t>,циркуларних жаришта</w:t>
      </w:r>
      <w:r>
        <w:rPr>
          <w:rFonts w:ascii="Arial" w:eastAsia="Verdana" w:hAnsi="Arial" w:cs="Arial"/>
          <w:sz w:val="22"/>
        </w:rPr>
        <w:t>"</w:t>
      </w:r>
      <w:r w:rsidRPr="005761BD">
        <w:rPr>
          <w:rFonts w:ascii="Arial" w:eastAsia="Verdana" w:hAnsi="Arial" w:cs="Arial"/>
          <w:sz w:val="22"/>
        </w:rPr>
        <w:t xml:space="preserve"> и приоритизација интервенција. Поред тога, оваква структура отвара могућност за повезивање овог индекса са евалуационим механизмима који се користе у приступним фондовима ЕУ, посебно у домену Зелене агенде за Западни Балкан, као и инструментима као што су JRC CIRCell</w:t>
      </w:r>
      <w:r w:rsidRPr="005761BD">
        <w:rPr>
          <w:rFonts w:ascii="Arial" w:eastAsia="Verdana" w:hAnsi="Arial" w:cs="Arial"/>
          <w:sz w:val="22"/>
          <w:vertAlign w:val="superscript"/>
        </w:rPr>
        <w:t>31</w:t>
      </w:r>
      <w:r w:rsidRPr="005761BD">
        <w:rPr>
          <w:rFonts w:ascii="Arial" w:eastAsia="Verdana" w:hAnsi="Arial" w:cs="Arial"/>
          <w:sz w:val="22"/>
        </w:rPr>
        <w:t xml:space="preserve"> и OECD CE Framework</w:t>
      </w:r>
      <w:r w:rsidRPr="005761BD">
        <w:rPr>
          <w:rFonts w:ascii="Arial" w:eastAsia="Verdana" w:hAnsi="Arial" w:cs="Arial"/>
          <w:sz w:val="22"/>
          <w:vertAlign w:val="superscript"/>
        </w:rPr>
        <w:t>32</w:t>
      </w:r>
      <w:r w:rsidRPr="005761BD">
        <w:rPr>
          <w:rFonts w:ascii="Arial" w:eastAsia="Verdana" w:hAnsi="Arial" w:cs="Arial"/>
          <w:sz w:val="22"/>
        </w:rPr>
        <w:t>.</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1.2.4. Потенцијали примене индекса симбиозе локалних заједница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представља не само аналитички инструмент за мерење нивоа циркуларне сарадње, већ и оперативни алат са широким спектром примена у планирању, спровођењу и евалуацији политика у области циркуларне економије. Његова структура, која укључује параметре институционалне повезаности, ресурсне размене и партнерске сарадње, омогућава различитим актерима да сагледају комплексност циркуларних токова на локалном нивоу и доносе информисане одлуке.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омогућава категоризацију и мапирање општина и градова у Републици Србији према степену развијености циркуларне сарадње. Захваљујући структури и методологији бодовања, овај индекс пружа могућност да се објективно идентификују локалне самоуправе које предњаче у примени индустријске симбиозе и циркуларних принципа. На пример, ЈЛС са високим бројем формализованих партнерстава и стабилном институционалном подршком, у комбинацији са активним пројектима циркуларне размене, могу се идентификовати као</w:t>
      </w:r>
      <w:r>
        <w:rPr>
          <w:rFonts w:ascii="Arial" w:eastAsia="Verdana" w:hAnsi="Arial" w:cs="Arial"/>
          <w:sz w:val="22"/>
        </w:rPr>
        <w:t>,</w:t>
      </w:r>
      <w:r w:rsidRPr="005761BD">
        <w:rPr>
          <w:rFonts w:ascii="Arial" w:eastAsia="Verdana" w:hAnsi="Arial" w:cs="Arial"/>
          <w:sz w:val="22"/>
        </w:rPr>
        <w:t>,чворишта симбиозе</w:t>
      </w:r>
      <w:r>
        <w:rPr>
          <w:rFonts w:ascii="Arial" w:eastAsia="Verdana" w:hAnsi="Arial" w:cs="Arial"/>
          <w:sz w:val="22"/>
        </w:rPr>
        <w:t>"</w:t>
      </w:r>
      <w:r w:rsidRPr="005761BD">
        <w:rPr>
          <w:rFonts w:ascii="Arial" w:eastAsia="Verdana" w:hAnsi="Arial" w:cs="Arial"/>
          <w:sz w:val="22"/>
        </w:rPr>
        <w:t xml:space="preserve"> (симбиозни хабови). Овакви подаци су од посебног значаја за доносиоце одлука приликом креирања мрежа за трансфер знања, пилот-пројеката и техничке подршке.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Једна од кључних вредности индикатора огледа се у његовој способности да квантификује степен интерсекторске сарадње.</w:t>
      </w:r>
    </w:p>
    <w:p w:rsidR="005761BD" w:rsidRPr="005761BD" w:rsidRDefault="005761BD" w:rsidP="005761BD">
      <w:pPr>
        <w:spacing w:line="210" w:lineRule="atLeast"/>
        <w:rPr>
          <w:rFonts w:ascii="Arial" w:hAnsi="Arial" w:cs="Arial"/>
        </w:rPr>
      </w:pPr>
      <w:r>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31 https://joint-research-centre.ec.europa.eu/system/files/2014-09/jrc-brochure-circular-economy.pdf.</w:t>
      </w:r>
    </w:p>
    <w:p w:rsidR="005761BD" w:rsidRPr="005761BD" w:rsidRDefault="005761BD" w:rsidP="005761BD">
      <w:pPr>
        <w:spacing w:line="210" w:lineRule="atLeast"/>
        <w:rPr>
          <w:rFonts w:ascii="Arial" w:hAnsi="Arial" w:cs="Arial"/>
        </w:rPr>
      </w:pPr>
      <w:r w:rsidRPr="005761BD">
        <w:rPr>
          <w:rFonts w:ascii="Arial" w:eastAsia="Verdana" w:hAnsi="Arial" w:cs="Arial"/>
          <w:sz w:val="22"/>
        </w:rPr>
        <w:t>32 https://www.oecd.org/en/events/2024/04/regional-peer-dialogue-on-industrial-symbiosis.html.</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Уместо да се циркуларност анализира изоловано, као резултат индивидуалних иницијатива, индекс симбиозе локалних заједница промовише системски приступ у ком се сектори здравства, комуналних услуга, производње и пољопривреде повезују кроз формализоване и практичне моделе размене ресурса и заједничких инвестиција. На овај начин, индекс постаје алат који мотивише различите секторе да превазиђу традиционалне баријере у комуникацији и да креирају пројекте засноване на заједничким потребама и предностима, као што су коришћење отпадне топлоте из индустрије у грејању јавних зграда или искоришћавање биоотпада у локалној производњи компоста.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има велики потенцијал у креирању транспарентног и правичног система за алокацију финансијских подстицаја и подршке од стране државе и међународних донатора. Уместо да се инвестиције додељују по принципу једнакости, индекс симбиозе локалних заједница пружа основу за диференцирано улагање, више средстава могу добити оне заједнице које су већ направиле институционалне кораке ка симбиози и тиме показале апсорпциони капацитет за даље унапређење. Такође, заједнице са нижим индексним резултатом могу бити циљане као приоритетне за едукацију, укључивање у међународне мреже и подстицајну политику развоја капацитета. Самим тим, индекс постаје инструмент за стратегијску интервенцију и у развијеним и у недовољно повезаним локалним срединама.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1.2.5. Повезаност са другим индикаторима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Да би индекс симбиозе локалних заједница имао пуну примену у систему индикаторског праћења, важно је размотрити његову усклађеност и комплементарност са постојећим домаћим и међународним индикаторима у области циркуларне економије и одрживог развоја. Индикатори који се тренутно користе, попут стопе рециклаже, броја ISO 14001 сертификата или количине комуналног отпада, фокусирани су на физичке токове материјала или формалне еколошке стандарде, али често не региструју квалитет сарадње, институционалну повезаност и дугорочне симбиозне односе.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надограђује постојеће индикаторе на неколико начина: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1. Стопа рециклаже прати количину отпада који се обрађује, али не говори ништа о сарадњи међу актерима. Индекс симбиозе локалних заједница додаје димензију</w:t>
      </w:r>
      <w:r>
        <w:rPr>
          <w:rFonts w:ascii="Arial" w:eastAsia="Verdana" w:hAnsi="Arial" w:cs="Arial"/>
          <w:sz w:val="22"/>
        </w:rPr>
        <w:t>,</w:t>
      </w:r>
      <w:r w:rsidRPr="005761BD">
        <w:rPr>
          <w:rFonts w:ascii="Arial" w:eastAsia="Verdana" w:hAnsi="Arial" w:cs="Arial"/>
          <w:sz w:val="22"/>
        </w:rPr>
        <w:t>,ко са ким и како сарађује да би се та рециклажа догодила</w:t>
      </w:r>
      <w:r>
        <w:rPr>
          <w:rFonts w:ascii="Arial" w:eastAsia="Verdana" w:hAnsi="Arial" w:cs="Arial"/>
          <w:sz w:val="22"/>
        </w:rPr>
        <w:t>"</w:t>
      </w:r>
      <w:r w:rsidRPr="005761BD">
        <w:rPr>
          <w:rFonts w:ascii="Arial" w:eastAsia="Verdana" w:hAnsi="Arial" w:cs="Arial"/>
          <w:sz w:val="22"/>
        </w:rPr>
        <w:t>;</w:t>
      </w:r>
    </w:p>
    <w:p w:rsidR="005761BD" w:rsidRPr="005761BD" w:rsidRDefault="005761BD" w:rsidP="005761BD">
      <w:pPr>
        <w:spacing w:line="210" w:lineRule="atLeast"/>
        <w:rPr>
          <w:rFonts w:ascii="Arial" w:hAnsi="Arial" w:cs="Arial"/>
        </w:rPr>
      </w:pPr>
      <w:r w:rsidRPr="005761BD">
        <w:rPr>
          <w:rFonts w:ascii="Arial" w:eastAsia="Verdana" w:hAnsi="Arial" w:cs="Arial"/>
          <w:sz w:val="22"/>
        </w:rPr>
        <w:t>2. ISO 14001 сертификати показују да предузеће има систем управљања животном средином, али не показују да ли је тај систем укључен у шири екосистем. Индекс симбиозе локалних заједница обухвата и то, да ли таква предузећа сарађују и деле ресурсе;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3. Број зелених јавних набавки мери примену циркуларних принципа у сектору јавних набавки, али индекс симбиозе локалних заједница прати да ли те набавке воде ка конкретним партнерствима и заједничким решењима на терену;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4. На овај начин, индекс симбиозе локалних заједница се не такмичи са постојећим индикаторима, већ их надограђује са друштвено-институционалном димензијом која до сада није системски мерена.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Индекс симбиозе локалних заједница такође има директну везу са индикаторима одрживог развоја (SDG), нарочито у следећим сегментима: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12 </w:t>
      </w:r>
      <w:r>
        <w:rPr>
          <w:rFonts w:ascii="Arial" w:eastAsia="Verdana" w:hAnsi="Arial" w:cs="Arial"/>
          <w:sz w:val="22"/>
        </w:rPr>
        <w:t>-</w:t>
      </w:r>
      <w:r w:rsidRPr="005761BD">
        <w:rPr>
          <w:rFonts w:ascii="Arial" w:eastAsia="Verdana" w:hAnsi="Arial" w:cs="Arial"/>
          <w:sz w:val="22"/>
        </w:rPr>
        <w:t xml:space="preserve"> Одржива потрошња и производња, нарочито подциљ 12.5 (смањење отпада) и 12.7 (одрживе јавне набавке). Индекс симбиозе локалних заједница директно прати у којој мери локалне заједнице применом циркуларних принципа доприносе овим циљевима;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11 </w:t>
      </w:r>
      <w:r>
        <w:rPr>
          <w:rFonts w:ascii="Arial" w:eastAsia="Verdana" w:hAnsi="Arial" w:cs="Arial"/>
          <w:sz w:val="22"/>
        </w:rPr>
        <w:t>-</w:t>
      </w:r>
      <w:r w:rsidRPr="005761BD">
        <w:rPr>
          <w:rFonts w:ascii="Arial" w:eastAsia="Verdana" w:hAnsi="Arial" w:cs="Arial"/>
          <w:sz w:val="22"/>
        </w:rPr>
        <w:t xml:space="preserve"> Одрживи градови и заједнице, кроз индикаторе који прате приступ зеленим технологијама и инклузивност у доношењу одлука на локалном нивоу;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17 </w:t>
      </w:r>
      <w:r>
        <w:rPr>
          <w:rFonts w:ascii="Arial" w:eastAsia="Verdana" w:hAnsi="Arial" w:cs="Arial"/>
          <w:sz w:val="22"/>
        </w:rPr>
        <w:t>-</w:t>
      </w:r>
      <w:r w:rsidRPr="005761BD">
        <w:rPr>
          <w:rFonts w:ascii="Arial" w:eastAsia="Verdana" w:hAnsi="Arial" w:cs="Arial"/>
          <w:sz w:val="22"/>
        </w:rPr>
        <w:t xml:space="preserve"> Партнерства за циљеве, кроз праћење броја и квалитета партнерстава између јавног, приватног и цивилног сектора;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9 </w:t>
      </w:r>
      <w:r>
        <w:rPr>
          <w:rFonts w:ascii="Arial" w:eastAsia="Verdana" w:hAnsi="Arial" w:cs="Arial"/>
          <w:sz w:val="22"/>
        </w:rPr>
        <w:t>-</w:t>
      </w:r>
      <w:r w:rsidRPr="005761BD">
        <w:rPr>
          <w:rFonts w:ascii="Arial" w:eastAsia="Verdana" w:hAnsi="Arial" w:cs="Arial"/>
          <w:sz w:val="22"/>
        </w:rPr>
        <w:t xml:space="preserve"> Индустрија, иновације и инфраструктура, кроз подстицање циркуларних и иновативних решења у локалним индустријама;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8 </w:t>
      </w:r>
      <w:r>
        <w:rPr>
          <w:rFonts w:ascii="Arial" w:eastAsia="Verdana" w:hAnsi="Arial" w:cs="Arial"/>
          <w:sz w:val="22"/>
        </w:rPr>
        <w:t>-</w:t>
      </w:r>
      <w:r w:rsidRPr="005761BD">
        <w:rPr>
          <w:rFonts w:ascii="Arial" w:eastAsia="Verdana" w:hAnsi="Arial" w:cs="Arial"/>
          <w:sz w:val="22"/>
        </w:rPr>
        <w:t xml:space="preserve"> Достојанствен рад и економски раст, праћењем ефеката циркуларних пракси на локалну економију и стварање нових радних места;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SDG 7 </w:t>
      </w:r>
      <w:r>
        <w:rPr>
          <w:rFonts w:ascii="Arial" w:eastAsia="Verdana" w:hAnsi="Arial" w:cs="Arial"/>
          <w:sz w:val="22"/>
        </w:rPr>
        <w:t>-</w:t>
      </w:r>
      <w:r w:rsidRPr="005761BD">
        <w:rPr>
          <w:rFonts w:ascii="Arial" w:eastAsia="Verdana" w:hAnsi="Arial" w:cs="Arial"/>
          <w:sz w:val="22"/>
        </w:rPr>
        <w:t xml:space="preserve"> Доступна и обновљива енергија, кроз подршку коришћењу обновљивих извора енергије у локалним заједницама.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Осим тога, индекс симбиозе локалних заједница може бити основа за развој нових композитних индикатора који комбинују физичке токове са друштвеном повезаношћу, што је у складу са трендовима OECD Green Growth Indicators и Eurostat CE индикаторског оквира.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Увођењем индекса симбиозе локалних заједница као новог индикатора, Република Србија добија не само инструмент праћења, већ и средство стратешког управљања циркуларном економијом на локалном нивоу. Његова примена омогућава доносиоцима одлука да изграде диференцирану, правично оријентисану политику подршке, подстакну интерсекторску сарадњу и повежу локалне напоре са глобалним развојним циљевима.</w:t>
      </w:r>
    </w:p>
    <w:p w:rsidR="005761BD" w:rsidRPr="005761BD" w:rsidRDefault="005761BD" w:rsidP="005761BD">
      <w:pPr>
        <w:spacing w:line="210" w:lineRule="atLeast"/>
        <w:jc w:val="center"/>
        <w:rPr>
          <w:rFonts w:ascii="Arial" w:hAnsi="Arial" w:cs="Arial"/>
        </w:rPr>
      </w:pPr>
      <w:r w:rsidRPr="005761BD">
        <w:rPr>
          <w:rFonts w:ascii="Arial" w:eastAsia="Verdana" w:hAnsi="Arial" w:cs="Arial"/>
          <w:b/>
          <w:sz w:val="22"/>
        </w:rPr>
        <w:t>1.3. Интегрисани оквир за планирање, праћење и унапређење стратегија циркуларне економије заснован на LCA анализи, BSC карти и PDCA циклусу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 контексту Програма развоја циркуларне економије у Републици Србији за период 2026</w:t>
      </w:r>
      <w:r>
        <w:rPr>
          <w:rFonts w:ascii="Arial" w:eastAsia="Verdana" w:hAnsi="Arial" w:cs="Arial"/>
          <w:sz w:val="22"/>
        </w:rPr>
        <w:t>-</w:t>
      </w:r>
      <w:r w:rsidRPr="005761BD">
        <w:rPr>
          <w:rFonts w:ascii="Arial" w:eastAsia="Verdana" w:hAnsi="Arial" w:cs="Arial"/>
          <w:sz w:val="22"/>
        </w:rPr>
        <w:t>2030. године, LCA алат пружа мерење и анализу еколошког утицаја током целог животног циклуса као основу за планирање, BSC карта омогућава стратешко праћење и управљање постигнутим резултатима, док PDCA циклус обезбеђује процес континуираног унапређења, чинећи заједно интегрисани оквир за планирање, спровођење и оцењивање ЦЕ стратегија.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1.3.1. LCA као алат за процену животног циклуса у циркуларном процесу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Оцењивање животног циклуса (Life Cycle Assessment </w:t>
      </w:r>
      <w:r>
        <w:rPr>
          <w:rFonts w:ascii="Arial" w:eastAsia="Verdana" w:hAnsi="Arial" w:cs="Arial"/>
          <w:sz w:val="22"/>
        </w:rPr>
        <w:t>-</w:t>
      </w:r>
      <w:r w:rsidRPr="005761BD">
        <w:rPr>
          <w:rFonts w:ascii="Arial" w:eastAsia="Verdana" w:hAnsi="Arial" w:cs="Arial"/>
          <w:sz w:val="22"/>
        </w:rPr>
        <w:t xml:space="preserve"> LCA) представља систематски, научно утемељен метод за квантификацију утицаја производа, услуга или система на животну средину током целокупног њиховог животног циклуса, од екстракције сировина, преко производње, дистрибуције, употребе, па све до управљања отпадом или рециклирања. Према ISO 14040:2006 и ISO 14044:2006, LCA обухвата четири међусобно повезане фазе: (1) дефинисање циља и обима, (2) анализу улазно-излазних токова (Life Cycle Inventory </w:t>
      </w:r>
      <w:r>
        <w:rPr>
          <w:rFonts w:ascii="Arial" w:eastAsia="Verdana" w:hAnsi="Arial" w:cs="Arial"/>
          <w:sz w:val="22"/>
        </w:rPr>
        <w:t>-</w:t>
      </w:r>
      <w:r w:rsidRPr="005761BD">
        <w:rPr>
          <w:rFonts w:ascii="Arial" w:eastAsia="Verdana" w:hAnsi="Arial" w:cs="Arial"/>
          <w:sz w:val="22"/>
        </w:rPr>
        <w:t xml:space="preserve"> LCI), (3) процену утицаја на животну средину (Life Cycle Impact Assessment </w:t>
      </w:r>
      <w:r>
        <w:rPr>
          <w:rFonts w:ascii="Arial" w:eastAsia="Verdana" w:hAnsi="Arial" w:cs="Arial"/>
          <w:sz w:val="22"/>
        </w:rPr>
        <w:t>-</w:t>
      </w:r>
      <w:r w:rsidRPr="005761BD">
        <w:rPr>
          <w:rFonts w:ascii="Arial" w:eastAsia="Verdana" w:hAnsi="Arial" w:cs="Arial"/>
          <w:sz w:val="22"/>
        </w:rPr>
        <w:t xml:space="preserve"> LCIA), и (4) тумачење резултата. Ове фазе морају бити спроведене у складу са транспарентним методолошким правилима, осигуравајући поузданост и упоредивост резултата.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У оквиру стратегија циркуларне економије, чији је циљ да се продужи употребни век производа, оптимизује употреба ресурса и минимизира отпад, LCA представља кључно средство за мерење стварних еколошких користи. Иако ЦЕ иницијативе често имају позитивне намере, без квантификације на основу LCA постоји ризик од</w:t>
      </w:r>
      <w:r>
        <w:rPr>
          <w:rFonts w:ascii="Arial" w:eastAsia="Verdana" w:hAnsi="Arial" w:cs="Arial"/>
          <w:sz w:val="22"/>
        </w:rPr>
        <w:t>,</w:t>
      </w:r>
      <w:r w:rsidRPr="005761BD">
        <w:rPr>
          <w:rFonts w:ascii="Arial" w:eastAsia="Verdana" w:hAnsi="Arial" w:cs="Arial"/>
          <w:sz w:val="22"/>
        </w:rPr>
        <w:t>,greenwashing</w:t>
      </w:r>
      <w:r>
        <w:rPr>
          <w:rFonts w:ascii="Arial" w:eastAsia="Verdana" w:hAnsi="Arial" w:cs="Arial"/>
          <w:sz w:val="22"/>
        </w:rPr>
        <w:t>"</w:t>
      </w:r>
      <w:r w:rsidRPr="005761BD">
        <w:rPr>
          <w:rFonts w:ascii="Arial" w:eastAsia="Verdana" w:hAnsi="Arial" w:cs="Arial"/>
          <w:sz w:val="22"/>
        </w:rPr>
        <w:t>, када мере делују еколошки прихватљиво само на површини. LCA омогућава идентификацију</w:t>
      </w:r>
      <w:r>
        <w:rPr>
          <w:rFonts w:ascii="Arial" w:eastAsia="Verdana" w:hAnsi="Arial" w:cs="Arial"/>
          <w:sz w:val="22"/>
        </w:rPr>
        <w:t>,</w:t>
      </w:r>
      <w:r w:rsidRPr="005761BD">
        <w:rPr>
          <w:rFonts w:ascii="Arial" w:eastAsia="Verdana" w:hAnsi="Arial" w:cs="Arial"/>
          <w:sz w:val="22"/>
        </w:rPr>
        <w:t>,hotspot</w:t>
      </w:r>
      <w:r>
        <w:rPr>
          <w:rFonts w:ascii="Arial" w:eastAsia="Verdana" w:hAnsi="Arial" w:cs="Arial"/>
          <w:sz w:val="22"/>
        </w:rPr>
        <w:t>"</w:t>
      </w:r>
      <w:r w:rsidRPr="005761BD">
        <w:rPr>
          <w:rFonts w:ascii="Arial" w:eastAsia="Verdana" w:hAnsi="Arial" w:cs="Arial"/>
          <w:sz w:val="22"/>
        </w:rPr>
        <w:t>, односно фазу животног циклуса са највећим негативним утицајем, и процену компромиса између различитих индикатора одрживости (нпр. смањење емисија CO</w:t>
      </w:r>
      <w:r w:rsidRPr="005761BD">
        <w:rPr>
          <w:rFonts w:ascii="Cambria Math" w:eastAsia="Verdana" w:hAnsi="Cambria Math" w:cs="Cambria Math"/>
          <w:sz w:val="22"/>
        </w:rPr>
        <w:t>₂</w:t>
      </w:r>
      <w:r w:rsidRPr="005761BD">
        <w:rPr>
          <w:rFonts w:ascii="Arial" w:eastAsia="Verdana" w:hAnsi="Arial" w:cs="Arial"/>
          <w:sz w:val="22"/>
        </w:rPr>
        <w:t xml:space="preserve"> може довести до повећања потрошње воде).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LCA је интегрисан у актуелни регулаторни оквир ЕУ: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Европски зелени договор (EU Green Deal) захтева системске мере за декарбонизацију и ефикасно коришћење ресурса, где LCA служи као основа за мерење напретка;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EU Circular Economy Action Plan (2020) наглашава примену LCA у процени одрживости производа, посебно кроз Product Environmental Footprint (PEF) методологију;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EU Taxonomy Regulation (2020/852) дефинише критеријуме за одређивање које економске активности се сматрају еколошки одрживим, а LCA подаци се користе за доказивање усаглашености;</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Ecodesign for Sustainable Products Regulation уводи обавезу да нови производи буду пројектовани у складу са принципима циркуларности, уз квантитативне доказе о утицајима током животног циклуса.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У пракси, ови прописи значе да LCA није само добровољна добра пракса, већ често и предуслов за пласирање производа на тржиште или приступ финансирању из </w:t>
      </w:r>
      <w:r>
        <w:rPr>
          <w:rFonts w:ascii="Arial" w:eastAsia="Verdana" w:hAnsi="Arial" w:cs="Arial"/>
          <w:sz w:val="22"/>
        </w:rPr>
        <w:t>"</w:t>
      </w:r>
      <w:r w:rsidRPr="005761BD">
        <w:rPr>
          <w:rFonts w:ascii="Arial" w:eastAsia="Verdana" w:hAnsi="Arial" w:cs="Arial"/>
          <w:sz w:val="22"/>
        </w:rPr>
        <w:t>green</w:t>
      </w:r>
      <w:r>
        <w:rPr>
          <w:rFonts w:ascii="Arial" w:eastAsia="Verdana" w:hAnsi="Arial" w:cs="Arial"/>
          <w:sz w:val="22"/>
        </w:rPr>
        <w:t>"</w:t>
      </w:r>
      <w:r w:rsidRPr="005761BD">
        <w:rPr>
          <w:rFonts w:ascii="Arial" w:eastAsia="Verdana" w:hAnsi="Arial" w:cs="Arial"/>
          <w:sz w:val="22"/>
        </w:rPr>
        <w:t xml:space="preserve"> фондова. Такође, LCA може бити користан алат јер допуњује макроиндикаторе, обезбеђујући детаљан увид у еколошке ефекте мера циркуларности на микро и мезо нивоу, што омогућава дубљу и тачнију интерпретацију агрегираних статистичких података.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LCA структурисан је у четири основне фазе које су дефинисане стандардима ISO 14040 и ISO 14044. Ове фазе морају бити међусобно повезане и логички усклађене како би се обезбедила валидност резултата и омогућила њихова употреба у доношењу одлука. У контексту циркуларне економије, правилно спровођење сваке фазе осигурава поузданост у процени еколошких користи, усаглашеност са релевантном регулативом и подршку у планирању мера за одрживи развој. Поред тога, све фазе LCA могу се интегрисати у BSC карти (Balanced Scorecard) и PDCA циклусу (Plan-Do-Check-Act) како би се омогућило праћење, континуирани напредак и прилагођавање стратегија циркуларне економије новим сазнањима.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Прва фаза</w:t>
      </w:r>
      <w:r w:rsidRPr="005761BD">
        <w:rPr>
          <w:rFonts w:ascii="Arial" w:eastAsia="Verdana" w:hAnsi="Arial" w:cs="Arial"/>
          <w:sz w:val="22"/>
        </w:rPr>
        <w:t xml:space="preserve"> LCA је дефинисање циља и обима студије. У контексту циркуларне економије, ова фаза усмерава се на јасно дефинисање сврхе и обима студије, уз одређивање намене резултата и циљне публике. Овај корак је кључан за процену и оптимизацију токова материјала, енергије и ресурса током целог животног циклуса производа или услуге. Намена студије може бити подршка еко-дизајну производа, мерење ефикасности уштеде ресурса или доказ усаглашености са релевантним прописима. Потребно је прецизно одредити функционалну јединицу као основу за квантитативно поређење (нпр. једна тона готовог производа), дефинисати системске границе према обиму животног циклуса, према процесима и токовима, као и временски и географски оквир анализе. Избор категорија утицаја (нпр. глобално загревање, потрошња воде и ресурса) омогућава усмеравање на приоритетне области одрживости. Сви кораци морају бити транспарентно документовани, поновљиви и усклађени са релевантним стандардима и секторским смерницама, како би резултати били упоредиви и применљиви у ширим стратегијама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Друга фаза</w:t>
      </w:r>
      <w:r w:rsidRPr="005761BD">
        <w:rPr>
          <w:rFonts w:ascii="Arial" w:eastAsia="Verdana" w:hAnsi="Arial" w:cs="Arial"/>
          <w:sz w:val="22"/>
        </w:rPr>
        <w:t xml:space="preserve"> LCA је анализа улазно-излазних токова (LCI) која подразумева систематско прикупљање и квантификацију свих улазних и излазних токова у оквиру дефинисаних граница система. У ову фазу спадају материјали, енергија, вода, емисије у ваздух, воду и тло, као и количина и врста отпада. Процес почиње мапирањем свих процеса и израдом дијаграма који приказује токове материјала и енергије, након чега следи прикупљање података из примарних извора, као што су мерења и производни записи, или из секундарних извора, попут база података Ecoinvent или GaBi. Сви улазни и излазни токови изражавају се у стандардизованим јединицама као што су килограми, мегаџули или кубни метри. Затим се врши верификација прикупљених података како би се осигурала њихова тачност, потпуност и релевантност. У складу са смерницама из EU Green Deal-а и концептом Digital Product Passport, LCI подаци се све чешће дигитално бележе и чувају у форматима погодним за аутоматску проверу, што повећава транспарентност дуж читавог ланца снабдевања.</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lastRenderedPageBreak/>
        <w:t>Трећа фаза</w:t>
      </w:r>
      <w:r w:rsidRPr="005761BD">
        <w:rPr>
          <w:rFonts w:ascii="Arial" w:eastAsia="Verdana" w:hAnsi="Arial" w:cs="Arial"/>
          <w:sz w:val="22"/>
        </w:rPr>
        <w:t xml:space="preserve"> LCA је процена утицаја на животну средину (LCIA). У овој фази прикупљени подаци из претходне фазе претварају се у индикаторе еколошког утицаја помоћу научно заснованих методологија. Циљ је идентификовати и квантитативно изразити потенцијалне негативне ефекте токова материјала и енергије у производном систему, како би се подржале стратегије циркуларности, као што су еко-дизајн, смањење отпада и уштеда ресурса. Приликом процене бирају се релевантне категорије утицаја, нпр. глобално загревање (GWP), потрошња воде и ресурса, токсичност по људе и деградација екосистема. Затим следи карактеризација, где се подаци конвертују у упоредиве јединице (нпр. CO</w:t>
      </w:r>
      <w:r w:rsidRPr="005761BD">
        <w:rPr>
          <w:rFonts w:ascii="Cambria Math" w:eastAsia="Verdana" w:hAnsi="Cambria Math" w:cs="Cambria Math"/>
          <w:sz w:val="22"/>
        </w:rPr>
        <w:t>₂</w:t>
      </w:r>
      <w:r w:rsidRPr="005761BD">
        <w:rPr>
          <w:rFonts w:ascii="Arial" w:eastAsia="Verdana" w:hAnsi="Arial" w:cs="Arial"/>
          <w:sz w:val="22"/>
        </w:rPr>
        <w:t xml:space="preserve"> еквиваленте), а по потреби се врши нормализација и додељивање тежинских коефицијената у складу са приоритетима студије. Ова фаза омогућава доношење информисаних одлука за минимизацију еколошког утицаја и подршку циркуларним стратегијама у организацији.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Четврта фаза</w:t>
      </w:r>
      <w:r w:rsidRPr="005761BD">
        <w:rPr>
          <w:rFonts w:ascii="Arial" w:eastAsia="Verdana" w:hAnsi="Arial" w:cs="Arial"/>
          <w:sz w:val="22"/>
        </w:rPr>
        <w:t xml:space="preserve"> LCA је интерпретација резултата. У овом завршном кораку врши се анализа налаза у односу на иницијални циљ студије како би се донеле информисане одлуке за циркуларне стратегије. Идентификују се фазе животног циклуса са највећим негативним утицајем, спроводи се анализа осетљивости за проверу утицаја промена у претпоставкама или подацима, и врши се провера доследности метода и података. Резултати се користе за побољшање еко-дизајна производа, оптимизацију производних процеса, избор одговорних испоручиоца и развој стратегија управљања ресурсима и отпадом, подржавајући тако принципе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Све четири фазе LCA могу се интегрисати у BSC карту тако да резултати постану мерљиви индикатори за праћење ефикасности еко-дизајна, уштеде ресурса, управљања отпадом и оптимизације производних процеса. Ови показатељи се затим користе у PDCA циклусу: у фази</w:t>
      </w:r>
      <w:r>
        <w:rPr>
          <w:rFonts w:ascii="Arial" w:eastAsia="Verdana" w:hAnsi="Arial" w:cs="Arial"/>
          <w:sz w:val="22"/>
        </w:rPr>
        <w:t>,</w:t>
      </w:r>
      <w:r w:rsidRPr="005761BD">
        <w:rPr>
          <w:rFonts w:ascii="Arial" w:eastAsia="Verdana" w:hAnsi="Arial" w:cs="Arial"/>
          <w:sz w:val="22"/>
        </w:rPr>
        <w:t>,Check</w:t>
      </w:r>
      <w:r>
        <w:rPr>
          <w:rFonts w:ascii="Arial" w:eastAsia="Verdana" w:hAnsi="Arial" w:cs="Arial"/>
          <w:sz w:val="22"/>
        </w:rPr>
        <w:t>"</w:t>
      </w:r>
      <w:r w:rsidRPr="005761BD">
        <w:rPr>
          <w:rFonts w:ascii="Arial" w:eastAsia="Verdana" w:hAnsi="Arial" w:cs="Arial"/>
          <w:sz w:val="22"/>
        </w:rPr>
        <w:t xml:space="preserve"> процењује се утицај мера циркуларне економије на животну средину и ресурсну ефикасност, а у фази</w:t>
      </w:r>
      <w:r>
        <w:rPr>
          <w:rFonts w:ascii="Arial" w:eastAsia="Verdana" w:hAnsi="Arial" w:cs="Arial"/>
          <w:sz w:val="22"/>
        </w:rPr>
        <w:t>,</w:t>
      </w:r>
      <w:r w:rsidRPr="005761BD">
        <w:rPr>
          <w:rFonts w:ascii="Arial" w:eastAsia="Verdana" w:hAnsi="Arial" w:cs="Arial"/>
          <w:sz w:val="22"/>
        </w:rPr>
        <w:t>,Act</w:t>
      </w:r>
      <w:r>
        <w:rPr>
          <w:rFonts w:ascii="Arial" w:eastAsia="Verdana" w:hAnsi="Arial" w:cs="Arial"/>
          <w:sz w:val="22"/>
        </w:rPr>
        <w:t>"</w:t>
      </w:r>
      <w:r w:rsidRPr="005761BD">
        <w:rPr>
          <w:rFonts w:ascii="Arial" w:eastAsia="Verdana" w:hAnsi="Arial" w:cs="Arial"/>
          <w:sz w:val="22"/>
        </w:rPr>
        <w:t xml:space="preserve"> врши се прилагођавање стратегија, оптимизација процеса и постављање нових циљева за унапређење циркуларности. Таква интеграција подржава систематско унапређење циркуларних процеса, повећава зрелост менаџмента у управљању ресурсима и отпадом и олакшава усаглашеност са стандардима за одрживост.</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1.3.2. BSC карта за праћење перформанси у циркуларној економији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Balanced Scorecard (BSC) представља свеобухватан алат за стратешко праћење и управљање перформансама организација. У контексту циркуларне економије, BSC омогућава интеграцију еколошких, економских и социјалних аспеката у свакодневно пословање и доношење одлука. Карта перформанси се обично структуира кроз четири перспективе: финансијску, перспективу корисника, интерних процеса и учења и раста, при чему свака од њих доприноси свеобухватном праћењу циркуларних пракси.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Финансијска перспектива</w:t>
      </w:r>
      <w:r w:rsidRPr="005761BD">
        <w:rPr>
          <w:rFonts w:ascii="Arial" w:eastAsia="Verdana" w:hAnsi="Arial" w:cs="Arial"/>
          <w:sz w:val="22"/>
        </w:rPr>
        <w:t xml:space="preserve"> BSC у циркуларној економији фокусира се на економску одрживост и ефикасност ресурса. Кључни показатељи обухватају смањење трошкова кроз ефикасно управљање отпадом, повећање прихода од рециклираних материјала и увођење циркуларних пословних модела као што су изнајмљивање и поновна употреба производа. Пратећи финансијске метрике, организација може идентификовати најисплативије циркуларне активности и обезбедити дугорочну економску одрживост.</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Организација може увести програм поврата и рециклирања амбалаже, где купци добијају попуст на нове производе за враћену амбалажу. Ефикасност овог програма мерљива је кроз проценат враћене амбалаже у односу на укупан број продатих производа, смањење трошкова куповине сировина услед поновне употребе материјала, као и додатни приход остварен продајом или рециклирањем компоненти. На овај начин финансијски ефекат циркуларне активности постаје јасно видљив и квантитативно праћен.</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Перспектива корисника</w:t>
      </w:r>
      <w:r w:rsidRPr="005761BD">
        <w:rPr>
          <w:rFonts w:ascii="Arial" w:eastAsia="Verdana" w:hAnsi="Arial" w:cs="Arial"/>
          <w:sz w:val="22"/>
        </w:rPr>
        <w:t xml:space="preserve"> обухвата задовољство, поверење и лојалност купаца у контексту одрживих и циркуларних пракси. Показатељи могу укључивати процену перцепције купаца о еколошкој одговорности компаније, стопу поновне куповине или учешће у програмима враћања и рециклаже производа. Ова перспектива омогућава организацији да прати колико су њене циркуларне стратегије препознате и вредноване од стране корисника, што је кључно за изградњу конкурентске предности и бренда одрживости.</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Организација може покренути програм награђивања купаца који враћају употребљене производе за рециклажу. Успех програма мерљив је кроз проценат учешћа купаца и стопу поновне куповине, што показује колико су циркуларне иницијативе препознате и вредноване.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Перспектива интерних процеса</w:t>
      </w:r>
      <w:r w:rsidRPr="005761BD">
        <w:rPr>
          <w:rFonts w:ascii="Arial" w:eastAsia="Verdana" w:hAnsi="Arial" w:cs="Arial"/>
          <w:sz w:val="22"/>
        </w:rPr>
        <w:t xml:space="preserve"> усмерава се на оптимизацију и иновације у процесима који подржавају циркуларне циљеве. Мери се ефикасност управљања ресурсима, смањење отпада, увођење поновно употребљивих материјала, као и развој нових производа који минимизирају еколошки отисак. Прецизни </w:t>
      </w:r>
      <w:r w:rsidRPr="005761BD">
        <w:rPr>
          <w:rFonts w:ascii="Arial" w:eastAsia="Verdana" w:hAnsi="Arial" w:cs="Arial"/>
          <w:sz w:val="22"/>
        </w:rPr>
        <w:lastRenderedPageBreak/>
        <w:t>индикатори омогућавају идентификацију критичних тачака у ланцу вредности и унапређење процеса који максимизирају циркуларни потенцијал организације.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Организација може увести праћење и оптимизацију потрошње сировина кроз систем поновне употребе и рециклажу отпадних материјала. Мерљивост се остварује праћењем процента материјала који се поново користи и смањењем количине отпада по јединици производа, чиме се ефикасност процеса и циркуларни потенцијал јасно уочавају.</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Перспектива учења и раста</w:t>
      </w:r>
      <w:r w:rsidRPr="005761BD">
        <w:rPr>
          <w:rFonts w:ascii="Arial" w:eastAsia="Verdana" w:hAnsi="Arial" w:cs="Arial"/>
          <w:sz w:val="22"/>
        </w:rPr>
        <w:t xml:space="preserve"> концентрише се на развој знања, вештина и организационе културе која подржава циркуларну економију. Кључни показатељи укључују број едукација и обука о одрживости, иновациону способност тима, као и укљученост запослених у иницијативе за смањење отпада и повећање енергетске ефикасности. Ова перспектива осигурава да организација гради дугорочну способност за одржавање и унапређење циркуларних пракси, чиме се обезбеђује континуирани развој и прилагодљивост на нове изазове.</w:t>
      </w:r>
    </w:p>
    <w:p w:rsidR="005761BD" w:rsidRPr="005761BD" w:rsidRDefault="005761BD" w:rsidP="005761BD">
      <w:pPr>
        <w:spacing w:line="210" w:lineRule="atLeast"/>
        <w:rPr>
          <w:rFonts w:ascii="Arial" w:hAnsi="Arial" w:cs="Arial"/>
        </w:rPr>
      </w:pPr>
      <w:r w:rsidRPr="005761BD">
        <w:rPr>
          <w:rFonts w:ascii="Arial" w:eastAsia="Verdana" w:hAnsi="Arial" w:cs="Arial"/>
          <w:i/>
          <w:sz w:val="22"/>
        </w:rPr>
        <w:t>Пример: Организација може организовати редовне едукације и радионице о циркуларним праксама за запослене. Успех се мерљиво прати кроз број обучених запослених и учешће у иницијативама за смањење отпада и енергетску ефикасност, што осигурава развој компетенција и дугорочну способност одржавања циркуларних активности.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Интеграцијом све четири перспективе у BSC карту, организација добија јасан оквир за праћење, процену и унапређење својих перформанси у циркуларној економији. BSC се у овом контексту посматра на микро, мезо и макро нивоу, омогућавајући праћење перформанси по микро јединицама, што свеобухватно доприноси макро нивоу </w:t>
      </w:r>
      <w:r>
        <w:rPr>
          <w:rFonts w:ascii="Arial" w:eastAsia="Verdana" w:hAnsi="Arial" w:cs="Arial"/>
          <w:sz w:val="22"/>
        </w:rPr>
        <w:t>-</w:t>
      </w:r>
      <w:r w:rsidRPr="005761BD">
        <w:rPr>
          <w:rFonts w:ascii="Arial" w:eastAsia="Verdana" w:hAnsi="Arial" w:cs="Arial"/>
          <w:sz w:val="22"/>
        </w:rPr>
        <w:t xml:space="preserve"> ЈЛС, региону и на крају држави.</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1.3.3. PDCA оквир за континуирано унапређење циркуларних пракси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Унапређење и имплементација стратегија циркуларне економије захтевају не само политички континуитет и финансијску подршку, већ и системску методологију која омогућава адаптацију, процену и поновно планирање мера у складу са добијеним резултатима. У том контексту, модел Plan</w:t>
      </w:r>
      <w:r>
        <w:rPr>
          <w:rFonts w:ascii="Arial" w:eastAsia="Verdana" w:hAnsi="Arial" w:cs="Arial"/>
          <w:sz w:val="22"/>
        </w:rPr>
        <w:t>-</w:t>
      </w:r>
      <w:r w:rsidRPr="005761BD">
        <w:rPr>
          <w:rFonts w:ascii="Arial" w:eastAsia="Verdana" w:hAnsi="Arial" w:cs="Arial"/>
          <w:sz w:val="22"/>
        </w:rPr>
        <w:t>Do</w:t>
      </w:r>
      <w:r>
        <w:rPr>
          <w:rFonts w:ascii="Arial" w:eastAsia="Verdana" w:hAnsi="Arial" w:cs="Arial"/>
          <w:sz w:val="22"/>
        </w:rPr>
        <w:t>-</w:t>
      </w:r>
      <w:r w:rsidRPr="005761BD">
        <w:rPr>
          <w:rFonts w:ascii="Arial" w:eastAsia="Verdana" w:hAnsi="Arial" w:cs="Arial"/>
          <w:sz w:val="22"/>
        </w:rPr>
        <w:t>Check</w:t>
      </w:r>
      <w:r>
        <w:rPr>
          <w:rFonts w:ascii="Arial" w:eastAsia="Verdana" w:hAnsi="Arial" w:cs="Arial"/>
          <w:sz w:val="22"/>
        </w:rPr>
        <w:t>-</w:t>
      </w:r>
      <w:r w:rsidRPr="005761BD">
        <w:rPr>
          <w:rFonts w:ascii="Arial" w:eastAsia="Verdana" w:hAnsi="Arial" w:cs="Arial"/>
          <w:sz w:val="22"/>
        </w:rPr>
        <w:t>Act (PDCA), познат и као Демингов циклус, представља широко прихваћен и примењив управљачки оквир који омогућава континуирано побољшање процеса и пракси на нивоу јавне управе, индустрије и локалних заједница. PDCA модел је у основи методолошки концепт који омогућава да се свака политика, мера или иницијатива посматра као динамичан циклус, у коме се свака фаза (планирање, извршавање, провера и деловање) непрекидно надограђује и унапређује. Применом овог модела на области циркуларне економије у Републици Србији омогућава се не само усклађеност са најбољим европским праксама, већ и успостављање флексибилног оквира који прати специфичне потребе и капацитете домаћих институција и привреде.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PDCA представља основу за адаптивно управљање политикама циркуларне економије, у којој:</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Фаза</w:t>
      </w:r>
      <w:r>
        <w:rPr>
          <w:rFonts w:ascii="Arial" w:eastAsia="Verdana" w:hAnsi="Arial" w:cs="Arial"/>
          <w:sz w:val="22"/>
        </w:rPr>
        <w:t>,</w:t>
      </w:r>
      <w:r w:rsidRPr="005761BD">
        <w:rPr>
          <w:rFonts w:ascii="Arial" w:eastAsia="Verdana" w:hAnsi="Arial" w:cs="Arial"/>
          <w:sz w:val="22"/>
        </w:rPr>
        <w:t>,Планирај</w:t>
      </w:r>
      <w:r>
        <w:rPr>
          <w:rFonts w:ascii="Arial" w:eastAsia="Verdana" w:hAnsi="Arial" w:cs="Arial"/>
          <w:sz w:val="22"/>
        </w:rPr>
        <w:t>"</w:t>
      </w:r>
      <w:r w:rsidRPr="005761BD">
        <w:rPr>
          <w:rFonts w:ascii="Arial" w:eastAsia="Verdana" w:hAnsi="Arial" w:cs="Arial"/>
          <w:sz w:val="22"/>
        </w:rPr>
        <w:t xml:space="preserve"> (Plan) подразумева постављање циљева, дефинисање индикатора, идентификацију постојећих капацитета и ресурса, као и процену ризика и прилика за циркуларну транзицију. У овом контексту, PDCA циклус подстиче употребу података и доказа као основа за доношење одлука, што је у складу са принципима доброг управљања и одговорности у јавним политикама;</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Фаза</w:t>
      </w:r>
      <w:r>
        <w:rPr>
          <w:rFonts w:ascii="Arial" w:eastAsia="Verdana" w:hAnsi="Arial" w:cs="Arial"/>
          <w:sz w:val="22"/>
        </w:rPr>
        <w:t>,</w:t>
      </w:r>
      <w:r w:rsidRPr="005761BD">
        <w:rPr>
          <w:rFonts w:ascii="Arial" w:eastAsia="Verdana" w:hAnsi="Arial" w:cs="Arial"/>
          <w:sz w:val="22"/>
        </w:rPr>
        <w:t>,Уради</w:t>
      </w:r>
      <w:r>
        <w:rPr>
          <w:rFonts w:ascii="Arial" w:eastAsia="Verdana" w:hAnsi="Arial" w:cs="Arial"/>
          <w:sz w:val="22"/>
        </w:rPr>
        <w:t>"</w:t>
      </w:r>
      <w:r w:rsidRPr="005761BD">
        <w:rPr>
          <w:rFonts w:ascii="Arial" w:eastAsia="Verdana" w:hAnsi="Arial" w:cs="Arial"/>
          <w:sz w:val="22"/>
        </w:rPr>
        <w:t xml:space="preserve"> (Do) подразумева имплементацију планираних мера и пилот-пројеката у складу са дефинисаним оквирима и инструментима, укључујући и добровољне еколошке алате попут Еко знака, EMAS система и зелених јавних набавки, као и интеграцију са ISO стандардима, нарочито серијом 14000 и новим ISO 59010 и ISO 59020, који се директно односе на праћење и управљање циркуларношћу;</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Фаза</w:t>
      </w:r>
      <w:r>
        <w:rPr>
          <w:rFonts w:ascii="Arial" w:eastAsia="Verdana" w:hAnsi="Arial" w:cs="Arial"/>
          <w:sz w:val="22"/>
        </w:rPr>
        <w:t>,</w:t>
      </w:r>
      <w:r w:rsidRPr="005761BD">
        <w:rPr>
          <w:rFonts w:ascii="Arial" w:eastAsia="Verdana" w:hAnsi="Arial" w:cs="Arial"/>
          <w:sz w:val="22"/>
        </w:rPr>
        <w:t>,Провери</w:t>
      </w:r>
      <w:r>
        <w:rPr>
          <w:rFonts w:ascii="Arial" w:eastAsia="Verdana" w:hAnsi="Arial" w:cs="Arial"/>
          <w:sz w:val="22"/>
        </w:rPr>
        <w:t>"</w:t>
      </w:r>
      <w:r w:rsidRPr="005761BD">
        <w:rPr>
          <w:rFonts w:ascii="Arial" w:eastAsia="Verdana" w:hAnsi="Arial" w:cs="Arial"/>
          <w:sz w:val="22"/>
        </w:rPr>
        <w:t xml:space="preserve"> (Check) представља кључну фазу у којој се прикупљају повратне информације, анализирају индикатори (нпр. стопа рециклаже, ИСЛЗ, број имплементираних ЦЕ пројеката) и врши процена ефикасности мера. У овој фази је кључна употреба сложених индикатора као што је ИСЛЗ, али и унакрсна верификација са индикаторима одрживог развоја (нпр. SDG 12 и SDG 17), чиме се подиже транспарентност и међународна упоредивост;</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Фаза</w:t>
      </w:r>
      <w:r>
        <w:rPr>
          <w:rFonts w:ascii="Arial" w:eastAsia="Verdana" w:hAnsi="Arial" w:cs="Arial"/>
          <w:sz w:val="22"/>
        </w:rPr>
        <w:t>,</w:t>
      </w:r>
      <w:r w:rsidRPr="005761BD">
        <w:rPr>
          <w:rFonts w:ascii="Arial" w:eastAsia="Verdana" w:hAnsi="Arial" w:cs="Arial"/>
          <w:sz w:val="22"/>
        </w:rPr>
        <w:t>,Делуј</w:t>
      </w:r>
      <w:r>
        <w:rPr>
          <w:rFonts w:ascii="Arial" w:eastAsia="Verdana" w:hAnsi="Arial" w:cs="Arial"/>
          <w:sz w:val="22"/>
        </w:rPr>
        <w:t>"</w:t>
      </w:r>
      <w:r w:rsidRPr="005761BD">
        <w:rPr>
          <w:rFonts w:ascii="Arial" w:eastAsia="Verdana" w:hAnsi="Arial" w:cs="Arial"/>
          <w:sz w:val="22"/>
        </w:rPr>
        <w:t xml:space="preserve"> (Act) омогућава корекцију мера, ревизију планова, прерасподелу ресурса и унапређење институционалних аранжмана. Овом фазом се затвара циклус и омогућава стална циркулација знања, искустава и прилагођавања стратегија у реалном времену, што је у потпуности у духу циркуларности.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PDCA циклус природно одражава четири кључна принципа на којима се заснива концепт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 xml:space="preserve">1. Повратне информације (feedback) </w:t>
      </w:r>
      <w:r>
        <w:rPr>
          <w:rFonts w:ascii="Arial" w:eastAsia="Verdana" w:hAnsi="Arial" w:cs="Arial"/>
          <w:sz w:val="22"/>
        </w:rPr>
        <w:t>-</w:t>
      </w:r>
      <w:r w:rsidRPr="005761BD">
        <w:rPr>
          <w:rFonts w:ascii="Arial" w:eastAsia="Verdana" w:hAnsi="Arial" w:cs="Arial"/>
          <w:sz w:val="22"/>
        </w:rPr>
        <w:t xml:space="preserve"> у оквиру фазе</w:t>
      </w:r>
      <w:r>
        <w:rPr>
          <w:rFonts w:ascii="Arial" w:eastAsia="Verdana" w:hAnsi="Arial" w:cs="Arial"/>
          <w:sz w:val="22"/>
        </w:rPr>
        <w:t>,</w:t>
      </w:r>
      <w:r w:rsidRPr="005761BD">
        <w:rPr>
          <w:rFonts w:ascii="Arial" w:eastAsia="Verdana" w:hAnsi="Arial" w:cs="Arial"/>
          <w:sz w:val="22"/>
        </w:rPr>
        <w:t>,Check</w:t>
      </w:r>
      <w:r>
        <w:rPr>
          <w:rFonts w:ascii="Arial" w:eastAsia="Verdana" w:hAnsi="Arial" w:cs="Arial"/>
          <w:sz w:val="22"/>
        </w:rPr>
        <w:t>"</w:t>
      </w:r>
      <w:r w:rsidRPr="005761BD">
        <w:rPr>
          <w:rFonts w:ascii="Arial" w:eastAsia="Verdana" w:hAnsi="Arial" w:cs="Arial"/>
          <w:sz w:val="22"/>
        </w:rPr>
        <w:t>, систематска анализа резултата омогућава да се добијени подаци искористе за унапређење стратегија;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2. Адаптација </w:t>
      </w:r>
      <w:r>
        <w:rPr>
          <w:rFonts w:ascii="Arial" w:eastAsia="Verdana" w:hAnsi="Arial" w:cs="Arial"/>
          <w:sz w:val="22"/>
        </w:rPr>
        <w:t>-</w:t>
      </w:r>
      <w:r w:rsidRPr="005761BD">
        <w:rPr>
          <w:rFonts w:ascii="Arial" w:eastAsia="Verdana" w:hAnsi="Arial" w:cs="Arial"/>
          <w:sz w:val="22"/>
        </w:rPr>
        <w:t xml:space="preserve"> фаза</w:t>
      </w:r>
      <w:r>
        <w:rPr>
          <w:rFonts w:ascii="Arial" w:eastAsia="Verdana" w:hAnsi="Arial" w:cs="Arial"/>
          <w:sz w:val="22"/>
        </w:rPr>
        <w:t>,</w:t>
      </w:r>
      <w:r w:rsidRPr="005761BD">
        <w:rPr>
          <w:rFonts w:ascii="Arial" w:eastAsia="Verdana" w:hAnsi="Arial" w:cs="Arial"/>
          <w:sz w:val="22"/>
        </w:rPr>
        <w:t>,Act</w:t>
      </w:r>
      <w:r>
        <w:rPr>
          <w:rFonts w:ascii="Arial" w:eastAsia="Verdana" w:hAnsi="Arial" w:cs="Arial"/>
          <w:sz w:val="22"/>
        </w:rPr>
        <w:t>"</w:t>
      </w:r>
      <w:r w:rsidRPr="005761BD">
        <w:rPr>
          <w:rFonts w:ascii="Arial" w:eastAsia="Verdana" w:hAnsi="Arial" w:cs="Arial"/>
          <w:sz w:val="22"/>
        </w:rPr>
        <w:t xml:space="preserve"> директно подржава адаптивне мере, измене законодавства, корекцију програма или увођење нових инструмената;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3. Учење </w:t>
      </w:r>
      <w:r>
        <w:rPr>
          <w:rFonts w:ascii="Arial" w:eastAsia="Verdana" w:hAnsi="Arial" w:cs="Arial"/>
          <w:sz w:val="22"/>
        </w:rPr>
        <w:t>-</w:t>
      </w:r>
      <w:r w:rsidRPr="005761BD">
        <w:rPr>
          <w:rFonts w:ascii="Arial" w:eastAsia="Verdana" w:hAnsi="Arial" w:cs="Arial"/>
          <w:sz w:val="22"/>
        </w:rPr>
        <w:t xml:space="preserve"> кроз сва четири корака омогућава се институционално учење и јачање капацитета јавне управе и других актера;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4. Повезаност </w:t>
      </w:r>
      <w:r>
        <w:rPr>
          <w:rFonts w:ascii="Arial" w:eastAsia="Verdana" w:hAnsi="Arial" w:cs="Arial"/>
          <w:sz w:val="22"/>
        </w:rPr>
        <w:t>-</w:t>
      </w:r>
      <w:r w:rsidRPr="005761BD">
        <w:rPr>
          <w:rFonts w:ascii="Arial" w:eastAsia="Verdana" w:hAnsi="Arial" w:cs="Arial"/>
          <w:sz w:val="22"/>
        </w:rPr>
        <w:t xml:space="preserve"> PDCA модел подстиче хоризонталну и вертикалну интеграцију међу секторима (нпр. енергетика, отпад, пољопривреда), што је предуслов за успостављање функционалних циркуларних токова.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Увођење PDCA модела у праћење и унапређење политика у области циркуларне економије у Републици Србији је у складу са: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1) ISO 14001:2015 </w:t>
      </w:r>
      <w:r>
        <w:rPr>
          <w:rFonts w:ascii="Arial" w:eastAsia="Verdana" w:hAnsi="Arial" w:cs="Arial"/>
          <w:sz w:val="22"/>
        </w:rPr>
        <w:t>-</w:t>
      </w:r>
      <w:r w:rsidRPr="005761BD">
        <w:rPr>
          <w:rFonts w:ascii="Arial" w:eastAsia="Verdana" w:hAnsi="Arial" w:cs="Arial"/>
          <w:sz w:val="22"/>
        </w:rPr>
        <w:t xml:space="preserve"> међународни стандард за системе управљања заштитом животне средине, који се базира управо на PDCA циклусу, чиме се обезбеђује системски приступ управљању утицајима на животну средину;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2) ISO 9001:2015 </w:t>
      </w:r>
      <w:r>
        <w:rPr>
          <w:rFonts w:ascii="Arial" w:eastAsia="Verdana" w:hAnsi="Arial" w:cs="Arial"/>
          <w:sz w:val="22"/>
        </w:rPr>
        <w:t>-</w:t>
      </w:r>
      <w:r w:rsidRPr="005761BD">
        <w:rPr>
          <w:rFonts w:ascii="Arial" w:eastAsia="Verdana" w:hAnsi="Arial" w:cs="Arial"/>
          <w:sz w:val="22"/>
        </w:rPr>
        <w:t xml:space="preserve"> стандард управљања квалитетом, који такође примењује PDCA логику, што омогућава синхронизацију пракси циркуларне економије у индустрији;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3) ISO 59010 и 59020 </w:t>
      </w:r>
      <w:r>
        <w:rPr>
          <w:rFonts w:ascii="Arial" w:eastAsia="Verdana" w:hAnsi="Arial" w:cs="Arial"/>
          <w:sz w:val="22"/>
        </w:rPr>
        <w:t>-</w:t>
      </w:r>
      <w:r w:rsidRPr="005761BD">
        <w:rPr>
          <w:rFonts w:ascii="Arial" w:eastAsia="Verdana" w:hAnsi="Arial" w:cs="Arial"/>
          <w:sz w:val="22"/>
        </w:rPr>
        <w:t xml:space="preserve"> нови стандарди у области циркуларне економије, који подстичу примену индикатора и праћење имплементације циркуларне економије кроз структуру која је компатибилна са PDCA логиком.</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EU Taxonomy Regulation (EU 2020/852) </w:t>
      </w:r>
      <w:r>
        <w:rPr>
          <w:rFonts w:ascii="Arial" w:eastAsia="Verdana" w:hAnsi="Arial" w:cs="Arial"/>
          <w:sz w:val="22"/>
        </w:rPr>
        <w:t>-</w:t>
      </w:r>
      <w:r w:rsidRPr="005761BD">
        <w:rPr>
          <w:rFonts w:ascii="Arial" w:eastAsia="Verdana" w:hAnsi="Arial" w:cs="Arial"/>
          <w:sz w:val="22"/>
        </w:rPr>
        <w:t xml:space="preserve"> који дефинише техничке критеријуме за одрживе активности и подстиче извештавање на основу проверљивих и динамичких модела.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Споразум о стабилизацији и придруживању и Зелена агенда за Западни Балкан </w:t>
      </w:r>
      <w:r>
        <w:rPr>
          <w:rFonts w:ascii="Arial" w:eastAsia="Verdana" w:hAnsi="Arial" w:cs="Arial"/>
          <w:sz w:val="22"/>
        </w:rPr>
        <w:t>-</w:t>
      </w:r>
      <w:r w:rsidRPr="005761BD">
        <w:rPr>
          <w:rFonts w:ascii="Arial" w:eastAsia="Verdana" w:hAnsi="Arial" w:cs="Arial"/>
          <w:sz w:val="22"/>
        </w:rPr>
        <w:t xml:space="preserve"> који обавезују Републику Србију на унапређење политика у складу са ЕУ правом и праксом, укључујући увођење система за ефикасно управљање јавним политикама, међу којима је PDCA модел препознат као пример добре праксе.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Интеграција PDCA модела у национални оквир за циркуларну економију не служи само као техничко средство за мониторинг, већ као шири инструмент институционалне зрелости. Применом овог модела, Република Србија добија способност да спроводи ефикасне локалне пилот пројекте и експерименталне приступе у области циркуларне економије, правовремено реагује на изазове и нове захтеве који произилазе из ЕУ политике (нпр. одрживе финансије, дигитална циркуларност), успостави везу између активности и финансирања циркуларне економије кроз доказ о ефикасности и утицају, олакша међусекторску координацију и трансфер знања између нивоа власти и заинтересованих страна.</w:t>
      </w:r>
    </w:p>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1.3.4. Интегрисани систем управљања циркуларним перформансама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Ефективно управљање циркуларним перформансама захтева праћење њиховог еколошког и економског утицаја кроз интегрисани систем мера и показатеља. Процес може почети применом Life Cycle Assessment (LCA) за мерење и анализу еколошког утицаја током целог животног циклуса производа или услуге. На основу резултата LCA, BSC карта омогућава стратешко праћење и управљање унапређењима кроз четири перспективе, повезујући конкретне иницијативе са циљевима и показатељима. У овом оквиру, BSC постаје централни алат за интеграцију података и мерења из LCA и њихово претварање у управљачке стратегије. Након тога, PDCA циклус (Plan-Do-Check-Act) обезбеђује континуирани процес унапређења, користећи мерења из BSC и LCA за планирање, имплементацију, проверу резултата и прилагођавање стратегија. На овај начин, LCA мери еколошки утицај производа кроз целокупан животни циклус, BSC претвара те податке у стратешки оквир за праћење и управљање циркуларним праксама, а PDCA омогућава континуирано унапређење и прилагођавање стратегија на основу добијених резултата (Табела 1.3).</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1.3. Интегрисани приказ фаза LCA анализе, BSC перспектива и PDCA циклуса</w:t>
      </w:r>
    </w:p>
    <w:tbl>
      <w:tblPr>
        <w:tblW w:w="4950" w:type="pct"/>
        <w:tblInd w:w="10" w:type="dxa"/>
        <w:tblCellMar>
          <w:left w:w="10" w:type="dxa"/>
          <w:right w:w="10" w:type="dxa"/>
        </w:tblCellMar>
        <w:tblLook w:val="04A0" w:firstRow="1" w:lastRow="0" w:firstColumn="1" w:lastColumn="0" w:noHBand="0" w:noVBand="1"/>
      </w:tblPr>
      <w:tblGrid>
        <w:gridCol w:w="2266"/>
        <w:gridCol w:w="2582"/>
        <w:gridCol w:w="1948"/>
        <w:gridCol w:w="4591"/>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Фаза LCA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BSC перспективе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PDCA фазе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Кратак опис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Дефинисање циља и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 перспектива, Перспектива учења и раста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Фаза планирања, Фаза деловања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Дефинише циљеве мерења, економске и еколошке приоритете, планирање стратегија и развој компетенција.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Анализа улазно-</w:t>
            </w:r>
            <w:r w:rsidRPr="005761BD">
              <w:rPr>
                <w:rFonts w:ascii="Arial" w:eastAsia="Verdana" w:hAnsi="Arial" w:cs="Arial"/>
                <w:sz w:val="22"/>
              </w:rPr>
              <w:lastRenderedPageBreak/>
              <w:t>излазних токова (LCI)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 xml:space="preserve">Финансијска </w:t>
            </w:r>
            <w:r w:rsidRPr="005761BD">
              <w:rPr>
                <w:rFonts w:ascii="Arial" w:eastAsia="Verdana" w:hAnsi="Arial" w:cs="Arial"/>
                <w:sz w:val="22"/>
              </w:rPr>
              <w:lastRenderedPageBreak/>
              <w:t>перспектива, Интерни 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 xml:space="preserve">Фаза спровођења, </w:t>
            </w:r>
            <w:r w:rsidRPr="005761BD">
              <w:rPr>
                <w:rFonts w:ascii="Arial" w:eastAsia="Verdana" w:hAnsi="Arial" w:cs="Arial"/>
                <w:sz w:val="22"/>
              </w:rPr>
              <w:lastRenderedPageBreak/>
              <w:t>Фаза провере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 xml:space="preserve">Праћење потрошње ресурса, отпада и </w:t>
            </w:r>
            <w:r w:rsidRPr="005761BD">
              <w:rPr>
                <w:rFonts w:ascii="Arial" w:eastAsia="Verdana" w:hAnsi="Arial" w:cs="Arial"/>
                <w:sz w:val="22"/>
              </w:rPr>
              <w:lastRenderedPageBreak/>
              <w:t>енергије, имплементација мера и провера ефикасности процеса.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Процена утицаја на животну средину (LCIA)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Перспектива корисника, Финансијска перспектива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Фаза провере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 утицаја на кориснике и економске показатеље, провера резултата и усаглашеност са циљевима.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 перспектива,</w:t>
            </w:r>
          </w:p>
          <w:p w:rsidR="005761BD" w:rsidRPr="005761BD" w:rsidRDefault="005761BD" w:rsidP="00CF3A2D">
            <w:pPr>
              <w:spacing w:line="210" w:lineRule="atLeast"/>
              <w:rPr>
                <w:rFonts w:ascii="Arial" w:hAnsi="Arial" w:cs="Arial"/>
              </w:rPr>
            </w:pPr>
            <w:r w:rsidRPr="005761BD">
              <w:rPr>
                <w:rFonts w:ascii="Arial" w:eastAsia="Verdana" w:hAnsi="Arial" w:cs="Arial"/>
                <w:sz w:val="22"/>
              </w:rPr>
              <w:t>Перспектива корисника</w:t>
            </w:r>
          </w:p>
          <w:p w:rsidR="005761BD" w:rsidRPr="005761BD" w:rsidRDefault="005761BD" w:rsidP="00CF3A2D">
            <w:pPr>
              <w:spacing w:line="210" w:lineRule="atLeast"/>
              <w:rPr>
                <w:rFonts w:ascii="Arial" w:hAnsi="Arial" w:cs="Arial"/>
              </w:rPr>
            </w:pPr>
            <w:r w:rsidRPr="005761BD">
              <w:rPr>
                <w:rFonts w:ascii="Arial" w:eastAsia="Verdana" w:hAnsi="Arial" w:cs="Arial"/>
                <w:sz w:val="22"/>
              </w:rPr>
              <w:t>Перспектива интерни процеси,</w:t>
            </w:r>
          </w:p>
          <w:p w:rsidR="005761BD" w:rsidRPr="005761BD" w:rsidRDefault="005761BD" w:rsidP="00CF3A2D">
            <w:pPr>
              <w:spacing w:line="210" w:lineRule="atLeast"/>
              <w:rPr>
                <w:rFonts w:ascii="Arial" w:hAnsi="Arial" w:cs="Arial"/>
              </w:rPr>
            </w:pPr>
            <w:r w:rsidRPr="005761BD">
              <w:rPr>
                <w:rFonts w:ascii="Arial" w:eastAsia="Verdana" w:hAnsi="Arial" w:cs="Arial"/>
                <w:sz w:val="22"/>
              </w:rPr>
              <w:t>Перспектива учења и раста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Фаза деловања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 за доношење одлука, континуирано учење, унапређење процеса и прилагођавање стратегија.</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Израчунавање интегрисаног индекса циркуларних перформанси</w:t>
      </w:r>
    </w:p>
    <w:p w:rsidR="005761BD" w:rsidRPr="005761BD" w:rsidRDefault="005761BD" w:rsidP="005761BD">
      <w:pPr>
        <w:spacing w:line="210" w:lineRule="atLeast"/>
        <w:rPr>
          <w:rFonts w:ascii="Arial" w:hAnsi="Arial" w:cs="Arial"/>
        </w:rPr>
      </w:pPr>
      <w:r w:rsidRPr="005761BD">
        <w:rPr>
          <w:rFonts w:ascii="Arial" w:eastAsia="Verdana" w:hAnsi="Arial" w:cs="Arial"/>
          <w:sz w:val="22"/>
        </w:rPr>
        <w:t>Основна формула интегрисаног индекса циркуларних перформанси (ИИЦП):</w:t>
      </w:r>
    </w:p>
    <w:p w:rsidR="005761BD" w:rsidRPr="005761BD" w:rsidRDefault="005761BD" w:rsidP="005761BD">
      <w:pPr>
        <w:spacing w:line="210" w:lineRule="atLeast"/>
        <w:rPr>
          <w:rFonts w:ascii="Arial" w:hAnsi="Arial" w:cs="Arial"/>
        </w:rPr>
      </w:pPr>
      <w:r w:rsidRPr="005761BD">
        <w:rPr>
          <w:rFonts w:ascii="Arial" w:eastAsia="Verdana" w:hAnsi="Arial" w:cs="Arial"/>
          <w:sz w:val="22"/>
        </w:rPr>
        <w:t>Где је:</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Bijkp </w:t>
      </w:r>
      <w:r>
        <w:rPr>
          <w:rFonts w:ascii="Arial" w:eastAsia="Verdana" w:hAnsi="Arial" w:cs="Arial"/>
          <w:sz w:val="22"/>
        </w:rPr>
        <w:t>-</w:t>
      </w:r>
      <w:r w:rsidRPr="005761BD">
        <w:rPr>
          <w:rFonts w:ascii="Arial" w:eastAsia="Verdana" w:hAnsi="Arial" w:cs="Arial"/>
          <w:sz w:val="22"/>
        </w:rPr>
        <w:t xml:space="preserve"> бод за показатељ p у LCA фази-i, BSC перспективи-j и PDCA фази-k;</w:t>
      </w:r>
    </w:p>
    <w:p w:rsidR="005761BD" w:rsidRPr="005761BD" w:rsidRDefault="005761BD" w:rsidP="005761BD">
      <w:pPr>
        <w:spacing w:line="210" w:lineRule="atLeast"/>
        <w:rPr>
          <w:rFonts w:ascii="Arial" w:hAnsi="Arial" w:cs="Arial"/>
        </w:rPr>
      </w:pPr>
      <w:r>
        <w:rPr>
          <w:rFonts w:ascii="Arial" w:eastAsia="Verdana" w:hAnsi="Arial" w:cs="Arial"/>
          <w:sz w:val="22"/>
        </w:rPr>
        <w:t>-</w:t>
      </w:r>
      <w:r w:rsidRPr="005761BD">
        <w:rPr>
          <w:rFonts w:ascii="Arial" w:eastAsia="Verdana" w:hAnsi="Arial" w:cs="Arial"/>
          <w:sz w:val="22"/>
        </w:rPr>
        <w:t xml:space="preserve"> Tijkp </w:t>
      </w:r>
      <w:r>
        <w:rPr>
          <w:rFonts w:ascii="Arial" w:eastAsia="Verdana" w:hAnsi="Arial" w:cs="Arial"/>
          <w:sz w:val="22"/>
        </w:rPr>
        <w:t>-</w:t>
      </w:r>
      <w:r w:rsidRPr="005761BD">
        <w:rPr>
          <w:rFonts w:ascii="Arial" w:eastAsia="Verdana" w:hAnsi="Arial" w:cs="Arial"/>
          <w:sz w:val="22"/>
        </w:rPr>
        <w:t xml:space="preserve"> тежински коефицијент показатеља p (укупна важност у интегрисаном систему, 0</w:t>
      </w:r>
      <w:r>
        <w:rPr>
          <w:rFonts w:ascii="Arial" w:eastAsia="Verdana" w:hAnsi="Arial" w:cs="Arial"/>
          <w:sz w:val="22"/>
        </w:rPr>
        <w:t>-</w:t>
      </w:r>
      <w:r w:rsidRPr="005761BD">
        <w:rPr>
          <w:rFonts w:ascii="Arial" w:eastAsia="Verdana" w:hAnsi="Arial" w:cs="Arial"/>
          <w:sz w:val="22"/>
        </w:rPr>
        <w:t>1).</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1.4. Пример показатеља и обрачуна интегрисаног индекса циркуларних перформанси</w:t>
      </w:r>
    </w:p>
    <w:tbl>
      <w:tblPr>
        <w:tblW w:w="4950" w:type="pct"/>
        <w:tblInd w:w="10" w:type="dxa"/>
        <w:tblCellMar>
          <w:left w:w="10" w:type="dxa"/>
          <w:right w:w="10" w:type="dxa"/>
        </w:tblCellMar>
        <w:tblLook w:val="04A0" w:firstRow="1" w:lastRow="0" w:firstColumn="1" w:lastColumn="0" w:noHBand="0" w:noVBand="1"/>
      </w:tblPr>
      <w:tblGrid>
        <w:gridCol w:w="2626"/>
        <w:gridCol w:w="1985"/>
        <w:gridCol w:w="1500"/>
        <w:gridCol w:w="1718"/>
        <w:gridCol w:w="1703"/>
        <w:gridCol w:w="578"/>
        <w:gridCol w:w="1277"/>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Показатељ</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LCA фаза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BSC перспектива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PDCA фаза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Тежински коефицијент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Бод (0</w:t>
            </w:r>
            <w:r>
              <w:rPr>
                <w:rFonts w:ascii="Arial" w:eastAsia="Verdana" w:hAnsi="Arial" w:cs="Arial"/>
                <w:b/>
                <w:sz w:val="22"/>
              </w:rPr>
              <w:t>-</w:t>
            </w:r>
            <w:r w:rsidRPr="005761BD">
              <w:rPr>
                <w:rFonts w:ascii="Arial" w:eastAsia="Verdana" w:hAnsi="Arial" w:cs="Arial"/>
                <w:b/>
                <w:sz w:val="22"/>
              </w:rPr>
              <w:t>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Примена у формули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Буџет за циркуларне иницијативе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Дефинисање циља и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Планирај (P)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 × 0,06 = 0,48</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Покривеност кључних компетенција за циркуларно деловање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Дефинисање циља и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Учење и раст</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Планирај/Делуј (P/A)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 × 0,06 = 0,42</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Укљученост стејкхолдера у планирању циркуларних иницијатива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Дефинисање циља и обима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Корисничка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Планирај (P)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 × 0,05 = 0,30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Потрошња материјала по јединици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Анализа улазно-излазних токова (LCI)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Интерни 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Уради (D)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 × 0,08 = 0,64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Потрошња енергије по јединици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Анализа улазно-излазних токова (LCI)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Интерни 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Уради (D)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 × 0,07 = 0,49</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Трошак одржавања система ради циркуларности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Анализа улазно-излазних токова (LCI)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Уради/Провери (D/C)</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 × 0,06 = 0,36</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Стопа отпада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Анализа улазно-излазних токова </w:t>
            </w:r>
            <w:r w:rsidRPr="005761BD">
              <w:rPr>
                <w:rFonts w:ascii="Arial" w:eastAsia="Verdana" w:hAnsi="Arial" w:cs="Arial"/>
                <w:sz w:val="22"/>
              </w:rPr>
              <w:lastRenderedPageBreak/>
              <w:t>(LCI)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 xml:space="preserve">Интерни </w:t>
            </w:r>
            <w:r w:rsidRPr="005761BD">
              <w:rPr>
                <w:rFonts w:ascii="Arial" w:eastAsia="Verdana" w:hAnsi="Arial" w:cs="Arial"/>
                <w:sz w:val="22"/>
              </w:rPr>
              <w:lastRenderedPageBreak/>
              <w:t>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Уради (D)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7 × 0,06 = </w:t>
            </w:r>
            <w:r w:rsidRPr="005761BD">
              <w:rPr>
                <w:rFonts w:ascii="Arial" w:eastAsia="Verdana" w:hAnsi="Arial" w:cs="Arial"/>
                <w:sz w:val="22"/>
              </w:rPr>
              <w:lastRenderedPageBreak/>
              <w:t>0,42</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Учешће корисника у ЦЕ програмима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 утицаја на животну средину (LCIA)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Корисничка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Провери (C)</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 × 0,07 = 0,49</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Економска корист/уштеда (РСД/год)</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 утицаја на животну средину (LCIA)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Провери (C)</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 × 0,06 = 0,36</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Усклађеност са еко-стандардима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 утицаја на животну средину (LCIA)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Интерни 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Провери (C)</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6</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 × 0,06 = 0,48</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Постигнути ЦЕ циљеви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Учење и раст</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Делуј (A)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9 × 0,12 = 1,08</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Број уведених побољшања услед увођења ЦЕ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Интерни процеси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Делуј (A)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 × 0,10 = 0,70</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Остварена уштеда у односу на план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Финансијска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Делуј (A)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8 × 0,08 = 0,64</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Задовољство корисника ЦЕ</w:t>
            </w:r>
          </w:p>
          <w:p w:rsidR="005761BD" w:rsidRPr="005761BD" w:rsidRDefault="005761BD" w:rsidP="00CF3A2D">
            <w:pPr>
              <w:spacing w:line="210" w:lineRule="atLeast"/>
              <w:rPr>
                <w:rFonts w:ascii="Arial" w:hAnsi="Arial" w:cs="Arial"/>
              </w:rPr>
            </w:pPr>
            <w:r w:rsidRPr="005761BD">
              <w:rPr>
                <w:rFonts w:ascii="Arial" w:eastAsia="Verdana" w:hAnsi="Arial" w:cs="Arial"/>
                <w:sz w:val="22"/>
              </w:rPr>
              <w:t>(оцене/индекс)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Тумачење резултата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Корисничка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Делуј (A)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7 × 0,07 = 0,49</w:t>
            </w:r>
          </w:p>
        </w:tc>
      </w:tr>
    </w:tbl>
    <w:p w:rsidR="005761BD" w:rsidRPr="005761BD" w:rsidRDefault="005761BD" w:rsidP="005761BD">
      <w:pPr>
        <w:spacing w:line="210" w:lineRule="atLeast"/>
        <w:rPr>
          <w:rFonts w:ascii="Arial" w:hAnsi="Arial" w:cs="Arial"/>
        </w:rPr>
      </w:pPr>
      <w:r w:rsidRPr="005761BD">
        <w:rPr>
          <w:rFonts w:ascii="Arial" w:eastAsia="Verdana" w:hAnsi="Arial" w:cs="Arial"/>
          <w:b/>
          <w:sz w:val="22"/>
        </w:rPr>
        <w:t>Збир тежинских коефицијената: 100%</w:t>
      </w:r>
    </w:p>
    <w:p w:rsidR="005761BD" w:rsidRPr="005761BD" w:rsidRDefault="005761BD" w:rsidP="005761BD">
      <w:pPr>
        <w:spacing w:line="210" w:lineRule="atLeast"/>
        <w:rPr>
          <w:rFonts w:ascii="Arial" w:hAnsi="Arial" w:cs="Arial"/>
        </w:rPr>
      </w:pPr>
      <w:r w:rsidRPr="005761BD">
        <w:rPr>
          <w:rFonts w:ascii="Arial" w:eastAsia="Verdana" w:hAnsi="Arial" w:cs="Arial"/>
          <w:b/>
          <w:sz w:val="22"/>
        </w:rPr>
        <w:t>ИЦЦП (збир свих показатеља): 7,35 на скали 0</w:t>
      </w:r>
      <w:r>
        <w:rPr>
          <w:rFonts w:ascii="Arial" w:eastAsia="Verdana" w:hAnsi="Arial" w:cs="Arial"/>
          <w:b/>
          <w:sz w:val="22"/>
        </w:rPr>
        <w:t>-</w:t>
      </w:r>
      <w:r w:rsidRPr="005761BD">
        <w:rPr>
          <w:rFonts w:ascii="Arial" w:eastAsia="Verdana" w:hAnsi="Arial" w:cs="Arial"/>
          <w:b/>
          <w:sz w:val="22"/>
        </w:rPr>
        <w:t>10 → 73,5/100 (нормализовано)</w:t>
      </w:r>
    </w:p>
    <w:p w:rsidR="005761BD" w:rsidRPr="005761BD" w:rsidRDefault="005761BD" w:rsidP="005761BD">
      <w:pPr>
        <w:spacing w:line="210" w:lineRule="atLeast"/>
        <w:rPr>
          <w:rFonts w:ascii="Arial" w:hAnsi="Arial" w:cs="Arial"/>
        </w:rPr>
      </w:pPr>
      <w:r w:rsidRPr="005761BD">
        <w:rPr>
          <w:rFonts w:ascii="Arial" w:eastAsia="Verdana" w:hAnsi="Arial" w:cs="Arial"/>
          <w:sz w:val="22"/>
        </w:rPr>
        <w:t>Табела 1.5. Квантификациона скала за оцењивање показатеља интегрисаног индекса циркуларних перформанси (ИЦЦП)</w:t>
      </w:r>
    </w:p>
    <w:tbl>
      <w:tblPr>
        <w:tblW w:w="4950" w:type="pct"/>
        <w:tblInd w:w="10" w:type="dxa"/>
        <w:tblCellMar>
          <w:left w:w="10" w:type="dxa"/>
          <w:right w:w="10" w:type="dxa"/>
        </w:tblCellMar>
        <w:tblLook w:val="04A0" w:firstRow="1" w:lastRow="0" w:firstColumn="1" w:lastColumn="0" w:noHBand="0" w:noVBand="1"/>
      </w:tblPr>
      <w:tblGrid>
        <w:gridCol w:w="1390"/>
        <w:gridCol w:w="704"/>
        <w:gridCol w:w="9293"/>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Опсег ИЦЦП (%)</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Оцена</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b/>
                <w:sz w:val="22"/>
              </w:rPr>
              <w:t>Опис перформанси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0 </w:t>
            </w:r>
            <w:r>
              <w:rPr>
                <w:rFonts w:ascii="Arial" w:eastAsia="Verdana" w:hAnsi="Arial" w:cs="Arial"/>
                <w:sz w:val="22"/>
              </w:rPr>
              <w:t>-</w:t>
            </w:r>
            <w:r w:rsidRPr="005761BD">
              <w:rPr>
                <w:rFonts w:ascii="Arial" w:eastAsia="Verdana" w:hAnsi="Arial" w:cs="Arial"/>
                <w:sz w:val="22"/>
              </w:rPr>
              <w:t xml:space="preserve"> 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Врло ниске перформансе </w:t>
            </w:r>
            <w:r>
              <w:rPr>
                <w:rFonts w:ascii="Arial" w:eastAsia="Verdana" w:hAnsi="Arial" w:cs="Arial"/>
                <w:sz w:val="22"/>
              </w:rPr>
              <w:t>-</w:t>
            </w:r>
            <w:r w:rsidRPr="005761BD">
              <w:rPr>
                <w:rFonts w:ascii="Arial" w:eastAsia="Verdana" w:hAnsi="Arial" w:cs="Arial"/>
                <w:sz w:val="22"/>
              </w:rPr>
              <w:t xml:space="preserve"> циркуларне праксе готово нису имплементиране, потребна је хитна интервенција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21 </w:t>
            </w:r>
            <w:r>
              <w:rPr>
                <w:rFonts w:ascii="Arial" w:eastAsia="Verdana" w:hAnsi="Arial" w:cs="Arial"/>
                <w:sz w:val="22"/>
              </w:rPr>
              <w:t>-</w:t>
            </w:r>
            <w:r w:rsidRPr="005761BD">
              <w:rPr>
                <w:rFonts w:ascii="Arial" w:eastAsia="Verdana" w:hAnsi="Arial" w:cs="Arial"/>
                <w:sz w:val="22"/>
              </w:rPr>
              <w:t xml:space="preserve"> 40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2</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Ниске перформансе </w:t>
            </w:r>
            <w:r>
              <w:rPr>
                <w:rFonts w:ascii="Arial" w:eastAsia="Verdana" w:hAnsi="Arial" w:cs="Arial"/>
                <w:sz w:val="22"/>
              </w:rPr>
              <w:t>-</w:t>
            </w:r>
            <w:r w:rsidRPr="005761BD">
              <w:rPr>
                <w:rFonts w:ascii="Arial" w:eastAsia="Verdana" w:hAnsi="Arial" w:cs="Arial"/>
                <w:sz w:val="22"/>
              </w:rPr>
              <w:t xml:space="preserve"> иницијативе постоје, али су ограничене и недовољно ефикасне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41 </w:t>
            </w:r>
            <w:r>
              <w:rPr>
                <w:rFonts w:ascii="Arial" w:eastAsia="Verdana" w:hAnsi="Arial" w:cs="Arial"/>
                <w:sz w:val="22"/>
              </w:rPr>
              <w:t>-</w:t>
            </w:r>
            <w:r w:rsidRPr="005761BD">
              <w:rPr>
                <w:rFonts w:ascii="Arial" w:eastAsia="Verdana" w:hAnsi="Arial" w:cs="Arial"/>
                <w:sz w:val="22"/>
              </w:rPr>
              <w:t xml:space="preserve"> 60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Средње перформансе </w:t>
            </w:r>
            <w:r>
              <w:rPr>
                <w:rFonts w:ascii="Arial" w:eastAsia="Verdana" w:hAnsi="Arial" w:cs="Arial"/>
                <w:sz w:val="22"/>
              </w:rPr>
              <w:t>-</w:t>
            </w:r>
            <w:r w:rsidRPr="005761BD">
              <w:rPr>
                <w:rFonts w:ascii="Arial" w:eastAsia="Verdana" w:hAnsi="Arial" w:cs="Arial"/>
                <w:sz w:val="22"/>
              </w:rPr>
              <w:t xml:space="preserve"> циркуларне праксе се примењују делимично, са простором за унапређење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61 </w:t>
            </w:r>
            <w:r>
              <w:rPr>
                <w:rFonts w:ascii="Arial" w:eastAsia="Verdana" w:hAnsi="Arial" w:cs="Arial"/>
                <w:sz w:val="22"/>
              </w:rPr>
              <w:t>-</w:t>
            </w:r>
            <w:r w:rsidRPr="005761BD">
              <w:rPr>
                <w:rFonts w:ascii="Arial" w:eastAsia="Verdana" w:hAnsi="Arial" w:cs="Arial"/>
                <w:sz w:val="22"/>
              </w:rPr>
              <w:t xml:space="preserve"> 80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4</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Високе перформансе </w:t>
            </w:r>
            <w:r>
              <w:rPr>
                <w:rFonts w:ascii="Arial" w:eastAsia="Verdana" w:hAnsi="Arial" w:cs="Arial"/>
                <w:sz w:val="22"/>
              </w:rPr>
              <w:t>-</w:t>
            </w:r>
            <w:r w:rsidRPr="005761BD">
              <w:rPr>
                <w:rFonts w:ascii="Arial" w:eastAsia="Verdana" w:hAnsi="Arial" w:cs="Arial"/>
                <w:sz w:val="22"/>
              </w:rPr>
              <w:t xml:space="preserve"> иницијативе су добро имплементиране и дају видљиве резултате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81 </w:t>
            </w:r>
            <w:r>
              <w:rPr>
                <w:rFonts w:ascii="Arial" w:eastAsia="Verdana" w:hAnsi="Arial" w:cs="Arial"/>
                <w:sz w:val="22"/>
              </w:rPr>
              <w:t>-</w:t>
            </w:r>
            <w:r w:rsidRPr="005761BD">
              <w:rPr>
                <w:rFonts w:ascii="Arial" w:eastAsia="Verdana" w:hAnsi="Arial" w:cs="Arial"/>
                <w:sz w:val="22"/>
              </w:rPr>
              <w:t xml:space="preserve"> 100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 xml:space="preserve">Врхунске перформансе </w:t>
            </w:r>
            <w:r>
              <w:rPr>
                <w:rFonts w:ascii="Arial" w:eastAsia="Verdana" w:hAnsi="Arial" w:cs="Arial"/>
                <w:sz w:val="22"/>
              </w:rPr>
              <w:t>-</w:t>
            </w:r>
            <w:r w:rsidRPr="005761BD">
              <w:rPr>
                <w:rFonts w:ascii="Arial" w:eastAsia="Verdana" w:hAnsi="Arial" w:cs="Arial"/>
                <w:sz w:val="22"/>
              </w:rPr>
              <w:t xml:space="preserve"> циркуларне праксе су потпуно интегрисане, са оптималним ефектима и континуираним унапређењем</w:t>
            </w:r>
          </w:p>
        </w:tc>
      </w:tr>
    </w:tbl>
    <w:p w:rsidR="005761BD" w:rsidRPr="005761BD" w:rsidRDefault="005761BD" w:rsidP="005761BD">
      <w:pPr>
        <w:spacing w:line="210" w:lineRule="atLeast"/>
        <w:jc w:val="center"/>
        <w:rPr>
          <w:rFonts w:ascii="Arial" w:hAnsi="Arial" w:cs="Arial"/>
        </w:rPr>
      </w:pPr>
      <w:r w:rsidRPr="005761BD">
        <w:rPr>
          <w:rFonts w:ascii="Arial" w:eastAsia="Verdana" w:hAnsi="Arial" w:cs="Arial"/>
          <w:i/>
          <w:sz w:val="22"/>
        </w:rPr>
        <w:t>1.3.5. Предлози за националну примену и праћење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Национална примена и праћење резултата представљају кључни предуслов за увођење свеобухватних и доследних мера циркуларне економије. Да би се остварио овај циљ, потребно је створити институционалне, техничке и кадровске предуслове који ће омогућити да предложени интегрисани приступ буде део системског оквира одлучивања на свим нивоима, од локалних заједница до државних органа.</w:t>
      </w:r>
    </w:p>
    <w:p w:rsidR="005761BD" w:rsidRPr="005761BD" w:rsidRDefault="005761BD" w:rsidP="005761BD">
      <w:pPr>
        <w:spacing w:line="210" w:lineRule="atLeast"/>
        <w:rPr>
          <w:rFonts w:ascii="Arial" w:hAnsi="Arial" w:cs="Arial"/>
        </w:rPr>
      </w:pPr>
      <w:r w:rsidRPr="005761BD">
        <w:rPr>
          <w:rFonts w:ascii="Arial" w:eastAsia="Verdana" w:hAnsi="Arial" w:cs="Arial"/>
          <w:sz w:val="22"/>
        </w:rPr>
        <w:lastRenderedPageBreak/>
        <w:t xml:space="preserve">Први корак у том процесу јесте успостављање </w:t>
      </w:r>
      <w:r w:rsidRPr="005761BD">
        <w:rPr>
          <w:rFonts w:ascii="Arial" w:eastAsia="Verdana" w:hAnsi="Arial" w:cs="Arial"/>
          <w:b/>
          <w:sz w:val="22"/>
        </w:rPr>
        <w:t>националних LCA база података</w:t>
      </w:r>
      <w:r w:rsidRPr="005761BD">
        <w:rPr>
          <w:rFonts w:ascii="Arial" w:eastAsia="Verdana" w:hAnsi="Arial" w:cs="Arial"/>
          <w:sz w:val="22"/>
        </w:rPr>
        <w:t>, које би служиле као званичан и верификован извор информација за све актере. Оне морају обухватити податке о материјалним и енергетским токовима, емисијама у ваздух, воду и земљиште, као и информације о крајњим фазама животног циклуса производа, укључујући поновну употребу, рециклажу или одлагање. Примена оваквих база омогућила би уједначавање методолошких приступа и резултата LCA анализа, чиме се обезбеђује њихова упоредивост унутар земље и са европским стандардима. Развој база захтева сарадњу научноистраживачких институција, привредних комора, државних агенција и локалних самоуправа, уз примену дигиталних алата и платформи које омогућавају интерактиван приступ подацима, при томе штитећи поверљиве информације.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Други корак је развој људских капацитета кроз обуку и сертификацију, чиме се обезбеђује да мере и анализе спроводе квалификовани и сертификовани стручњаци, што гарантује поузданост и међународно признавање резултата. Национални програми обуке треба да обухвате теоријске основе, стандардизоване методологије, рад са софтвером и тумачење резултата у контексту јавних политика и пословних стратегија. Тако обезбеђени капацитети стварају основу за континуирано учење и развој институција и појединаца, подстичу иновације у управљању ресурсима и пружају подршку за усвајање најбољих пракси циркуларне економије.</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Трећи корак односи се на </w:t>
      </w:r>
      <w:r w:rsidRPr="005761BD">
        <w:rPr>
          <w:rFonts w:ascii="Arial" w:eastAsia="Verdana" w:hAnsi="Arial" w:cs="Arial"/>
          <w:b/>
          <w:sz w:val="22"/>
        </w:rPr>
        <w:t>интеграцију LCA у локалне ЦЕ стратегије</w:t>
      </w:r>
      <w:r w:rsidRPr="005761BD">
        <w:rPr>
          <w:rFonts w:ascii="Arial" w:eastAsia="Verdana" w:hAnsi="Arial" w:cs="Arial"/>
          <w:sz w:val="22"/>
        </w:rPr>
        <w:t xml:space="preserve"> и у PDCA (Plan</w:t>
      </w:r>
      <w:r>
        <w:rPr>
          <w:rFonts w:ascii="Arial" w:eastAsia="Verdana" w:hAnsi="Arial" w:cs="Arial"/>
          <w:sz w:val="22"/>
        </w:rPr>
        <w:t>-</w:t>
      </w:r>
      <w:r w:rsidRPr="005761BD">
        <w:rPr>
          <w:rFonts w:ascii="Arial" w:eastAsia="Verdana" w:hAnsi="Arial" w:cs="Arial"/>
          <w:sz w:val="22"/>
        </w:rPr>
        <w:t>Do</w:t>
      </w:r>
      <w:r>
        <w:rPr>
          <w:rFonts w:ascii="Arial" w:eastAsia="Verdana" w:hAnsi="Arial" w:cs="Arial"/>
          <w:sz w:val="22"/>
        </w:rPr>
        <w:t>-</w:t>
      </w:r>
      <w:r w:rsidRPr="005761BD">
        <w:rPr>
          <w:rFonts w:ascii="Arial" w:eastAsia="Verdana" w:hAnsi="Arial" w:cs="Arial"/>
          <w:sz w:val="22"/>
        </w:rPr>
        <w:t>Check</w:t>
      </w:r>
      <w:r>
        <w:rPr>
          <w:rFonts w:ascii="Arial" w:eastAsia="Verdana" w:hAnsi="Arial" w:cs="Arial"/>
          <w:sz w:val="22"/>
        </w:rPr>
        <w:t>-</w:t>
      </w:r>
      <w:r w:rsidRPr="005761BD">
        <w:rPr>
          <w:rFonts w:ascii="Arial" w:eastAsia="Verdana" w:hAnsi="Arial" w:cs="Arial"/>
          <w:sz w:val="22"/>
        </w:rPr>
        <w:t>Act) оквир. У фази</w:t>
      </w:r>
      <w:r>
        <w:rPr>
          <w:rFonts w:ascii="Arial" w:eastAsia="Verdana" w:hAnsi="Arial" w:cs="Arial"/>
          <w:sz w:val="22"/>
        </w:rPr>
        <w:t>,</w:t>
      </w:r>
      <w:r w:rsidRPr="005761BD">
        <w:rPr>
          <w:rFonts w:ascii="Arial" w:eastAsia="Verdana" w:hAnsi="Arial" w:cs="Arial"/>
          <w:sz w:val="22"/>
        </w:rPr>
        <w:t>,Plan</w:t>
      </w:r>
      <w:r>
        <w:rPr>
          <w:rFonts w:ascii="Arial" w:eastAsia="Verdana" w:hAnsi="Arial" w:cs="Arial"/>
          <w:sz w:val="22"/>
        </w:rPr>
        <w:t>"</w:t>
      </w:r>
      <w:r w:rsidRPr="005761BD">
        <w:rPr>
          <w:rFonts w:ascii="Arial" w:eastAsia="Verdana" w:hAnsi="Arial" w:cs="Arial"/>
          <w:sz w:val="22"/>
        </w:rPr>
        <w:t xml:space="preserve"> LCA помаже у избору најбољих мера за смањење еколошког отиска и унапређење унутрашњих процеса, на основу упоредне анализе више могућих решења. Фаза</w:t>
      </w:r>
      <w:r>
        <w:rPr>
          <w:rFonts w:ascii="Arial" w:eastAsia="Verdana" w:hAnsi="Arial" w:cs="Arial"/>
          <w:sz w:val="22"/>
        </w:rPr>
        <w:t>,</w:t>
      </w:r>
      <w:r w:rsidRPr="005761BD">
        <w:rPr>
          <w:rFonts w:ascii="Arial" w:eastAsia="Verdana" w:hAnsi="Arial" w:cs="Arial"/>
          <w:sz w:val="22"/>
        </w:rPr>
        <w:t>,Do</w:t>
      </w:r>
      <w:r>
        <w:rPr>
          <w:rFonts w:ascii="Arial" w:eastAsia="Verdana" w:hAnsi="Arial" w:cs="Arial"/>
          <w:sz w:val="22"/>
        </w:rPr>
        <w:t>"</w:t>
      </w:r>
      <w:r w:rsidRPr="005761BD">
        <w:rPr>
          <w:rFonts w:ascii="Arial" w:eastAsia="Verdana" w:hAnsi="Arial" w:cs="Arial"/>
          <w:sz w:val="22"/>
        </w:rPr>
        <w:t xml:space="preserve"> омогућава прикупљање релевантних података током имплементације, док се у</w:t>
      </w:r>
      <w:r>
        <w:rPr>
          <w:rFonts w:ascii="Arial" w:eastAsia="Verdana" w:hAnsi="Arial" w:cs="Arial"/>
          <w:sz w:val="22"/>
        </w:rPr>
        <w:t>,</w:t>
      </w:r>
      <w:r w:rsidRPr="005761BD">
        <w:rPr>
          <w:rFonts w:ascii="Arial" w:eastAsia="Verdana" w:hAnsi="Arial" w:cs="Arial"/>
          <w:sz w:val="22"/>
        </w:rPr>
        <w:t>,Check</w:t>
      </w:r>
      <w:r>
        <w:rPr>
          <w:rFonts w:ascii="Arial" w:eastAsia="Verdana" w:hAnsi="Arial" w:cs="Arial"/>
          <w:sz w:val="22"/>
        </w:rPr>
        <w:t>"</w:t>
      </w:r>
      <w:r w:rsidRPr="005761BD">
        <w:rPr>
          <w:rFonts w:ascii="Arial" w:eastAsia="Verdana" w:hAnsi="Arial" w:cs="Arial"/>
          <w:sz w:val="22"/>
        </w:rPr>
        <w:t xml:space="preserve"> фази врши анализа постигнутих резултата у складу са очекивањима заинтересованих страна, грађана и привреде. Коначно, у</w:t>
      </w:r>
      <w:r>
        <w:rPr>
          <w:rFonts w:ascii="Arial" w:eastAsia="Verdana" w:hAnsi="Arial" w:cs="Arial"/>
          <w:sz w:val="22"/>
        </w:rPr>
        <w:t>,</w:t>
      </w:r>
      <w:r w:rsidRPr="005761BD">
        <w:rPr>
          <w:rFonts w:ascii="Arial" w:eastAsia="Verdana" w:hAnsi="Arial" w:cs="Arial"/>
          <w:sz w:val="22"/>
        </w:rPr>
        <w:t>,Act</w:t>
      </w:r>
      <w:r>
        <w:rPr>
          <w:rFonts w:ascii="Arial" w:eastAsia="Verdana" w:hAnsi="Arial" w:cs="Arial"/>
          <w:sz w:val="22"/>
        </w:rPr>
        <w:t>"</w:t>
      </w:r>
      <w:r w:rsidRPr="005761BD">
        <w:rPr>
          <w:rFonts w:ascii="Arial" w:eastAsia="Verdana" w:hAnsi="Arial" w:cs="Arial"/>
          <w:sz w:val="22"/>
        </w:rPr>
        <w:t xml:space="preserve"> фази резултати LCA користе се за унапређење мера и планирање нових активности, обезбеђујући континуирано побољшање, усклађеност са циљевима одрживог развоја и транспарентност у одлучивању.</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Да би овај процес био потпуно функционалан, </w:t>
      </w:r>
      <w:r w:rsidRPr="005761BD">
        <w:rPr>
          <w:rFonts w:ascii="Arial" w:eastAsia="Verdana" w:hAnsi="Arial" w:cs="Arial"/>
          <w:b/>
          <w:sz w:val="22"/>
        </w:rPr>
        <w:t>Balanced Scorecard (BSC) карта</w:t>
      </w:r>
      <w:r w:rsidRPr="005761BD">
        <w:rPr>
          <w:rFonts w:ascii="Arial" w:eastAsia="Verdana" w:hAnsi="Arial" w:cs="Arial"/>
          <w:sz w:val="22"/>
        </w:rPr>
        <w:t xml:space="preserve"> се интегрише као стратешки алат за праћење и управљање циркуларним перформансама. Резултати LCA се повезују са BSC перспективама тако да финансијска перспектива омогућава праћење уштеда и ефикасности ресурса, перспектива корисника обезбеђује да заинтересоване стране и грађани разумеју ефекте мера, унутрашњи процеси фокусирају се на оптимизацију материјалних и енергетских токова и повећање стопе рециклаже, док перспектива учења и развоја води ка развоју компетенција, подстицању иновација и унапређењу аналитичких и управљачких алата.</w:t>
      </w:r>
    </w:p>
    <w:p w:rsidR="005761BD" w:rsidRPr="005761BD" w:rsidRDefault="005761BD" w:rsidP="005761BD">
      <w:pPr>
        <w:spacing w:line="210" w:lineRule="atLeast"/>
        <w:rPr>
          <w:rFonts w:ascii="Arial" w:hAnsi="Arial" w:cs="Arial"/>
        </w:rPr>
      </w:pPr>
      <w:r w:rsidRPr="005761BD">
        <w:rPr>
          <w:rFonts w:ascii="Arial" w:eastAsia="Verdana" w:hAnsi="Arial" w:cs="Arial"/>
          <w:sz w:val="22"/>
        </w:rPr>
        <w:t xml:space="preserve">Интеграција LCA, BSC и PDCA у заједнички </w:t>
      </w:r>
      <w:r w:rsidRPr="005761BD">
        <w:rPr>
          <w:rFonts w:ascii="Arial" w:eastAsia="Verdana" w:hAnsi="Arial" w:cs="Arial"/>
          <w:b/>
          <w:sz w:val="22"/>
        </w:rPr>
        <w:t>интегрисани модел</w:t>
      </w:r>
      <w:r w:rsidRPr="005761BD">
        <w:rPr>
          <w:rFonts w:ascii="Arial" w:eastAsia="Verdana" w:hAnsi="Arial" w:cs="Arial"/>
          <w:sz w:val="22"/>
        </w:rPr>
        <w:t xml:space="preserve"> омогућава систематско прикупљање, анализу и визуализацију података, праћење напретка у реалном времену и доношење одлука заснованих на доказима.</w:t>
      </w:r>
    </w:p>
    <w:p w:rsidR="005761BD" w:rsidRPr="005761BD" w:rsidRDefault="005761BD" w:rsidP="005761BD">
      <w:pPr>
        <w:spacing w:line="210" w:lineRule="atLeast"/>
        <w:jc w:val="right"/>
        <w:rPr>
          <w:rFonts w:ascii="Arial" w:hAnsi="Arial" w:cs="Arial"/>
        </w:rPr>
      </w:pPr>
      <w:r w:rsidRPr="005761BD">
        <w:rPr>
          <w:rFonts w:ascii="Arial" w:eastAsia="Verdana" w:hAnsi="Arial" w:cs="Arial"/>
          <w:b/>
          <w:sz w:val="22"/>
        </w:rPr>
        <w:t>ПРИЛОГ 3.</w:t>
      </w:r>
    </w:p>
    <w:p w:rsidR="005761BD" w:rsidRPr="005761BD" w:rsidRDefault="005761BD" w:rsidP="005761BD">
      <w:pPr>
        <w:spacing w:line="210" w:lineRule="atLeast"/>
        <w:jc w:val="center"/>
        <w:rPr>
          <w:rFonts w:ascii="Arial" w:hAnsi="Arial" w:cs="Arial"/>
        </w:rPr>
      </w:pPr>
      <w:r w:rsidRPr="005761BD">
        <w:rPr>
          <w:rFonts w:ascii="Arial" w:eastAsia="Verdana" w:hAnsi="Arial" w:cs="Arial"/>
          <w:sz w:val="22"/>
        </w:rPr>
        <w:t>ЛИСТА СКРАЋЕНИЦА</w:t>
      </w:r>
    </w:p>
    <w:tbl>
      <w:tblPr>
        <w:tblW w:w="4950" w:type="pct"/>
        <w:tblInd w:w="10" w:type="dxa"/>
        <w:tblCellMar>
          <w:left w:w="10" w:type="dxa"/>
          <w:right w:w="10" w:type="dxa"/>
        </w:tblCellMar>
        <w:tblLook w:val="04A0" w:firstRow="1" w:lastRow="0" w:firstColumn="1" w:lastColumn="0" w:noHBand="0" w:noVBand="1"/>
      </w:tblPr>
      <w:tblGrid>
        <w:gridCol w:w="980"/>
        <w:gridCol w:w="10407"/>
      </w:tblGrid>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АЗЖС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Агенција за заштиту животне средине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БДП</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Бруто домаћи производ</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BSC</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Balanced Scorecard (Избалансирана карта резултата)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CEAP 2.0</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Circular Economy Action Plan (Акциони план за циркуларну економију)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GHG</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Greenhouse gases (Гасови са ефектом стаклене баште)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GWP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Global Warming Potential (Глобално загревање)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ECESP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European Circular Economy Stakeholder Platform (Европска платформа заинтересованих страна у циркуларној економији)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ЕМАS</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EcoManagement and Audit Scheme (Шема екоменаџмента и провере)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EPR</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Extended Producer Responsibility (Проширена одговорност произвођача)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ESG</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Environmental, Social, Corporate Governance (Нефинансијско извештавање)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ESPR</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Ecodesign for Sustainable Products Regulation (Регулатива о еко-дизајну одрживих производа)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EQF</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European Qualifications Framework (Европски квалификациони оквир)</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ЗеЈН</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Зелене јавне набавке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ИИЦП</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Интегрисан индекс циркуларних перформанси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ИИС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Индекс индустријске симбиозе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Индустријска симбиоза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ИСЛЗ</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Индекс симбиозе локалних заједница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ISO</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International Organization for Standardization (Међународна организација за стандардизацију)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ИСС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Институт за стандардизацију Србије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ЈИС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Јединствени информациони систем</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ЈЛС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Јединица локалне самоуправе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ЈН</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Јавне набавке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КЈН</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Канцеларија за јавне набавке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LCA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Life Cycle Assessment (Процена животног циклуса)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LCI</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Анализа улазно-излазних токова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LCIA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Процена утицаја на животну средину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МЗЖС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заштите животне средине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МПР</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привреде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МП</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просвете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МНТРИ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науке, технолошког развоја и иновација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МПШВ</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пољопривреде, шумарства и водопривреде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МТО</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туризма и омладине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МУСТ</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унутрашње и спољне трговине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МФ</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финансија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МДУЛС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Министарство државне управе и локалне самоуправе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NALED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Национална алијанса за локални економски развој</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NESD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New Economies for Sustainable Development (Нове економије одрживог развоја)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lastRenderedPageBreak/>
              <w:t>НИО</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Научно истраживачке организације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НТП</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Научно-технолошки паркови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OECD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Organisation for Economic Co-operation and Development(Организацију за економску сарадњу и развој)</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ОИ</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Образовне институције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PDCA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Plan-Do-Check-Act циклус</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ПКС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Привредна комора Србије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РЗС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Републички завод за статистику</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SDG</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Циљеви одрживог развоја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STEP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Structured Transition and Exchange Partnership Dialogue (Структурисани дијалог о транзицији и партнерству за размену искустава)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SUPD</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Single-Use Plastics Directive, Директива о једнократној пластици</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СКГО</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Стална конференција градова и општина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ТОС</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Туристичка организација Србије</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UNDP</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United Nations Development Programme</w:t>
            </w:r>
            <w:r>
              <w:rPr>
                <w:rFonts w:ascii="Arial" w:eastAsia="Verdana" w:hAnsi="Arial" w:cs="Arial"/>
                <w:sz w:val="22"/>
              </w:rPr>
              <w:t xml:space="preserve"> </w:t>
            </w:r>
            <w:r w:rsidRPr="005761BD">
              <w:rPr>
                <w:rFonts w:ascii="Arial" w:eastAsia="Verdana" w:hAnsi="Arial" w:cs="Arial"/>
                <w:sz w:val="22"/>
              </w:rPr>
              <w:t>(Програм Уједињених нација за развој)</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ЦЕ</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Циркуларна економија</w:t>
            </w:r>
          </w:p>
        </w:tc>
      </w:tr>
      <w:tr w:rsidR="005761BD" w:rsidRPr="005761BD" w:rsidTr="00CF3A2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HORECA</w:t>
            </w:r>
          </w:p>
        </w:tc>
        <w:tc>
          <w:tcPr>
            <w:tcW w:w="0" w:type="auto"/>
            <w:tcBorders>
              <w:top w:val="single" w:sz="1" w:space="0" w:color="000000"/>
              <w:left w:val="single" w:sz="1" w:space="0" w:color="000000"/>
              <w:bottom w:val="single" w:sz="1" w:space="0" w:color="000000"/>
              <w:right w:val="single" w:sz="1" w:space="0" w:color="000000"/>
            </w:tcBorders>
          </w:tcPr>
          <w:p w:rsidR="005761BD" w:rsidRPr="005761BD" w:rsidRDefault="005761BD" w:rsidP="00CF3A2D">
            <w:pPr>
              <w:spacing w:line="210" w:lineRule="atLeast"/>
              <w:rPr>
                <w:rFonts w:ascii="Arial" w:hAnsi="Arial" w:cs="Arial"/>
              </w:rPr>
            </w:pPr>
            <w:r w:rsidRPr="005761BD">
              <w:rPr>
                <w:rFonts w:ascii="Arial" w:eastAsia="Verdana" w:hAnsi="Arial" w:cs="Arial"/>
                <w:sz w:val="22"/>
              </w:rPr>
              <w:t>Хотели, ресторани, кафићи и кетеринг</w:t>
            </w:r>
          </w:p>
        </w:tc>
      </w:tr>
    </w:tbl>
    <w:p w:rsidR="005761BD" w:rsidRDefault="005761BD" w:rsidP="005761BD">
      <w:pPr>
        <w:rPr>
          <w:rFonts w:ascii="Arial" w:hAnsi="Arial" w:cs="Arial"/>
        </w:rPr>
      </w:pPr>
    </w:p>
    <w:p w:rsidR="00D04BC7" w:rsidRPr="005761BD" w:rsidRDefault="00D04BC7" w:rsidP="00D04BC7">
      <w:pPr>
        <w:spacing w:line="210" w:lineRule="atLeast"/>
        <w:rPr>
          <w:rFonts w:ascii="Arial" w:hAnsi="Arial" w:cs="Arial"/>
          <w:sz w:val="20"/>
          <w:szCs w:val="20"/>
        </w:rPr>
      </w:pPr>
    </w:p>
    <w:sectPr w:rsidR="00D04BC7" w:rsidRPr="005761BD" w:rsidSect="005761BD">
      <w:footerReference w:type="default" r:id="rId8"/>
      <w:pgSz w:w="12480" w:h="15710"/>
      <w:pgMar w:top="380" w:right="431" w:bottom="280" w:left="567" w:header="720" w:footer="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3D" w:rsidRPr="005761BD" w:rsidRDefault="00562731" w:rsidP="005761BD">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5761BD">
      <w:rPr>
        <w:caps/>
        <w:color w:val="5B9BD5"/>
      </w:rPr>
      <w:t>4</w:t>
    </w:r>
    <w:r w:rsidRPr="00562731">
      <w:rPr>
        <w:caps/>
        <w:color w:val="5B9BD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25D8B"/>
    <w:rsid w:val="0003065A"/>
    <w:rsid w:val="0004642A"/>
    <w:rsid w:val="000D43CC"/>
    <w:rsid w:val="000E41A0"/>
    <w:rsid w:val="001749E2"/>
    <w:rsid w:val="00251BA3"/>
    <w:rsid w:val="002A0BD4"/>
    <w:rsid w:val="002E296A"/>
    <w:rsid w:val="003C0E07"/>
    <w:rsid w:val="003F36D1"/>
    <w:rsid w:val="00404EB1"/>
    <w:rsid w:val="00426874"/>
    <w:rsid w:val="004877B7"/>
    <w:rsid w:val="00497C37"/>
    <w:rsid w:val="004B4B91"/>
    <w:rsid w:val="004D01F0"/>
    <w:rsid w:val="004D039A"/>
    <w:rsid w:val="004F5E00"/>
    <w:rsid w:val="00541D17"/>
    <w:rsid w:val="00562731"/>
    <w:rsid w:val="005761BD"/>
    <w:rsid w:val="005E6332"/>
    <w:rsid w:val="0061486B"/>
    <w:rsid w:val="00634D8B"/>
    <w:rsid w:val="00647116"/>
    <w:rsid w:val="00691AEF"/>
    <w:rsid w:val="00703B45"/>
    <w:rsid w:val="00745084"/>
    <w:rsid w:val="00767A56"/>
    <w:rsid w:val="00770E38"/>
    <w:rsid w:val="007A331F"/>
    <w:rsid w:val="007B35E1"/>
    <w:rsid w:val="007B3672"/>
    <w:rsid w:val="007D3A7B"/>
    <w:rsid w:val="007D4D4A"/>
    <w:rsid w:val="00806E64"/>
    <w:rsid w:val="00834961"/>
    <w:rsid w:val="0087547F"/>
    <w:rsid w:val="008A4389"/>
    <w:rsid w:val="0093171D"/>
    <w:rsid w:val="00942B01"/>
    <w:rsid w:val="00944E3C"/>
    <w:rsid w:val="00A046BD"/>
    <w:rsid w:val="00A1695E"/>
    <w:rsid w:val="00A31AF5"/>
    <w:rsid w:val="00A412D4"/>
    <w:rsid w:val="00A671C8"/>
    <w:rsid w:val="00AF0D68"/>
    <w:rsid w:val="00AF1260"/>
    <w:rsid w:val="00AF261C"/>
    <w:rsid w:val="00B60037"/>
    <w:rsid w:val="00B83346"/>
    <w:rsid w:val="00B8699F"/>
    <w:rsid w:val="00B913D9"/>
    <w:rsid w:val="00BE73FA"/>
    <w:rsid w:val="00C14DDD"/>
    <w:rsid w:val="00C24548"/>
    <w:rsid w:val="00C7284F"/>
    <w:rsid w:val="00D02513"/>
    <w:rsid w:val="00D04BC7"/>
    <w:rsid w:val="00D064CB"/>
    <w:rsid w:val="00D13326"/>
    <w:rsid w:val="00E91BA1"/>
    <w:rsid w:val="00E94200"/>
    <w:rsid w:val="00F00E8A"/>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CBF3E8"/>
  <w15:docId w15:val="{C5865AAC-39B5-4192-97DD-CB34BE58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BD"/>
    <w:pPr>
      <w:spacing w:before="120" w:after="120"/>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077705511">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81</Pages>
  <Words>48592</Words>
  <Characters>276977</Characters>
  <Application>Microsoft Office Word</Application>
  <DocSecurity>0</DocSecurity>
  <Lines>2308</Lines>
  <Paragraphs>649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324920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Zeka</dc:creator>
  <cp:lastModifiedBy>Zeka</cp:lastModifiedBy>
  <cp:revision>3</cp:revision>
  <dcterms:created xsi:type="dcterms:W3CDTF">2026-05-06T07:10:00Z</dcterms:created>
  <dcterms:modified xsi:type="dcterms:W3CDTF">2026-05-06T07:14:00Z</dcterms:modified>
</cp:coreProperties>
</file>