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EEAF6"/>
  <w:body>
    <w:tbl>
      <w:tblPr>
        <w:tblW w:w="4961"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62"/>
        <w:gridCol w:w="10450"/>
      </w:tblGrid>
      <w:tr w:rsidR="00D13326" w:rsidRPr="004D01F0" w:rsidTr="005761BD">
        <w:trPr>
          <w:tblCellSpacing w:w="15" w:type="dxa"/>
        </w:trPr>
        <w:tc>
          <w:tcPr>
            <w:tcW w:w="442" w:type="pct"/>
            <w:shd w:val="clear" w:color="auto" w:fill="A41E1C"/>
            <w:vAlign w:val="center"/>
          </w:tcPr>
          <w:p w:rsidR="00D13326" w:rsidRPr="004D01F0" w:rsidRDefault="00F00E8A" w:rsidP="0041610E">
            <w:pPr>
              <w:pStyle w:val="NASLOVZLATO"/>
              <w:rPr>
                <w:sz w:val="20"/>
                <w:szCs w:val="20"/>
              </w:rPr>
            </w:pPr>
            <w:r>
              <w:rPr>
                <w:sz w:val="20"/>
                <w:szCs w:val="20"/>
                <w:lang w:val="en-US" w:eastAsia="en-US"/>
              </w:rPr>
              <w:drawing>
                <wp:inline distT="0" distB="0" distL="0" distR="0">
                  <wp:extent cx="517525" cy="560705"/>
                  <wp:effectExtent l="0" t="0" r="0" b="0"/>
                  <wp:docPr id="1" name="Picture 1"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7525" cy="560705"/>
                          </a:xfrm>
                          <a:prstGeom prst="rect">
                            <a:avLst/>
                          </a:prstGeom>
                          <a:noFill/>
                          <a:ln>
                            <a:noFill/>
                          </a:ln>
                        </pic:spPr>
                      </pic:pic>
                    </a:graphicData>
                  </a:graphic>
                </wp:inline>
              </w:drawing>
            </w:r>
          </w:p>
        </w:tc>
        <w:tc>
          <w:tcPr>
            <w:tcW w:w="4519" w:type="pct"/>
            <w:shd w:val="clear" w:color="auto" w:fill="A41E1C"/>
            <w:vAlign w:val="center"/>
            <w:hideMark/>
          </w:tcPr>
          <w:p w:rsidR="003527C5" w:rsidRPr="003527C5" w:rsidRDefault="003527C5" w:rsidP="003527C5">
            <w:pPr>
              <w:pStyle w:val="NASLOVBELO"/>
              <w:spacing w:line="360" w:lineRule="auto"/>
              <w:rPr>
                <w:color w:val="FFE599"/>
                <w:lang w:val="sr-Cyrl-RS"/>
              </w:rPr>
            </w:pPr>
            <w:r w:rsidRPr="003527C5">
              <w:rPr>
                <w:color w:val="FFE599"/>
              </w:rPr>
              <w:t>ПРАВИЛНИК</w:t>
            </w:r>
            <w:r w:rsidR="005761BD" w:rsidRPr="005761BD">
              <w:rPr>
                <w:color w:val="FFE599"/>
              </w:rPr>
              <w:t xml:space="preserve"> </w:t>
            </w:r>
          </w:p>
          <w:p w:rsidR="00D13326" w:rsidRPr="004D01F0" w:rsidRDefault="003527C5" w:rsidP="003527C5">
            <w:pPr>
              <w:pStyle w:val="NASLOVBELO"/>
            </w:pPr>
            <w:r>
              <w:t>О УТВРЂИВАЊУ ПРОГРАМА МОНИТОРИНГА БЕЗБЕДНОСТИ ХРАНЕ ЗА ЖИВОТИЊЕ ЗА 2026. ГОДИНУ</w:t>
            </w:r>
          </w:p>
          <w:p w:rsidR="00D13326" w:rsidRPr="004D01F0" w:rsidRDefault="00B913D9" w:rsidP="007B0FCB">
            <w:pPr>
              <w:pStyle w:val="podnaslovpropisa"/>
              <w:rPr>
                <w:sz w:val="18"/>
                <w:szCs w:val="18"/>
              </w:rPr>
            </w:pPr>
            <w:r w:rsidRPr="00B913D9">
              <w:rPr>
                <w:sz w:val="18"/>
                <w:szCs w:val="18"/>
              </w:rPr>
              <w:t xml:space="preserve">("Сл. гласник РС", бр. </w:t>
            </w:r>
            <w:r w:rsidR="005761BD">
              <w:rPr>
                <w:sz w:val="18"/>
                <w:szCs w:val="18"/>
              </w:rPr>
              <w:t>4</w:t>
            </w:r>
            <w:r w:rsidR="007B0FCB">
              <w:rPr>
                <w:sz w:val="18"/>
                <w:szCs w:val="18"/>
                <w:lang w:val="sr-Cyrl-RS"/>
              </w:rPr>
              <w:t>5</w:t>
            </w:r>
            <w:r w:rsidR="00C24548">
              <w:rPr>
                <w:sz w:val="18"/>
                <w:szCs w:val="18"/>
                <w:lang w:val="sr-Cyrl-RS"/>
              </w:rPr>
              <w:t>/2026</w:t>
            </w:r>
            <w:r w:rsidRPr="00B913D9">
              <w:rPr>
                <w:sz w:val="18"/>
                <w:szCs w:val="18"/>
              </w:rPr>
              <w:t>)</w:t>
            </w:r>
          </w:p>
        </w:tc>
      </w:tr>
    </w:tbl>
    <w:p w:rsidR="003527C5" w:rsidRPr="003527C5" w:rsidRDefault="003527C5" w:rsidP="007B0FCB">
      <w:pPr>
        <w:spacing w:before="330" w:after="0"/>
        <w:ind w:firstLine="480"/>
        <w:jc w:val="center"/>
        <w:rPr>
          <w:rFonts w:ascii="Arial" w:eastAsia="Times New Roman" w:hAnsi="Arial" w:cs="Arial"/>
          <w:noProof w:val="0"/>
          <w:color w:val="333333"/>
          <w:lang w:val="en-US"/>
        </w:rPr>
      </w:pPr>
      <w:r w:rsidRPr="003527C5">
        <w:rPr>
          <w:rFonts w:ascii="Arial" w:eastAsia="Times New Roman" w:hAnsi="Arial" w:cs="Arial"/>
          <w:noProof w:val="0"/>
          <w:color w:val="333333"/>
          <w:lang w:val="en-US"/>
        </w:rPr>
        <w:t>ПРОГРАМ МОНИТОРИНГА</w:t>
      </w:r>
      <w:r w:rsidRPr="003527C5">
        <w:rPr>
          <w:rFonts w:ascii="Arial" w:eastAsia="Times New Roman" w:hAnsi="Arial" w:cs="Arial"/>
          <w:noProof w:val="0"/>
          <w:color w:val="333333"/>
          <w:lang w:val="en-US"/>
        </w:rPr>
        <w:br/>
        <w:t>БЕЗБЕДНОСТИ ХРАНЕ ЗА ЖИВОТИЊЕ ЗА 2026. ГОДИНУ</w:t>
      </w:r>
    </w:p>
    <w:p w:rsidR="003527C5" w:rsidRPr="003527C5" w:rsidRDefault="003527C5" w:rsidP="007B0FCB">
      <w:pPr>
        <w:spacing w:before="330"/>
        <w:ind w:firstLine="480"/>
        <w:jc w:val="center"/>
        <w:rPr>
          <w:rFonts w:ascii="Arial" w:eastAsia="Times New Roman" w:hAnsi="Arial" w:cs="Arial"/>
          <w:b/>
          <w:bCs/>
          <w:noProof w:val="0"/>
          <w:color w:val="333333"/>
          <w:lang w:val="en-US"/>
        </w:rPr>
      </w:pPr>
      <w:r w:rsidRPr="003527C5">
        <w:rPr>
          <w:rFonts w:ascii="Arial" w:eastAsia="Times New Roman" w:hAnsi="Arial" w:cs="Arial"/>
          <w:b/>
          <w:bCs/>
          <w:noProof w:val="0"/>
          <w:color w:val="333333"/>
          <w:lang w:val="en-US"/>
        </w:rPr>
        <w:t>I. Потребна средства за финансирање Програма мониторинга</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Потребна средства за финансирање Програма мониторинга безбедности хране за животиње за 2026. годину обезбеђена су Законом о буџету Републике Србије за 2026. годину („Службени гласник РС”, број 108/25), у оквиру Раздела 24 – Министарство пољопривреде, шумарства и водопривреде, Глава 24.1 – Управа за ветерину, Програм 0109 – Безбедност хране, ветеринарска и фитосанитарна политика, Функција 760 – Здравство некласификовано на другом месту, Програмска активност/пројекат 0002 – Безбедност хране животињског порекла и хране за животиње, Економска класификација 451 – Субвенције јавним нефинансијским предузећима и организацијама у износу од 250.000.000 динара.</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Укупна средства са наведене економске класификације у износу од 250.000.000 динара расподељена су и користе се у складу са Закључком Владе о усвајању Програма распореда и коришћења средстава субвенција у области ветерине за 2026. годину, 05 број 401-493/2026-1 од 22. јануара 2026. године, од чега за Програм мониторинга безбедности хране животињског порекла и хране за животиње у износу од 89.000.000 динара, од којих за Програм мониторинга безбедности хране за животиње за 2026. годину у износу од 7.000.000 динара.</w:t>
      </w:r>
    </w:p>
    <w:p w:rsidR="003527C5" w:rsidRPr="003527C5" w:rsidRDefault="003527C5" w:rsidP="007B0FCB">
      <w:pPr>
        <w:spacing w:before="330"/>
        <w:ind w:firstLine="480"/>
        <w:jc w:val="center"/>
        <w:rPr>
          <w:rFonts w:ascii="Arial" w:eastAsia="Times New Roman" w:hAnsi="Arial" w:cs="Arial"/>
          <w:b/>
          <w:bCs/>
          <w:noProof w:val="0"/>
          <w:color w:val="333333"/>
          <w:lang w:val="en-US"/>
        </w:rPr>
      </w:pPr>
      <w:r w:rsidRPr="003527C5">
        <w:rPr>
          <w:rFonts w:ascii="Arial" w:eastAsia="Times New Roman" w:hAnsi="Arial" w:cs="Arial"/>
          <w:b/>
          <w:bCs/>
          <w:noProof w:val="0"/>
          <w:color w:val="333333"/>
          <w:lang w:val="en-US"/>
        </w:rPr>
        <w:t>II. Мере које се предузимају у случају неусаглашених резултата испитивања у погледу присуства микробиолошких, хемијских и биолошких контаминената</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У случају неусаглашених резултата испитивања у погледу погледу присуства микробиолошких, хемијских и биолошких контаминената спроводе се:</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1) активности како би се осигурало да субјекат у пословању храном за животиње исправи недостатак, узимајући у обзир природу неусаглашености и претходне случајеве неусаглашености истог субјекта у пословању;</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2) мере, укључујући узимање службеног узорка ако је потребно, како би се осигурала безбедност хране за животиње и усаглашеност са прописима о храни за животиње;</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3) забране промета хране за животиње ако је примењиво;</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4) мере којима се дозвољава употребa хране за животиње у сврху која се разликује од њене првобитне намене;</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5) мере којима се привремено забрањује употреба објекта, просторија, опреме на одређени временски период;</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6) друге мере и предузимају друге одговарајуће радње.</w:t>
      </w:r>
    </w:p>
    <w:p w:rsidR="003527C5" w:rsidRPr="003527C5" w:rsidRDefault="003527C5" w:rsidP="007B0FCB">
      <w:pPr>
        <w:spacing w:before="330"/>
        <w:ind w:firstLine="480"/>
        <w:jc w:val="center"/>
        <w:rPr>
          <w:rFonts w:ascii="Arial" w:eastAsia="Times New Roman" w:hAnsi="Arial" w:cs="Arial"/>
          <w:b/>
          <w:bCs/>
          <w:noProof w:val="0"/>
          <w:color w:val="333333"/>
          <w:lang w:val="en-US"/>
        </w:rPr>
      </w:pPr>
      <w:r w:rsidRPr="003527C5">
        <w:rPr>
          <w:rFonts w:ascii="Arial" w:eastAsia="Times New Roman" w:hAnsi="Arial" w:cs="Arial"/>
          <w:b/>
          <w:bCs/>
          <w:noProof w:val="0"/>
          <w:color w:val="333333"/>
          <w:lang w:val="en-US"/>
        </w:rPr>
        <w:t>III. Структура органа и организација за спровођење Програма мониторинга</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Програм мониторинга спроводи министарство надлежно за послове ветеринарства преко ветеринарских инспектора.</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Лабораторијска испитивања спроводе лабораторијe:</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1) које су овлашћене за службене контроле у складу са законом којим се уређује област ветеринарства;</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2) које су изабране путем конкурса у складу са законом којим се уређује безбедност хране.</w:t>
      </w:r>
    </w:p>
    <w:p w:rsidR="003527C5" w:rsidRPr="003527C5" w:rsidRDefault="003527C5" w:rsidP="007B0FCB">
      <w:pPr>
        <w:spacing w:before="330"/>
        <w:ind w:firstLine="480"/>
        <w:jc w:val="center"/>
        <w:rPr>
          <w:rFonts w:ascii="Arial" w:eastAsia="Times New Roman" w:hAnsi="Arial" w:cs="Arial"/>
          <w:b/>
          <w:bCs/>
          <w:noProof w:val="0"/>
          <w:color w:val="333333"/>
          <w:lang w:val="en-US"/>
        </w:rPr>
      </w:pPr>
      <w:r w:rsidRPr="003527C5">
        <w:rPr>
          <w:rFonts w:ascii="Arial" w:eastAsia="Times New Roman" w:hAnsi="Arial" w:cs="Arial"/>
          <w:b/>
          <w:bCs/>
          <w:noProof w:val="0"/>
          <w:color w:val="333333"/>
          <w:lang w:val="en-US"/>
        </w:rPr>
        <w:t>IV. Други параметри од значаја за спровођење Програма мониторинга</w:t>
      </w:r>
    </w:p>
    <w:p w:rsidR="003527C5" w:rsidRPr="003527C5" w:rsidRDefault="003527C5" w:rsidP="007B0FCB">
      <w:pPr>
        <w:spacing w:before="330"/>
        <w:ind w:firstLine="480"/>
        <w:jc w:val="center"/>
        <w:rPr>
          <w:rFonts w:ascii="Arial" w:eastAsia="Times New Roman" w:hAnsi="Arial" w:cs="Arial"/>
          <w:i/>
          <w:iCs/>
          <w:noProof w:val="0"/>
          <w:color w:val="333333"/>
          <w:lang w:val="en-US"/>
        </w:rPr>
      </w:pPr>
      <w:r w:rsidRPr="003527C5">
        <w:rPr>
          <w:rFonts w:ascii="Arial" w:eastAsia="Times New Roman" w:hAnsi="Arial" w:cs="Arial"/>
          <w:i/>
          <w:iCs/>
          <w:noProof w:val="0"/>
          <w:color w:val="333333"/>
          <w:lang w:val="en-US"/>
        </w:rPr>
        <w:t>1. План мониторинга</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План мониторинга којим се одређује предмет испитивања, врста хране за животиње, граничне вредности и методе испитивања дат је у Табели 1 – План мониторинга.</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Табела 1 – План монитoринга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780"/>
        <w:gridCol w:w="5134"/>
        <w:gridCol w:w="1844"/>
        <w:gridCol w:w="1784"/>
      </w:tblGrid>
      <w:tr w:rsidR="00740FB7" w:rsidRPr="003527C5" w:rsidTr="00740FB7">
        <w:tc>
          <w:tcPr>
            <w:tcW w:w="12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ВРСТА ИСПИТИВАЊА</w:t>
            </w:r>
          </w:p>
        </w:tc>
        <w:tc>
          <w:tcPr>
            <w:tcW w:w="2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ВРСТА ХРАНЕ ЗА ЖИВОТИЊЕ</w:t>
            </w:r>
          </w:p>
        </w:tc>
        <w:tc>
          <w:tcPr>
            <w:tcW w:w="7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 xml:space="preserve">НАЈВЕЋА ДОЗВОЉЕНА </w:t>
            </w:r>
            <w:r w:rsidRPr="003527C5">
              <w:rPr>
                <w:rFonts w:ascii="Arial" w:eastAsia="Times New Roman" w:hAnsi="Arial" w:cs="Arial"/>
                <w:noProof w:val="0"/>
                <w:color w:val="333333"/>
                <w:lang w:val="en-US"/>
              </w:rPr>
              <w:lastRenderedPageBreak/>
              <w:t>КОЛИЧИНА</w:t>
            </w:r>
          </w:p>
        </w:tc>
        <w:tc>
          <w:tcPr>
            <w:tcW w:w="7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lastRenderedPageBreak/>
              <w:t>МЕТОДА ИСПИТИВАЊА</w:t>
            </w:r>
          </w:p>
        </w:tc>
      </w:tr>
      <w:tr w:rsidR="00740FB7" w:rsidRPr="003527C5" w:rsidTr="00740FB7">
        <w:tc>
          <w:tcPr>
            <w:tcW w:w="12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lastRenderedPageBreak/>
              <w:t>Састојци животињског порекла</w:t>
            </w:r>
          </w:p>
        </w:tc>
        <w:tc>
          <w:tcPr>
            <w:tcW w:w="2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Храна за животиње које служе за производњу хране</w:t>
            </w:r>
          </w:p>
        </w:tc>
        <w:tc>
          <w:tcPr>
            <w:tcW w:w="7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r w:rsidRPr="007B0FCB">
              <w:rPr>
                <w:rFonts w:ascii="Arial" w:eastAsia="Times New Roman" w:hAnsi="Arial" w:cs="Arial"/>
                <w:noProof w:val="0"/>
                <w:color w:val="333333"/>
                <w:vertAlign w:val="superscript"/>
                <w:lang w:val="en-US"/>
              </w:rPr>
              <w:t>1)</w:t>
            </w:r>
          </w:p>
        </w:tc>
        <w:tc>
          <w:tcPr>
            <w:tcW w:w="7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r w:rsidRPr="003527C5">
              <w:rPr>
                <w:rFonts w:ascii="Arial" w:eastAsia="Times New Roman" w:hAnsi="Arial" w:cs="Arial"/>
                <w:noProof w:val="0"/>
                <w:color w:val="333333"/>
                <w:lang w:val="en-US"/>
              </w:rPr>
              <w:t>Светлосна микроскопија Прилог 2 </w:t>
            </w:r>
            <w:r w:rsidRPr="007B0FCB">
              <w:rPr>
                <w:rFonts w:ascii="Arial" w:eastAsia="Times New Roman" w:hAnsi="Arial" w:cs="Arial"/>
                <w:noProof w:val="0"/>
                <w:color w:val="333333"/>
                <w:vertAlign w:val="superscript"/>
                <w:lang w:val="en-US"/>
              </w:rPr>
              <w:t>1)</w:t>
            </w:r>
          </w:p>
        </w:tc>
      </w:tr>
      <w:tr w:rsidR="00740FB7" w:rsidRPr="003527C5" w:rsidTr="00740FB7">
        <w:tc>
          <w:tcPr>
            <w:tcW w:w="12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Одређивање структуре инсеката</w:t>
            </w:r>
          </w:p>
        </w:tc>
        <w:tc>
          <w:tcPr>
            <w:tcW w:w="2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Смеше за преживаре</w:t>
            </w:r>
          </w:p>
        </w:tc>
        <w:tc>
          <w:tcPr>
            <w:tcW w:w="7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r w:rsidRPr="007B0FCB">
              <w:rPr>
                <w:rFonts w:ascii="Arial" w:eastAsia="Times New Roman" w:hAnsi="Arial" w:cs="Arial"/>
                <w:noProof w:val="0"/>
                <w:color w:val="333333"/>
                <w:vertAlign w:val="superscript"/>
                <w:lang w:val="en-US"/>
              </w:rPr>
              <w:t>1)</w:t>
            </w:r>
          </w:p>
        </w:tc>
        <w:tc>
          <w:tcPr>
            <w:tcW w:w="7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r w:rsidRPr="003527C5">
              <w:rPr>
                <w:rFonts w:ascii="Arial" w:eastAsia="Times New Roman" w:hAnsi="Arial" w:cs="Arial"/>
                <w:noProof w:val="0"/>
                <w:color w:val="333333"/>
                <w:lang w:val="en-US"/>
              </w:rPr>
              <w:t>Светлосна микроскопија Прилог 2 </w:t>
            </w:r>
            <w:r w:rsidRPr="007B0FCB">
              <w:rPr>
                <w:rFonts w:ascii="Arial" w:eastAsia="Times New Roman" w:hAnsi="Arial" w:cs="Arial"/>
                <w:noProof w:val="0"/>
                <w:color w:val="333333"/>
                <w:vertAlign w:val="superscript"/>
                <w:lang w:val="en-US"/>
              </w:rPr>
              <w:t>1)</w:t>
            </w:r>
          </w:p>
        </w:tc>
      </w:tr>
      <w:tr w:rsidR="00740FB7" w:rsidRPr="003527C5" w:rsidTr="00740FB7">
        <w:tc>
          <w:tcPr>
            <w:tcW w:w="12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Утврђивање присуства ДНК преживара, свиња и живине</w:t>
            </w:r>
          </w:p>
        </w:tc>
        <w:tc>
          <w:tcPr>
            <w:tcW w:w="2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Смеше за исхрану животиња које служе за производњу хране</w:t>
            </w:r>
          </w:p>
        </w:tc>
        <w:tc>
          <w:tcPr>
            <w:tcW w:w="7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r w:rsidRPr="007B0FCB">
              <w:rPr>
                <w:rFonts w:ascii="Arial" w:eastAsia="Times New Roman" w:hAnsi="Arial" w:cs="Arial"/>
                <w:noProof w:val="0"/>
                <w:color w:val="333333"/>
                <w:vertAlign w:val="superscript"/>
                <w:lang w:val="en-US"/>
              </w:rPr>
              <w:t>1)</w:t>
            </w:r>
          </w:p>
        </w:tc>
        <w:tc>
          <w:tcPr>
            <w:tcW w:w="7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r w:rsidRPr="003527C5">
              <w:rPr>
                <w:rFonts w:ascii="Arial" w:eastAsia="Times New Roman" w:hAnsi="Arial" w:cs="Arial"/>
                <w:noProof w:val="0"/>
                <w:color w:val="333333"/>
                <w:lang w:val="en-US"/>
              </w:rPr>
              <w:t>PCR Прилог 2 </w:t>
            </w:r>
            <w:r w:rsidRPr="007B0FCB">
              <w:rPr>
                <w:rFonts w:ascii="Arial" w:eastAsia="Times New Roman" w:hAnsi="Arial" w:cs="Arial"/>
                <w:noProof w:val="0"/>
                <w:color w:val="333333"/>
                <w:vertAlign w:val="superscript"/>
                <w:lang w:val="en-US"/>
              </w:rPr>
              <w:t>1)</w:t>
            </w:r>
          </w:p>
        </w:tc>
      </w:tr>
      <w:tr w:rsidR="00740FB7" w:rsidRPr="003527C5" w:rsidTr="00740FB7">
        <w:tc>
          <w:tcPr>
            <w:tcW w:w="12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Salmonella spp.</w:t>
            </w:r>
          </w:p>
        </w:tc>
        <w:tc>
          <w:tcPr>
            <w:tcW w:w="2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Хранива биљног порекла и потпуне и допунске смеше за животиње, које се користе за производњу хране</w:t>
            </w:r>
          </w:p>
        </w:tc>
        <w:tc>
          <w:tcPr>
            <w:tcW w:w="7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r w:rsidRPr="007B0FCB">
              <w:rPr>
                <w:rFonts w:ascii="Arial" w:eastAsia="Times New Roman" w:hAnsi="Arial" w:cs="Arial"/>
                <w:noProof w:val="0"/>
                <w:color w:val="333333"/>
                <w:vertAlign w:val="superscript"/>
                <w:lang w:val="en-US"/>
              </w:rPr>
              <w:t>2)</w:t>
            </w:r>
            <w:r w:rsidRPr="003527C5">
              <w:rPr>
                <w:rFonts w:ascii="Arial" w:eastAsia="Times New Roman" w:hAnsi="Arial" w:cs="Arial"/>
                <w:noProof w:val="0"/>
                <w:color w:val="333333"/>
                <w:lang w:val="en-US"/>
              </w:rPr>
              <w:t> не сме бити у 50 g</w:t>
            </w:r>
          </w:p>
        </w:tc>
        <w:tc>
          <w:tcPr>
            <w:tcW w:w="7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SRPS EN ISO 6579-1</w:t>
            </w:r>
          </w:p>
        </w:tc>
      </w:tr>
      <w:tr w:rsidR="00740FB7" w:rsidRPr="003527C5" w:rsidTr="00740FB7">
        <w:tc>
          <w:tcPr>
            <w:tcW w:w="12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Salmonella spp.</w:t>
            </w:r>
          </w:p>
        </w:tc>
        <w:tc>
          <w:tcPr>
            <w:tcW w:w="2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Хранива животињског порекла и храна за кућне љубимце</w:t>
            </w:r>
          </w:p>
        </w:tc>
        <w:tc>
          <w:tcPr>
            <w:tcW w:w="7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r w:rsidRPr="007B0FCB">
              <w:rPr>
                <w:rFonts w:ascii="Arial" w:eastAsia="Times New Roman" w:hAnsi="Arial" w:cs="Arial"/>
                <w:noProof w:val="0"/>
                <w:color w:val="333333"/>
                <w:vertAlign w:val="superscript"/>
                <w:lang w:val="en-US"/>
              </w:rPr>
              <w:t>3) </w:t>
            </w:r>
            <w:r w:rsidRPr="003527C5">
              <w:rPr>
                <w:rFonts w:ascii="Arial" w:eastAsia="Times New Roman" w:hAnsi="Arial" w:cs="Arial"/>
                <w:noProof w:val="0"/>
                <w:color w:val="333333"/>
                <w:lang w:val="en-US"/>
              </w:rPr>
              <w:t>не сме бити у 25 g</w:t>
            </w:r>
          </w:p>
        </w:tc>
        <w:tc>
          <w:tcPr>
            <w:tcW w:w="7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SRPS EN ISO 6579-1</w:t>
            </w:r>
          </w:p>
        </w:tc>
      </w:tr>
      <w:tr w:rsidR="00740FB7" w:rsidRPr="003527C5" w:rsidTr="00740FB7">
        <w:tc>
          <w:tcPr>
            <w:tcW w:w="12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Clostridium perfringens</w:t>
            </w:r>
          </w:p>
        </w:tc>
        <w:tc>
          <w:tcPr>
            <w:tcW w:w="2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Хранива биљног порекла, потпуне и допунске смеше за животиње, које су намењене за исхрану људи</w:t>
            </w:r>
          </w:p>
        </w:tc>
        <w:tc>
          <w:tcPr>
            <w:tcW w:w="7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r w:rsidRPr="007B0FCB">
              <w:rPr>
                <w:rFonts w:ascii="Arial" w:eastAsia="Times New Roman" w:hAnsi="Arial" w:cs="Arial"/>
                <w:noProof w:val="0"/>
                <w:color w:val="333333"/>
                <w:vertAlign w:val="superscript"/>
                <w:lang w:val="en-US"/>
              </w:rPr>
              <w:t>2) </w:t>
            </w:r>
            <w:r w:rsidRPr="003527C5">
              <w:rPr>
                <w:rFonts w:ascii="Arial" w:eastAsia="Times New Roman" w:hAnsi="Arial" w:cs="Arial"/>
                <w:noProof w:val="0"/>
                <w:color w:val="333333"/>
                <w:lang w:val="en-US"/>
              </w:rPr>
              <w:t>не сме бити у 50 g</w:t>
            </w:r>
          </w:p>
        </w:tc>
        <w:tc>
          <w:tcPr>
            <w:tcW w:w="7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SRPS EN ISO 7937</w:t>
            </w:r>
          </w:p>
        </w:tc>
      </w:tr>
      <w:tr w:rsidR="00740FB7" w:rsidRPr="003527C5" w:rsidTr="00740FB7">
        <w:tc>
          <w:tcPr>
            <w:tcW w:w="12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Listeria monocytogenes</w:t>
            </w:r>
          </w:p>
        </w:tc>
        <w:tc>
          <w:tcPr>
            <w:tcW w:w="2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Силажа и сва хранива са високим процентом влаге</w:t>
            </w:r>
          </w:p>
        </w:tc>
        <w:tc>
          <w:tcPr>
            <w:tcW w:w="7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r w:rsidRPr="007B0FCB">
              <w:rPr>
                <w:rFonts w:ascii="Arial" w:eastAsia="Times New Roman" w:hAnsi="Arial" w:cs="Arial"/>
                <w:noProof w:val="0"/>
                <w:color w:val="333333"/>
                <w:vertAlign w:val="superscript"/>
                <w:lang w:val="en-US"/>
              </w:rPr>
              <w:t>2) </w:t>
            </w:r>
            <w:r w:rsidRPr="003527C5">
              <w:rPr>
                <w:rFonts w:ascii="Arial" w:eastAsia="Times New Roman" w:hAnsi="Arial" w:cs="Arial"/>
                <w:noProof w:val="0"/>
                <w:color w:val="333333"/>
                <w:lang w:val="en-US"/>
              </w:rPr>
              <w:t>не сме бити у 50 g</w:t>
            </w:r>
          </w:p>
        </w:tc>
        <w:tc>
          <w:tcPr>
            <w:tcW w:w="7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SRPS EN ISO 11290</w:t>
            </w:r>
          </w:p>
        </w:tc>
      </w:tr>
      <w:tr w:rsidR="00740FB7" w:rsidRPr="003527C5" w:rsidTr="00740FB7">
        <w:tc>
          <w:tcPr>
            <w:tcW w:w="12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Enterobacteriaceae</w:t>
            </w:r>
          </w:p>
        </w:tc>
        <w:tc>
          <w:tcPr>
            <w:tcW w:w="2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Хранива животињског порекла, прерађена храна за кућне љубимце и жвакалице</w:t>
            </w:r>
          </w:p>
        </w:tc>
        <w:tc>
          <w:tcPr>
            <w:tcW w:w="7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r w:rsidRPr="007B0FCB">
              <w:rPr>
                <w:rFonts w:ascii="Arial" w:eastAsia="Times New Roman" w:hAnsi="Arial" w:cs="Arial"/>
                <w:noProof w:val="0"/>
                <w:color w:val="333333"/>
                <w:vertAlign w:val="superscript"/>
                <w:lang w:val="en-US"/>
              </w:rPr>
              <w:t>3)</w:t>
            </w:r>
            <w:r w:rsidRPr="003527C5">
              <w:rPr>
                <w:rFonts w:ascii="Arial" w:eastAsia="Times New Roman" w:hAnsi="Arial" w:cs="Arial"/>
                <w:noProof w:val="0"/>
                <w:color w:val="333333"/>
                <w:lang w:val="en-US"/>
              </w:rPr>
              <w:t> ≤ 300 cfu/g</w:t>
            </w:r>
          </w:p>
        </w:tc>
        <w:tc>
          <w:tcPr>
            <w:tcW w:w="7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SRPS EN ISO 21528-2</w:t>
            </w:r>
          </w:p>
        </w:tc>
      </w:tr>
      <w:tr w:rsidR="00740FB7" w:rsidRPr="003527C5" w:rsidTr="00740FB7">
        <w:tc>
          <w:tcPr>
            <w:tcW w:w="12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Enterobacteriaceae</w:t>
            </w:r>
          </w:p>
        </w:tc>
        <w:tc>
          <w:tcPr>
            <w:tcW w:w="2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Сирова храна за кућне љубимце</w:t>
            </w:r>
          </w:p>
        </w:tc>
        <w:tc>
          <w:tcPr>
            <w:tcW w:w="7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r w:rsidRPr="007B0FCB">
              <w:rPr>
                <w:rFonts w:ascii="Arial" w:eastAsia="Times New Roman" w:hAnsi="Arial" w:cs="Arial"/>
                <w:noProof w:val="0"/>
                <w:color w:val="333333"/>
                <w:vertAlign w:val="superscript"/>
                <w:lang w:val="en-US"/>
              </w:rPr>
              <w:t>3)</w:t>
            </w:r>
            <w:r w:rsidRPr="003527C5">
              <w:rPr>
                <w:rFonts w:ascii="Arial" w:eastAsia="Times New Roman" w:hAnsi="Arial" w:cs="Arial"/>
                <w:noProof w:val="0"/>
                <w:color w:val="333333"/>
                <w:lang w:val="en-US"/>
              </w:rPr>
              <w:t> ≤ 5000 cfu/g</w:t>
            </w:r>
          </w:p>
        </w:tc>
        <w:tc>
          <w:tcPr>
            <w:tcW w:w="7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SRPS EN ISO 21528-2</w:t>
            </w:r>
          </w:p>
        </w:tc>
      </w:tr>
      <w:tr w:rsidR="00740FB7" w:rsidRPr="003527C5" w:rsidTr="00740FB7">
        <w:tc>
          <w:tcPr>
            <w:tcW w:w="12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Укупан број бактерија</w:t>
            </w:r>
          </w:p>
        </w:tc>
        <w:tc>
          <w:tcPr>
            <w:tcW w:w="2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Хранива и потпуне и допунске смеше</w:t>
            </w:r>
          </w:p>
        </w:tc>
        <w:tc>
          <w:tcPr>
            <w:tcW w:w="7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r w:rsidRPr="007B0FCB">
              <w:rPr>
                <w:rFonts w:ascii="Arial" w:eastAsia="Times New Roman" w:hAnsi="Arial" w:cs="Arial"/>
                <w:noProof w:val="0"/>
                <w:color w:val="333333"/>
                <w:vertAlign w:val="superscript"/>
                <w:lang w:val="en-US"/>
              </w:rPr>
              <w:t>2)</w:t>
            </w:r>
          </w:p>
        </w:tc>
        <w:tc>
          <w:tcPr>
            <w:tcW w:w="7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SPRS EN ISO 4833-1/4833-2</w:t>
            </w:r>
          </w:p>
        </w:tc>
      </w:tr>
      <w:tr w:rsidR="00740FB7" w:rsidRPr="003527C5" w:rsidTr="00740FB7">
        <w:tc>
          <w:tcPr>
            <w:tcW w:w="12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ГМО</w:t>
            </w:r>
          </w:p>
        </w:tc>
        <w:tc>
          <w:tcPr>
            <w:tcW w:w="2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Биљна хранива потпуне и допунске смеше и адитиви</w:t>
            </w:r>
          </w:p>
        </w:tc>
        <w:tc>
          <w:tcPr>
            <w:tcW w:w="7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r w:rsidRPr="007B0FCB">
              <w:rPr>
                <w:rFonts w:ascii="Arial" w:eastAsia="Times New Roman" w:hAnsi="Arial" w:cs="Arial"/>
                <w:noProof w:val="0"/>
                <w:color w:val="333333"/>
                <w:vertAlign w:val="superscript"/>
                <w:lang w:val="en-US"/>
              </w:rPr>
              <w:t>4)</w:t>
            </w:r>
            <w:r w:rsidRPr="003527C5">
              <w:rPr>
                <w:rFonts w:ascii="Arial" w:eastAsia="Times New Roman" w:hAnsi="Arial" w:cs="Arial"/>
                <w:noProof w:val="0"/>
                <w:color w:val="333333"/>
                <w:lang w:val="en-US"/>
              </w:rPr>
              <w:t> ≤ 0,9%</w:t>
            </w:r>
          </w:p>
        </w:tc>
        <w:tc>
          <w:tcPr>
            <w:tcW w:w="7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Real Time PCR</w:t>
            </w:r>
          </w:p>
        </w:tc>
      </w:tr>
      <w:tr w:rsidR="00740FB7" w:rsidRPr="003527C5" w:rsidTr="00740FB7">
        <w:tc>
          <w:tcPr>
            <w:tcW w:w="12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Кокцидиостатици</w:t>
            </w:r>
          </w:p>
        </w:tc>
        <w:tc>
          <w:tcPr>
            <w:tcW w:w="2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Потпуне и допунске смеше</w:t>
            </w:r>
          </w:p>
        </w:tc>
        <w:tc>
          <w:tcPr>
            <w:tcW w:w="7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r w:rsidRPr="007B0FCB">
              <w:rPr>
                <w:rFonts w:ascii="Arial" w:eastAsia="Times New Roman" w:hAnsi="Arial" w:cs="Arial"/>
                <w:noProof w:val="0"/>
                <w:color w:val="333333"/>
                <w:vertAlign w:val="superscript"/>
                <w:lang w:val="en-US"/>
              </w:rPr>
              <w:t>2)</w:t>
            </w:r>
          </w:p>
        </w:tc>
        <w:tc>
          <w:tcPr>
            <w:tcW w:w="7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HPLC</w:t>
            </w:r>
          </w:p>
        </w:tc>
      </w:tr>
      <w:tr w:rsidR="00740FB7" w:rsidRPr="003527C5" w:rsidTr="00740FB7">
        <w:tc>
          <w:tcPr>
            <w:tcW w:w="12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Цинк бацитрацин</w:t>
            </w:r>
          </w:p>
        </w:tc>
        <w:tc>
          <w:tcPr>
            <w:tcW w:w="2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Потпуне и допунске смеше</w:t>
            </w:r>
          </w:p>
        </w:tc>
        <w:tc>
          <w:tcPr>
            <w:tcW w:w="7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r w:rsidRPr="007B0FCB">
              <w:rPr>
                <w:rFonts w:ascii="Arial" w:eastAsia="Times New Roman" w:hAnsi="Arial" w:cs="Arial"/>
                <w:noProof w:val="0"/>
                <w:color w:val="333333"/>
                <w:vertAlign w:val="superscript"/>
                <w:lang w:val="en-US"/>
              </w:rPr>
              <w:t>2)</w:t>
            </w:r>
          </w:p>
        </w:tc>
        <w:tc>
          <w:tcPr>
            <w:tcW w:w="7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HPLC</w:t>
            </w:r>
          </w:p>
        </w:tc>
      </w:tr>
      <w:tr w:rsidR="00740FB7" w:rsidRPr="003527C5" w:rsidTr="00740FB7">
        <w:tc>
          <w:tcPr>
            <w:tcW w:w="12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Тетрациклини</w:t>
            </w:r>
          </w:p>
        </w:tc>
        <w:tc>
          <w:tcPr>
            <w:tcW w:w="2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Потпуне и допунске смеше</w:t>
            </w:r>
          </w:p>
        </w:tc>
        <w:tc>
          <w:tcPr>
            <w:tcW w:w="7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r w:rsidRPr="007B0FCB">
              <w:rPr>
                <w:rFonts w:ascii="Arial" w:eastAsia="Times New Roman" w:hAnsi="Arial" w:cs="Arial"/>
                <w:noProof w:val="0"/>
                <w:color w:val="333333"/>
                <w:vertAlign w:val="superscript"/>
                <w:lang w:val="en-US"/>
              </w:rPr>
              <w:t>2)</w:t>
            </w:r>
          </w:p>
        </w:tc>
        <w:tc>
          <w:tcPr>
            <w:tcW w:w="7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HPLC</w:t>
            </w:r>
          </w:p>
        </w:tc>
      </w:tr>
      <w:tr w:rsidR="00740FB7" w:rsidRPr="003527C5" w:rsidTr="00740FB7">
        <w:tc>
          <w:tcPr>
            <w:tcW w:w="12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Флорфеникол</w:t>
            </w:r>
          </w:p>
        </w:tc>
        <w:tc>
          <w:tcPr>
            <w:tcW w:w="2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Потпуне и допунске смеше</w:t>
            </w:r>
          </w:p>
        </w:tc>
        <w:tc>
          <w:tcPr>
            <w:tcW w:w="7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r w:rsidRPr="007B0FCB">
              <w:rPr>
                <w:rFonts w:ascii="Arial" w:eastAsia="Times New Roman" w:hAnsi="Arial" w:cs="Arial"/>
                <w:noProof w:val="0"/>
                <w:color w:val="333333"/>
                <w:vertAlign w:val="superscript"/>
                <w:lang w:val="en-US"/>
              </w:rPr>
              <w:t>2)</w:t>
            </w:r>
          </w:p>
        </w:tc>
        <w:tc>
          <w:tcPr>
            <w:tcW w:w="7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HPLC</w:t>
            </w:r>
          </w:p>
        </w:tc>
      </w:tr>
      <w:tr w:rsidR="00740FB7" w:rsidRPr="003527C5" w:rsidTr="00740FB7">
        <w:tc>
          <w:tcPr>
            <w:tcW w:w="12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Арсен</w:t>
            </w:r>
          </w:p>
        </w:tc>
        <w:tc>
          <w:tcPr>
            <w:tcW w:w="2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Хранива и потпуне и допунске смеше</w:t>
            </w:r>
          </w:p>
        </w:tc>
        <w:tc>
          <w:tcPr>
            <w:tcW w:w="7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r w:rsidRPr="007B0FCB">
              <w:rPr>
                <w:rFonts w:ascii="Arial" w:eastAsia="Times New Roman" w:hAnsi="Arial" w:cs="Arial"/>
                <w:noProof w:val="0"/>
                <w:color w:val="333333"/>
                <w:vertAlign w:val="superscript"/>
                <w:lang w:val="en-US"/>
              </w:rPr>
              <w:t>2)</w:t>
            </w:r>
          </w:p>
        </w:tc>
        <w:tc>
          <w:tcPr>
            <w:tcW w:w="7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ICP/AAS</w:t>
            </w:r>
          </w:p>
        </w:tc>
      </w:tr>
      <w:tr w:rsidR="00740FB7" w:rsidRPr="003527C5" w:rsidTr="00740FB7">
        <w:tc>
          <w:tcPr>
            <w:tcW w:w="12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Флуор</w:t>
            </w:r>
          </w:p>
        </w:tc>
        <w:tc>
          <w:tcPr>
            <w:tcW w:w="2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Хранива и потпуне и допунске смеше</w:t>
            </w:r>
          </w:p>
        </w:tc>
        <w:tc>
          <w:tcPr>
            <w:tcW w:w="7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r w:rsidRPr="007B0FCB">
              <w:rPr>
                <w:rFonts w:ascii="Arial" w:eastAsia="Times New Roman" w:hAnsi="Arial" w:cs="Arial"/>
                <w:noProof w:val="0"/>
                <w:color w:val="333333"/>
                <w:vertAlign w:val="superscript"/>
                <w:lang w:val="en-US"/>
              </w:rPr>
              <w:t>2)</w:t>
            </w:r>
          </w:p>
        </w:tc>
        <w:tc>
          <w:tcPr>
            <w:tcW w:w="7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ICP/AAS</w:t>
            </w:r>
          </w:p>
        </w:tc>
      </w:tr>
      <w:tr w:rsidR="00740FB7" w:rsidRPr="003527C5" w:rsidTr="00740FB7">
        <w:tc>
          <w:tcPr>
            <w:tcW w:w="12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Кадмијум</w:t>
            </w:r>
          </w:p>
        </w:tc>
        <w:tc>
          <w:tcPr>
            <w:tcW w:w="2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Хранива и потпуне и допунске смеше</w:t>
            </w:r>
          </w:p>
        </w:tc>
        <w:tc>
          <w:tcPr>
            <w:tcW w:w="7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r w:rsidRPr="007B0FCB">
              <w:rPr>
                <w:rFonts w:ascii="Arial" w:eastAsia="Times New Roman" w:hAnsi="Arial" w:cs="Arial"/>
                <w:noProof w:val="0"/>
                <w:color w:val="333333"/>
                <w:vertAlign w:val="superscript"/>
                <w:lang w:val="en-US"/>
              </w:rPr>
              <w:t>2)</w:t>
            </w:r>
          </w:p>
        </w:tc>
        <w:tc>
          <w:tcPr>
            <w:tcW w:w="7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ICP/AAS</w:t>
            </w:r>
          </w:p>
        </w:tc>
      </w:tr>
      <w:tr w:rsidR="00740FB7" w:rsidRPr="003527C5" w:rsidTr="00740FB7">
        <w:tc>
          <w:tcPr>
            <w:tcW w:w="12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Олово</w:t>
            </w:r>
          </w:p>
        </w:tc>
        <w:tc>
          <w:tcPr>
            <w:tcW w:w="2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Хранива и потпуне и допунске смеше</w:t>
            </w:r>
          </w:p>
        </w:tc>
        <w:tc>
          <w:tcPr>
            <w:tcW w:w="7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r w:rsidRPr="007B0FCB">
              <w:rPr>
                <w:rFonts w:ascii="Arial" w:eastAsia="Times New Roman" w:hAnsi="Arial" w:cs="Arial"/>
                <w:noProof w:val="0"/>
                <w:color w:val="333333"/>
                <w:vertAlign w:val="superscript"/>
                <w:lang w:val="en-US"/>
              </w:rPr>
              <w:t>2)</w:t>
            </w:r>
          </w:p>
        </w:tc>
        <w:tc>
          <w:tcPr>
            <w:tcW w:w="7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ICP/AAS</w:t>
            </w:r>
          </w:p>
        </w:tc>
      </w:tr>
      <w:tr w:rsidR="00740FB7" w:rsidRPr="003527C5" w:rsidTr="00740FB7">
        <w:tc>
          <w:tcPr>
            <w:tcW w:w="12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Жива</w:t>
            </w:r>
          </w:p>
        </w:tc>
        <w:tc>
          <w:tcPr>
            <w:tcW w:w="2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Хранива и потпуне и допунске смеше</w:t>
            </w:r>
          </w:p>
        </w:tc>
        <w:tc>
          <w:tcPr>
            <w:tcW w:w="7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r w:rsidRPr="007B0FCB">
              <w:rPr>
                <w:rFonts w:ascii="Arial" w:eastAsia="Times New Roman" w:hAnsi="Arial" w:cs="Arial"/>
                <w:noProof w:val="0"/>
                <w:color w:val="333333"/>
                <w:vertAlign w:val="superscript"/>
                <w:lang w:val="en-US"/>
              </w:rPr>
              <w:t>2)</w:t>
            </w:r>
          </w:p>
        </w:tc>
        <w:tc>
          <w:tcPr>
            <w:tcW w:w="7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ICP/AAS</w:t>
            </w:r>
          </w:p>
        </w:tc>
      </w:tr>
      <w:tr w:rsidR="00740FB7" w:rsidRPr="003527C5" w:rsidTr="00740FB7">
        <w:tc>
          <w:tcPr>
            <w:tcW w:w="12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Диоксини</w:t>
            </w:r>
          </w:p>
        </w:tc>
        <w:tc>
          <w:tcPr>
            <w:tcW w:w="2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Хранива, потпуне и допунске смеше</w:t>
            </w:r>
          </w:p>
        </w:tc>
        <w:tc>
          <w:tcPr>
            <w:tcW w:w="7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r w:rsidRPr="007B0FCB">
              <w:rPr>
                <w:rFonts w:ascii="Arial" w:eastAsia="Times New Roman" w:hAnsi="Arial" w:cs="Arial"/>
                <w:noProof w:val="0"/>
                <w:color w:val="333333"/>
                <w:vertAlign w:val="superscript"/>
                <w:lang w:val="en-US"/>
              </w:rPr>
              <w:t>2)</w:t>
            </w:r>
          </w:p>
        </w:tc>
        <w:tc>
          <w:tcPr>
            <w:tcW w:w="7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GC</w:t>
            </w:r>
          </w:p>
        </w:tc>
      </w:tr>
      <w:tr w:rsidR="00740FB7" w:rsidRPr="003527C5" w:rsidTr="00740FB7">
        <w:tc>
          <w:tcPr>
            <w:tcW w:w="12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PCB</w:t>
            </w:r>
          </w:p>
        </w:tc>
        <w:tc>
          <w:tcPr>
            <w:tcW w:w="2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Хранива и потпуне и допунске смеше</w:t>
            </w:r>
          </w:p>
        </w:tc>
        <w:tc>
          <w:tcPr>
            <w:tcW w:w="7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r w:rsidRPr="007B0FCB">
              <w:rPr>
                <w:rFonts w:ascii="Arial" w:eastAsia="Times New Roman" w:hAnsi="Arial" w:cs="Arial"/>
                <w:noProof w:val="0"/>
                <w:color w:val="333333"/>
                <w:vertAlign w:val="superscript"/>
                <w:lang w:val="en-US"/>
              </w:rPr>
              <w:t>2)</w:t>
            </w:r>
          </w:p>
        </w:tc>
        <w:tc>
          <w:tcPr>
            <w:tcW w:w="7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GC</w:t>
            </w:r>
          </w:p>
        </w:tc>
      </w:tr>
      <w:tr w:rsidR="00740FB7" w:rsidRPr="003527C5" w:rsidTr="00740FB7">
        <w:tc>
          <w:tcPr>
            <w:tcW w:w="12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DDT</w:t>
            </w:r>
          </w:p>
        </w:tc>
        <w:tc>
          <w:tcPr>
            <w:tcW w:w="2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Хранива и потпуне и допунске смеше</w:t>
            </w:r>
          </w:p>
        </w:tc>
        <w:tc>
          <w:tcPr>
            <w:tcW w:w="7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r w:rsidRPr="007B0FCB">
              <w:rPr>
                <w:rFonts w:ascii="Arial" w:eastAsia="Times New Roman" w:hAnsi="Arial" w:cs="Arial"/>
                <w:noProof w:val="0"/>
                <w:color w:val="333333"/>
                <w:vertAlign w:val="superscript"/>
                <w:lang w:val="en-US"/>
              </w:rPr>
              <w:t>2)</w:t>
            </w:r>
          </w:p>
        </w:tc>
        <w:tc>
          <w:tcPr>
            <w:tcW w:w="7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GC</w:t>
            </w:r>
          </w:p>
        </w:tc>
      </w:tr>
      <w:tr w:rsidR="00740FB7" w:rsidRPr="003527C5" w:rsidTr="00740FB7">
        <w:tc>
          <w:tcPr>
            <w:tcW w:w="12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Хлордан</w:t>
            </w:r>
          </w:p>
        </w:tc>
        <w:tc>
          <w:tcPr>
            <w:tcW w:w="2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Хранива и потпуне и допунске смеше</w:t>
            </w:r>
          </w:p>
        </w:tc>
        <w:tc>
          <w:tcPr>
            <w:tcW w:w="7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r w:rsidRPr="007B0FCB">
              <w:rPr>
                <w:rFonts w:ascii="Arial" w:eastAsia="Times New Roman" w:hAnsi="Arial" w:cs="Arial"/>
                <w:noProof w:val="0"/>
                <w:color w:val="333333"/>
                <w:vertAlign w:val="superscript"/>
                <w:lang w:val="en-US"/>
              </w:rPr>
              <w:t>2)</w:t>
            </w:r>
          </w:p>
        </w:tc>
        <w:tc>
          <w:tcPr>
            <w:tcW w:w="7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GC</w:t>
            </w:r>
          </w:p>
        </w:tc>
      </w:tr>
      <w:tr w:rsidR="00740FB7" w:rsidRPr="003527C5" w:rsidTr="00740FB7">
        <w:tc>
          <w:tcPr>
            <w:tcW w:w="12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Хексахлорбензен (HCB)</w:t>
            </w:r>
          </w:p>
        </w:tc>
        <w:tc>
          <w:tcPr>
            <w:tcW w:w="2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Хранива и потпуне и допунске смеше</w:t>
            </w:r>
          </w:p>
        </w:tc>
        <w:tc>
          <w:tcPr>
            <w:tcW w:w="7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r w:rsidRPr="007B0FCB">
              <w:rPr>
                <w:rFonts w:ascii="Arial" w:eastAsia="Times New Roman" w:hAnsi="Arial" w:cs="Arial"/>
                <w:noProof w:val="0"/>
                <w:color w:val="333333"/>
                <w:vertAlign w:val="superscript"/>
                <w:lang w:val="en-US"/>
              </w:rPr>
              <w:t>2)</w:t>
            </w:r>
          </w:p>
        </w:tc>
        <w:tc>
          <w:tcPr>
            <w:tcW w:w="7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GC</w:t>
            </w:r>
          </w:p>
        </w:tc>
      </w:tr>
      <w:tr w:rsidR="00740FB7" w:rsidRPr="003527C5" w:rsidTr="00740FB7">
        <w:tc>
          <w:tcPr>
            <w:tcW w:w="12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Хексахлорциклохексани (HCH)</w:t>
            </w:r>
          </w:p>
        </w:tc>
        <w:tc>
          <w:tcPr>
            <w:tcW w:w="2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Хранива и потпуне и допунске смеше</w:t>
            </w:r>
          </w:p>
        </w:tc>
        <w:tc>
          <w:tcPr>
            <w:tcW w:w="7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r w:rsidRPr="007B0FCB">
              <w:rPr>
                <w:rFonts w:ascii="Arial" w:eastAsia="Times New Roman" w:hAnsi="Arial" w:cs="Arial"/>
                <w:noProof w:val="0"/>
                <w:color w:val="333333"/>
                <w:vertAlign w:val="superscript"/>
                <w:lang w:val="en-US"/>
              </w:rPr>
              <w:t>2)</w:t>
            </w:r>
          </w:p>
        </w:tc>
        <w:tc>
          <w:tcPr>
            <w:tcW w:w="7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GC</w:t>
            </w:r>
          </w:p>
        </w:tc>
      </w:tr>
      <w:tr w:rsidR="00740FB7" w:rsidRPr="003527C5" w:rsidTr="00740FB7">
        <w:tc>
          <w:tcPr>
            <w:tcW w:w="12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Меламин</w:t>
            </w:r>
          </w:p>
        </w:tc>
        <w:tc>
          <w:tcPr>
            <w:tcW w:w="2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Хранива, потпуне и допунске смеше</w:t>
            </w:r>
          </w:p>
        </w:tc>
        <w:tc>
          <w:tcPr>
            <w:tcW w:w="7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r w:rsidRPr="007B0FCB">
              <w:rPr>
                <w:rFonts w:ascii="Arial" w:eastAsia="Times New Roman" w:hAnsi="Arial" w:cs="Arial"/>
                <w:noProof w:val="0"/>
                <w:color w:val="333333"/>
                <w:vertAlign w:val="superscript"/>
                <w:lang w:val="en-US"/>
              </w:rPr>
              <w:t>2)</w:t>
            </w:r>
          </w:p>
        </w:tc>
        <w:tc>
          <w:tcPr>
            <w:tcW w:w="7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ELISA/HPLC</w:t>
            </w:r>
          </w:p>
        </w:tc>
      </w:tr>
      <w:tr w:rsidR="00740FB7" w:rsidRPr="003527C5" w:rsidTr="00740FB7">
        <w:tc>
          <w:tcPr>
            <w:tcW w:w="12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Нитрити</w:t>
            </w:r>
          </w:p>
        </w:tc>
        <w:tc>
          <w:tcPr>
            <w:tcW w:w="2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Хранива, потпуне и допунске смеше</w:t>
            </w:r>
          </w:p>
        </w:tc>
        <w:tc>
          <w:tcPr>
            <w:tcW w:w="7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r w:rsidRPr="007B0FCB">
              <w:rPr>
                <w:rFonts w:ascii="Arial" w:eastAsia="Times New Roman" w:hAnsi="Arial" w:cs="Arial"/>
                <w:noProof w:val="0"/>
                <w:color w:val="333333"/>
                <w:vertAlign w:val="superscript"/>
                <w:lang w:val="en-US"/>
              </w:rPr>
              <w:t>2)</w:t>
            </w:r>
          </w:p>
        </w:tc>
        <w:tc>
          <w:tcPr>
            <w:tcW w:w="7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JONSKA HROMATOGRAFIJA</w:t>
            </w:r>
          </w:p>
        </w:tc>
      </w:tr>
      <w:tr w:rsidR="00740FB7" w:rsidRPr="003527C5" w:rsidTr="00740FB7">
        <w:tc>
          <w:tcPr>
            <w:tcW w:w="12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Афлатоксин Б1</w:t>
            </w:r>
          </w:p>
        </w:tc>
        <w:tc>
          <w:tcPr>
            <w:tcW w:w="2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Хранива биљног порекла и потпуне и допунске смеше</w:t>
            </w:r>
          </w:p>
        </w:tc>
        <w:tc>
          <w:tcPr>
            <w:tcW w:w="7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r w:rsidRPr="007B0FCB">
              <w:rPr>
                <w:rFonts w:ascii="Arial" w:eastAsia="Times New Roman" w:hAnsi="Arial" w:cs="Arial"/>
                <w:noProof w:val="0"/>
                <w:color w:val="333333"/>
                <w:vertAlign w:val="superscript"/>
                <w:lang w:val="en-US"/>
              </w:rPr>
              <w:t>2)</w:t>
            </w:r>
          </w:p>
        </w:tc>
        <w:tc>
          <w:tcPr>
            <w:tcW w:w="7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ELISA/HPLC</w:t>
            </w:r>
          </w:p>
        </w:tc>
      </w:tr>
      <w:tr w:rsidR="00740FB7" w:rsidRPr="003527C5" w:rsidTr="00740FB7">
        <w:tc>
          <w:tcPr>
            <w:tcW w:w="12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lastRenderedPageBreak/>
              <w:t>Охратоксин А</w:t>
            </w:r>
          </w:p>
        </w:tc>
        <w:tc>
          <w:tcPr>
            <w:tcW w:w="2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Хранива биљног порекла и потпуне и допунске смеше</w:t>
            </w:r>
          </w:p>
        </w:tc>
        <w:tc>
          <w:tcPr>
            <w:tcW w:w="7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r w:rsidRPr="007B0FCB">
              <w:rPr>
                <w:rFonts w:ascii="Arial" w:eastAsia="Times New Roman" w:hAnsi="Arial" w:cs="Arial"/>
                <w:noProof w:val="0"/>
                <w:color w:val="333333"/>
                <w:vertAlign w:val="superscript"/>
                <w:lang w:val="en-US"/>
              </w:rPr>
              <w:t>2)</w:t>
            </w:r>
          </w:p>
        </w:tc>
        <w:tc>
          <w:tcPr>
            <w:tcW w:w="7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ELISA/HPLC</w:t>
            </w:r>
          </w:p>
        </w:tc>
      </w:tr>
      <w:tr w:rsidR="00740FB7" w:rsidRPr="003527C5" w:rsidTr="00740FB7">
        <w:tc>
          <w:tcPr>
            <w:tcW w:w="12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Зеараленон</w:t>
            </w:r>
          </w:p>
        </w:tc>
        <w:tc>
          <w:tcPr>
            <w:tcW w:w="2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Хранива биљног порекла и потпуне и допунске смеше</w:t>
            </w:r>
          </w:p>
        </w:tc>
        <w:tc>
          <w:tcPr>
            <w:tcW w:w="7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r w:rsidRPr="007B0FCB">
              <w:rPr>
                <w:rFonts w:ascii="Arial" w:eastAsia="Times New Roman" w:hAnsi="Arial" w:cs="Arial"/>
                <w:noProof w:val="0"/>
                <w:color w:val="333333"/>
                <w:vertAlign w:val="superscript"/>
                <w:lang w:val="en-US"/>
              </w:rPr>
              <w:t>2)</w:t>
            </w:r>
          </w:p>
        </w:tc>
        <w:tc>
          <w:tcPr>
            <w:tcW w:w="7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ELISA/HPLC</w:t>
            </w:r>
          </w:p>
        </w:tc>
      </w:tr>
      <w:tr w:rsidR="00740FB7" w:rsidRPr="003527C5" w:rsidTr="00740FB7">
        <w:tc>
          <w:tcPr>
            <w:tcW w:w="12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Фумонисин Б1-Б2</w:t>
            </w:r>
          </w:p>
        </w:tc>
        <w:tc>
          <w:tcPr>
            <w:tcW w:w="2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Хранива биљног порекла и потпуне и допунске смеше</w:t>
            </w:r>
          </w:p>
        </w:tc>
        <w:tc>
          <w:tcPr>
            <w:tcW w:w="7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r w:rsidRPr="007B0FCB">
              <w:rPr>
                <w:rFonts w:ascii="Arial" w:eastAsia="Times New Roman" w:hAnsi="Arial" w:cs="Arial"/>
                <w:noProof w:val="0"/>
                <w:color w:val="333333"/>
                <w:vertAlign w:val="superscript"/>
                <w:lang w:val="en-US"/>
              </w:rPr>
              <w:t>2)</w:t>
            </w:r>
          </w:p>
        </w:tc>
        <w:tc>
          <w:tcPr>
            <w:tcW w:w="7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ELISA/HPLC</w:t>
            </w:r>
          </w:p>
        </w:tc>
      </w:tr>
      <w:tr w:rsidR="00740FB7" w:rsidRPr="003527C5" w:rsidTr="00740FB7">
        <w:tc>
          <w:tcPr>
            <w:tcW w:w="12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Деоксиниваленол</w:t>
            </w:r>
          </w:p>
        </w:tc>
        <w:tc>
          <w:tcPr>
            <w:tcW w:w="2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Хранива биљног порекла и потпуне и допунске смеше</w:t>
            </w:r>
          </w:p>
        </w:tc>
        <w:tc>
          <w:tcPr>
            <w:tcW w:w="7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r w:rsidRPr="007B0FCB">
              <w:rPr>
                <w:rFonts w:ascii="Arial" w:eastAsia="Times New Roman" w:hAnsi="Arial" w:cs="Arial"/>
                <w:noProof w:val="0"/>
                <w:color w:val="333333"/>
                <w:vertAlign w:val="superscript"/>
                <w:lang w:val="en-US"/>
              </w:rPr>
              <w:t>2)</w:t>
            </w:r>
          </w:p>
        </w:tc>
        <w:tc>
          <w:tcPr>
            <w:tcW w:w="7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ELISA/HPLC</w:t>
            </w:r>
          </w:p>
        </w:tc>
      </w:tr>
      <w:tr w:rsidR="00740FB7" w:rsidRPr="003527C5" w:rsidTr="00740FB7">
        <w:tc>
          <w:tcPr>
            <w:tcW w:w="12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Т-2/HT2 – токсин</w:t>
            </w:r>
          </w:p>
        </w:tc>
        <w:tc>
          <w:tcPr>
            <w:tcW w:w="22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Хранива биљног порекла и потпуне и допунске смеше</w:t>
            </w:r>
          </w:p>
        </w:tc>
        <w:tc>
          <w:tcPr>
            <w:tcW w:w="7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r w:rsidRPr="007B0FCB">
              <w:rPr>
                <w:rFonts w:ascii="Arial" w:eastAsia="Times New Roman" w:hAnsi="Arial" w:cs="Arial"/>
                <w:noProof w:val="0"/>
                <w:color w:val="333333"/>
                <w:vertAlign w:val="superscript"/>
                <w:lang w:val="en-US"/>
              </w:rPr>
              <w:t>2)</w:t>
            </w:r>
          </w:p>
        </w:tc>
        <w:tc>
          <w:tcPr>
            <w:tcW w:w="7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ELISA/HPLC</w:t>
            </w:r>
          </w:p>
        </w:tc>
      </w:tr>
    </w:tbl>
    <w:p w:rsidR="003527C5" w:rsidRPr="003527C5" w:rsidRDefault="003527C5" w:rsidP="007B0FCB">
      <w:pPr>
        <w:spacing w:before="0" w:after="0"/>
        <w:ind w:firstLine="480"/>
        <w:rPr>
          <w:rFonts w:ascii="Arial" w:eastAsia="Times New Roman" w:hAnsi="Arial" w:cs="Arial"/>
          <w:noProof w:val="0"/>
          <w:color w:val="333333"/>
          <w:lang w:val="en-US"/>
        </w:rPr>
      </w:pPr>
      <w:r w:rsidRPr="007B0FCB">
        <w:rPr>
          <w:rFonts w:ascii="Arial" w:eastAsia="Times New Roman" w:hAnsi="Arial" w:cs="Arial"/>
          <w:noProof w:val="0"/>
          <w:color w:val="333333"/>
          <w:vertAlign w:val="superscript"/>
          <w:lang w:val="en-US"/>
        </w:rPr>
        <w:t>1)</w:t>
      </w:r>
      <w:r w:rsidRPr="003527C5">
        <w:rPr>
          <w:rFonts w:ascii="Arial" w:eastAsia="Times New Roman" w:hAnsi="Arial" w:cs="Arial"/>
          <w:noProof w:val="0"/>
          <w:color w:val="333333"/>
          <w:lang w:val="en-US"/>
        </w:rPr>
        <w:t> Правилник о утврђивању мера раног откривања и дијагностике заразне болести трансмисивних спонгиоформних енцефалопатија, начину њиховог спровођења, као и мерама за спречавање ширења, сузбијање и искорењивање ове заразне болести („Службени гласник РС”, бр. 96/10, 33/16, 54/19 и 46/23);</w:t>
      </w:r>
    </w:p>
    <w:p w:rsidR="003527C5" w:rsidRPr="003527C5" w:rsidRDefault="003527C5" w:rsidP="007B0FCB">
      <w:pPr>
        <w:spacing w:before="0" w:after="0"/>
        <w:ind w:firstLine="480"/>
        <w:rPr>
          <w:rFonts w:ascii="Arial" w:eastAsia="Times New Roman" w:hAnsi="Arial" w:cs="Arial"/>
          <w:noProof w:val="0"/>
          <w:color w:val="333333"/>
          <w:lang w:val="en-US"/>
        </w:rPr>
      </w:pPr>
      <w:r w:rsidRPr="007B0FCB">
        <w:rPr>
          <w:rFonts w:ascii="Arial" w:eastAsia="Times New Roman" w:hAnsi="Arial" w:cs="Arial"/>
          <w:noProof w:val="0"/>
          <w:color w:val="333333"/>
          <w:vertAlign w:val="superscript"/>
          <w:lang w:val="en-US"/>
        </w:rPr>
        <w:t>2)</w:t>
      </w:r>
      <w:r w:rsidRPr="003527C5">
        <w:rPr>
          <w:rFonts w:ascii="Arial" w:eastAsia="Times New Roman" w:hAnsi="Arial" w:cs="Arial"/>
          <w:noProof w:val="0"/>
          <w:color w:val="333333"/>
          <w:lang w:val="en-US"/>
        </w:rPr>
        <w:t> Правилник о квалитету хране за животиње („Службени гласник РС”, бр. 4/10, 113/12, 27/14, 25/15, 39/16 и 54/17);</w:t>
      </w:r>
    </w:p>
    <w:p w:rsidR="003527C5" w:rsidRPr="003527C5" w:rsidRDefault="003527C5" w:rsidP="007B0FCB">
      <w:pPr>
        <w:spacing w:before="0" w:after="0"/>
        <w:ind w:firstLine="480"/>
        <w:rPr>
          <w:rFonts w:ascii="Arial" w:eastAsia="Times New Roman" w:hAnsi="Arial" w:cs="Arial"/>
          <w:noProof w:val="0"/>
          <w:color w:val="333333"/>
          <w:lang w:val="en-US"/>
        </w:rPr>
      </w:pPr>
      <w:r w:rsidRPr="007B0FCB">
        <w:rPr>
          <w:rFonts w:ascii="Arial" w:eastAsia="Times New Roman" w:hAnsi="Arial" w:cs="Arial"/>
          <w:noProof w:val="0"/>
          <w:color w:val="333333"/>
          <w:vertAlign w:val="superscript"/>
          <w:lang w:val="en-US"/>
        </w:rPr>
        <w:t>3)</w:t>
      </w:r>
      <w:r w:rsidRPr="003527C5">
        <w:rPr>
          <w:rFonts w:ascii="Arial" w:eastAsia="Times New Roman" w:hAnsi="Arial" w:cs="Arial"/>
          <w:noProof w:val="0"/>
          <w:color w:val="333333"/>
          <w:lang w:val="en-US"/>
        </w:rPr>
        <w:t> Правилник о начину разврставања и поступања са споредним производима животињског порекла, ветеринарско-санитарним условима за изградњу објеката за сакупљање, прераду и уништавање споредних производа животињског порекла, начину спровођења службене контроле и самоконтроле, као и условима за сточна гробља и јаме гробнице („Службени гласник РС”, бр. 31/11, 97/13, 15/15, 61/17 и 118/23);</w:t>
      </w:r>
    </w:p>
    <w:p w:rsidR="003527C5" w:rsidRPr="003527C5" w:rsidRDefault="003527C5" w:rsidP="007B0FCB">
      <w:pPr>
        <w:spacing w:before="0" w:after="0"/>
        <w:ind w:firstLine="480"/>
        <w:rPr>
          <w:rFonts w:ascii="Arial" w:eastAsia="Times New Roman" w:hAnsi="Arial" w:cs="Arial"/>
          <w:noProof w:val="0"/>
          <w:color w:val="333333"/>
          <w:lang w:val="en-US"/>
        </w:rPr>
      </w:pPr>
      <w:r w:rsidRPr="007B0FCB">
        <w:rPr>
          <w:rFonts w:ascii="Arial" w:eastAsia="Times New Roman" w:hAnsi="Arial" w:cs="Arial"/>
          <w:noProof w:val="0"/>
          <w:color w:val="333333"/>
          <w:vertAlign w:val="superscript"/>
          <w:lang w:val="en-US"/>
        </w:rPr>
        <w:t>4)</w:t>
      </w:r>
      <w:r w:rsidRPr="003527C5">
        <w:rPr>
          <w:rFonts w:ascii="Arial" w:eastAsia="Times New Roman" w:hAnsi="Arial" w:cs="Arial"/>
          <w:noProof w:val="0"/>
          <w:color w:val="333333"/>
          <w:lang w:val="en-US"/>
        </w:rPr>
        <w:t> Закон о генетички модификованим организмима (,,Службени гласник РСˮ, број 41/09).</w:t>
      </w:r>
    </w:p>
    <w:p w:rsidR="003527C5" w:rsidRPr="003527C5" w:rsidRDefault="003527C5" w:rsidP="007B0FCB">
      <w:pPr>
        <w:spacing w:before="330"/>
        <w:ind w:firstLine="480"/>
        <w:jc w:val="center"/>
        <w:rPr>
          <w:rFonts w:ascii="Arial" w:eastAsia="Times New Roman" w:hAnsi="Arial" w:cs="Arial"/>
          <w:i/>
          <w:iCs/>
          <w:noProof w:val="0"/>
          <w:color w:val="333333"/>
          <w:lang w:val="en-US"/>
        </w:rPr>
      </w:pPr>
      <w:r w:rsidRPr="003527C5">
        <w:rPr>
          <w:rFonts w:ascii="Arial" w:eastAsia="Times New Roman" w:hAnsi="Arial" w:cs="Arial"/>
          <w:i/>
          <w:iCs/>
          <w:noProof w:val="0"/>
          <w:color w:val="333333"/>
          <w:lang w:val="en-US"/>
        </w:rPr>
        <w:t>2. Одређивање броја узорака и врсте испитивања на нивоу управног округа, као и начина извештавања</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Број узорака и врсту испитивања на годишњем нивоу за управни округ, одређује надлежни орган, у форми табеле – Табела 2 – Број узорака и врста испитивања за _________ управни округ.</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Табела 2 – Број узорака и врста испитивања за _________ управни округ</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895"/>
        <w:gridCol w:w="2851"/>
        <w:gridCol w:w="2832"/>
        <w:gridCol w:w="1964"/>
      </w:tblGrid>
      <w:tr w:rsidR="003527C5" w:rsidRPr="003527C5" w:rsidTr="00740FB7">
        <w:tc>
          <w:tcPr>
            <w:tcW w:w="168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Врста хране за животиње</w:t>
            </w:r>
          </w:p>
        </w:tc>
        <w:tc>
          <w:tcPr>
            <w:tcW w:w="12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Место узорковања</w:t>
            </w:r>
          </w:p>
        </w:tc>
        <w:tc>
          <w:tcPr>
            <w:tcW w:w="12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Врста испитивања</w:t>
            </w:r>
          </w:p>
        </w:tc>
        <w:tc>
          <w:tcPr>
            <w:tcW w:w="8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Број узорака</w:t>
            </w:r>
          </w:p>
        </w:tc>
      </w:tr>
      <w:tr w:rsidR="003527C5" w:rsidRPr="003527C5" w:rsidTr="00740FB7">
        <w:tc>
          <w:tcPr>
            <w:tcW w:w="168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40FB7" w:rsidRPr="003527C5" w:rsidRDefault="00740FB7" w:rsidP="007B0FCB">
            <w:pPr>
              <w:spacing w:before="0" w:after="0"/>
              <w:rPr>
                <w:rFonts w:ascii="Arial" w:eastAsia="Times New Roman" w:hAnsi="Arial" w:cs="Arial"/>
                <w:noProof w:val="0"/>
                <w:color w:val="333333"/>
                <w:lang w:val="sr-Cyrl-RS"/>
              </w:rPr>
            </w:pPr>
            <w:r>
              <w:rPr>
                <w:rFonts w:ascii="Arial" w:eastAsia="Times New Roman" w:hAnsi="Arial" w:cs="Arial"/>
                <w:noProof w:val="0"/>
                <w:color w:val="333333"/>
                <w:lang w:val="sr-Cyrl-RS"/>
              </w:rPr>
              <w:t xml:space="preserve"> </w:t>
            </w:r>
          </w:p>
        </w:tc>
        <w:tc>
          <w:tcPr>
            <w:tcW w:w="12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p>
        </w:tc>
        <w:tc>
          <w:tcPr>
            <w:tcW w:w="12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p>
        </w:tc>
        <w:tc>
          <w:tcPr>
            <w:tcW w:w="8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p>
        </w:tc>
      </w:tr>
      <w:tr w:rsidR="003527C5" w:rsidRPr="003527C5" w:rsidTr="00740FB7">
        <w:tc>
          <w:tcPr>
            <w:tcW w:w="168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740FB7" w:rsidP="007B0FCB">
            <w:pPr>
              <w:spacing w:before="0" w:after="0"/>
              <w:rPr>
                <w:rFonts w:ascii="Arial" w:eastAsia="Times New Roman" w:hAnsi="Arial" w:cs="Arial"/>
                <w:noProof w:val="0"/>
                <w:color w:val="333333"/>
                <w:lang w:val="sr-Cyrl-RS"/>
              </w:rPr>
            </w:pPr>
            <w:r>
              <w:rPr>
                <w:rFonts w:ascii="Arial" w:eastAsia="Times New Roman" w:hAnsi="Arial" w:cs="Arial"/>
                <w:noProof w:val="0"/>
                <w:color w:val="333333"/>
                <w:lang w:val="sr-Cyrl-RS"/>
              </w:rPr>
              <w:t xml:space="preserve"> </w:t>
            </w:r>
          </w:p>
        </w:tc>
        <w:tc>
          <w:tcPr>
            <w:tcW w:w="12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p>
        </w:tc>
        <w:tc>
          <w:tcPr>
            <w:tcW w:w="12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p>
        </w:tc>
        <w:tc>
          <w:tcPr>
            <w:tcW w:w="8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p>
        </w:tc>
      </w:tr>
      <w:tr w:rsidR="003527C5" w:rsidRPr="003527C5" w:rsidTr="00740FB7">
        <w:tc>
          <w:tcPr>
            <w:tcW w:w="168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740FB7" w:rsidP="007B0FCB">
            <w:pPr>
              <w:spacing w:before="0" w:after="0"/>
              <w:rPr>
                <w:rFonts w:ascii="Arial" w:eastAsia="Times New Roman" w:hAnsi="Arial" w:cs="Arial"/>
                <w:noProof w:val="0"/>
                <w:color w:val="333333"/>
                <w:lang w:val="sr-Cyrl-RS"/>
              </w:rPr>
            </w:pPr>
            <w:r>
              <w:rPr>
                <w:rFonts w:ascii="Arial" w:eastAsia="Times New Roman" w:hAnsi="Arial" w:cs="Arial"/>
                <w:noProof w:val="0"/>
                <w:color w:val="333333"/>
                <w:lang w:val="sr-Cyrl-RS"/>
              </w:rPr>
              <w:t xml:space="preserve"> </w:t>
            </w:r>
          </w:p>
        </w:tc>
        <w:tc>
          <w:tcPr>
            <w:tcW w:w="12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p>
        </w:tc>
        <w:tc>
          <w:tcPr>
            <w:tcW w:w="12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p>
        </w:tc>
        <w:tc>
          <w:tcPr>
            <w:tcW w:w="8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p>
        </w:tc>
      </w:tr>
      <w:tr w:rsidR="003527C5" w:rsidRPr="003527C5" w:rsidTr="00740FB7">
        <w:tc>
          <w:tcPr>
            <w:tcW w:w="168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740FB7" w:rsidP="007B0FCB">
            <w:pPr>
              <w:spacing w:before="0" w:after="0"/>
              <w:rPr>
                <w:rFonts w:ascii="Arial" w:eastAsia="Times New Roman" w:hAnsi="Arial" w:cs="Arial"/>
                <w:noProof w:val="0"/>
                <w:color w:val="333333"/>
                <w:lang w:val="sr-Cyrl-RS"/>
              </w:rPr>
            </w:pPr>
            <w:r>
              <w:rPr>
                <w:rFonts w:ascii="Arial" w:eastAsia="Times New Roman" w:hAnsi="Arial" w:cs="Arial"/>
                <w:noProof w:val="0"/>
                <w:color w:val="333333"/>
                <w:lang w:val="sr-Cyrl-RS"/>
              </w:rPr>
              <w:t xml:space="preserve"> </w:t>
            </w:r>
          </w:p>
        </w:tc>
        <w:tc>
          <w:tcPr>
            <w:tcW w:w="12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p>
        </w:tc>
        <w:tc>
          <w:tcPr>
            <w:tcW w:w="12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p>
        </w:tc>
        <w:tc>
          <w:tcPr>
            <w:tcW w:w="8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p>
        </w:tc>
      </w:tr>
      <w:tr w:rsidR="003527C5" w:rsidRPr="003527C5" w:rsidTr="00740FB7">
        <w:tc>
          <w:tcPr>
            <w:tcW w:w="168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740FB7" w:rsidP="007B0FCB">
            <w:pPr>
              <w:spacing w:before="0" w:after="0"/>
              <w:rPr>
                <w:rFonts w:ascii="Arial" w:eastAsia="Times New Roman" w:hAnsi="Arial" w:cs="Arial"/>
                <w:noProof w:val="0"/>
                <w:color w:val="333333"/>
                <w:lang w:val="sr-Cyrl-RS"/>
              </w:rPr>
            </w:pPr>
            <w:r>
              <w:rPr>
                <w:rFonts w:ascii="Arial" w:eastAsia="Times New Roman" w:hAnsi="Arial" w:cs="Arial"/>
                <w:noProof w:val="0"/>
                <w:color w:val="333333"/>
                <w:lang w:val="sr-Cyrl-RS"/>
              </w:rPr>
              <w:t xml:space="preserve"> </w:t>
            </w:r>
          </w:p>
        </w:tc>
        <w:tc>
          <w:tcPr>
            <w:tcW w:w="12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p>
        </w:tc>
        <w:tc>
          <w:tcPr>
            <w:tcW w:w="12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p>
        </w:tc>
        <w:tc>
          <w:tcPr>
            <w:tcW w:w="8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p>
        </w:tc>
      </w:tr>
      <w:tr w:rsidR="003527C5" w:rsidRPr="003527C5" w:rsidTr="00740FB7">
        <w:tc>
          <w:tcPr>
            <w:tcW w:w="168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740FB7" w:rsidP="007B0FCB">
            <w:pPr>
              <w:spacing w:before="0" w:after="0"/>
              <w:rPr>
                <w:rFonts w:ascii="Arial" w:eastAsia="Times New Roman" w:hAnsi="Arial" w:cs="Arial"/>
                <w:noProof w:val="0"/>
                <w:color w:val="333333"/>
                <w:lang w:val="sr-Cyrl-RS"/>
              </w:rPr>
            </w:pPr>
            <w:r>
              <w:rPr>
                <w:rFonts w:ascii="Arial" w:eastAsia="Times New Roman" w:hAnsi="Arial" w:cs="Arial"/>
                <w:noProof w:val="0"/>
                <w:color w:val="333333"/>
                <w:lang w:val="sr-Cyrl-RS"/>
              </w:rPr>
              <w:t xml:space="preserve"> </w:t>
            </w:r>
          </w:p>
        </w:tc>
        <w:tc>
          <w:tcPr>
            <w:tcW w:w="12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p>
        </w:tc>
        <w:tc>
          <w:tcPr>
            <w:tcW w:w="12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p>
        </w:tc>
        <w:tc>
          <w:tcPr>
            <w:tcW w:w="8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p>
        </w:tc>
      </w:tr>
      <w:tr w:rsidR="003527C5" w:rsidRPr="003527C5" w:rsidTr="00740FB7">
        <w:tc>
          <w:tcPr>
            <w:tcW w:w="168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740FB7" w:rsidP="007B0FCB">
            <w:pPr>
              <w:spacing w:before="0" w:after="0"/>
              <w:rPr>
                <w:rFonts w:ascii="Arial" w:eastAsia="Times New Roman" w:hAnsi="Arial" w:cs="Arial"/>
                <w:noProof w:val="0"/>
                <w:color w:val="333333"/>
                <w:lang w:val="sr-Cyrl-RS"/>
              </w:rPr>
            </w:pPr>
            <w:r>
              <w:rPr>
                <w:rFonts w:ascii="Arial" w:eastAsia="Times New Roman" w:hAnsi="Arial" w:cs="Arial"/>
                <w:noProof w:val="0"/>
                <w:color w:val="333333"/>
                <w:lang w:val="sr-Cyrl-RS"/>
              </w:rPr>
              <w:t xml:space="preserve"> </w:t>
            </w:r>
          </w:p>
        </w:tc>
        <w:tc>
          <w:tcPr>
            <w:tcW w:w="12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p>
        </w:tc>
        <w:tc>
          <w:tcPr>
            <w:tcW w:w="12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p>
        </w:tc>
        <w:tc>
          <w:tcPr>
            <w:tcW w:w="8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p>
        </w:tc>
      </w:tr>
      <w:tr w:rsidR="003527C5" w:rsidRPr="003527C5" w:rsidTr="00740FB7">
        <w:tc>
          <w:tcPr>
            <w:tcW w:w="168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740FB7" w:rsidP="007B0FCB">
            <w:pPr>
              <w:spacing w:before="0" w:after="0"/>
              <w:rPr>
                <w:rFonts w:ascii="Arial" w:eastAsia="Times New Roman" w:hAnsi="Arial" w:cs="Arial"/>
                <w:noProof w:val="0"/>
                <w:color w:val="333333"/>
                <w:lang w:val="sr-Cyrl-RS"/>
              </w:rPr>
            </w:pPr>
            <w:r>
              <w:rPr>
                <w:rFonts w:ascii="Arial" w:eastAsia="Times New Roman" w:hAnsi="Arial" w:cs="Arial"/>
                <w:noProof w:val="0"/>
                <w:color w:val="333333"/>
                <w:lang w:val="sr-Cyrl-RS"/>
              </w:rPr>
              <w:t xml:space="preserve"> </w:t>
            </w:r>
          </w:p>
        </w:tc>
        <w:tc>
          <w:tcPr>
            <w:tcW w:w="123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p>
        </w:tc>
        <w:tc>
          <w:tcPr>
            <w:tcW w:w="12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p>
        </w:tc>
        <w:tc>
          <w:tcPr>
            <w:tcW w:w="85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p>
        </w:tc>
      </w:tr>
      <w:tr w:rsidR="003527C5" w:rsidRPr="003527C5" w:rsidTr="00740FB7">
        <w:tc>
          <w:tcPr>
            <w:tcW w:w="5000" w:type="pct"/>
            <w:gridSpan w:val="4"/>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Укупно</w:t>
            </w:r>
          </w:p>
        </w:tc>
      </w:tr>
    </w:tbl>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Извештај о спроведеном Програму мониторинга, доставља се у форми табеле – Табелa 3 – Извештај о спроведеном Програму мониторинга за _________2026. годину о узорцима узетим према плану мониторинга хране за животиње за_______ управни округ.</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Табела 3 – Извештај о спроведеном Програму мониторинга за _______ 2026. годину о узорцима узетим према плану мониторинга хране за животиње за_________________управни округ</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ИЗВЕШТАЈ БРОЈ: _____________ ОД ___________</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54"/>
        <w:gridCol w:w="1627"/>
        <w:gridCol w:w="2979"/>
        <w:gridCol w:w="1528"/>
        <w:gridCol w:w="712"/>
        <w:gridCol w:w="1097"/>
        <w:gridCol w:w="1595"/>
        <w:gridCol w:w="950"/>
      </w:tblGrid>
      <w:tr w:rsidR="00740FB7" w:rsidRPr="003527C5" w:rsidTr="00740FB7">
        <w:tc>
          <w:tcPr>
            <w:tcW w:w="4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Датум узорковања</w:t>
            </w:r>
          </w:p>
        </w:tc>
        <w:tc>
          <w:tcPr>
            <w:tcW w:w="7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r w:rsidRPr="003527C5">
              <w:rPr>
                <w:rFonts w:ascii="Arial" w:eastAsia="Times New Roman" w:hAnsi="Arial" w:cs="Arial"/>
                <w:noProof w:val="0"/>
                <w:color w:val="333333"/>
                <w:lang w:val="en-US"/>
              </w:rPr>
              <w:t>Врста хране за животиње</w:t>
            </w:r>
            <w:r w:rsidRPr="007B0FCB">
              <w:rPr>
                <w:rFonts w:ascii="Arial" w:eastAsia="Times New Roman" w:hAnsi="Arial" w:cs="Arial"/>
                <w:noProof w:val="0"/>
                <w:color w:val="333333"/>
                <w:vertAlign w:val="superscript"/>
                <w:lang w:val="en-US"/>
              </w:rPr>
              <w:t>1</w:t>
            </w:r>
            <w:r w:rsidRPr="003527C5">
              <w:rPr>
                <w:rFonts w:ascii="Arial" w:eastAsia="Times New Roman" w:hAnsi="Arial" w:cs="Arial"/>
                <w:noProof w:val="0"/>
                <w:color w:val="333333"/>
                <w:lang w:val="en-US"/>
              </w:rPr>
              <w:t>, назив</w:t>
            </w:r>
          </w:p>
        </w:tc>
        <w:tc>
          <w:tcPr>
            <w:tcW w:w="13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Назив и седиште субјекта у пословању храном за животиње</w:t>
            </w: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Укупна количина лота у тонама</w:t>
            </w:r>
          </w:p>
        </w:tc>
        <w:tc>
          <w:tcPr>
            <w:tcW w:w="2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Број узорака</w:t>
            </w:r>
          </w:p>
        </w:tc>
        <w:tc>
          <w:tcPr>
            <w:tcW w:w="5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Извршена испитивања</w:t>
            </w:r>
          </w:p>
        </w:tc>
        <w:tc>
          <w:tcPr>
            <w:tcW w:w="6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r w:rsidRPr="003527C5">
              <w:rPr>
                <w:rFonts w:ascii="Arial" w:eastAsia="Times New Roman" w:hAnsi="Arial" w:cs="Arial"/>
                <w:noProof w:val="0"/>
                <w:color w:val="333333"/>
                <w:lang w:val="en-US"/>
              </w:rPr>
              <w:t>Утврђене неусаглашености</w:t>
            </w:r>
            <w:r w:rsidRPr="007B0FCB">
              <w:rPr>
                <w:rFonts w:ascii="Arial" w:eastAsia="Times New Roman" w:hAnsi="Arial" w:cs="Arial"/>
                <w:noProof w:val="0"/>
                <w:color w:val="333333"/>
                <w:vertAlign w:val="superscript"/>
                <w:lang w:val="en-US"/>
              </w:rPr>
              <w:t>2</w:t>
            </w:r>
          </w:p>
        </w:tc>
        <w:tc>
          <w:tcPr>
            <w:tcW w:w="3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r w:rsidRPr="003527C5">
              <w:rPr>
                <w:rFonts w:ascii="Arial" w:eastAsia="Times New Roman" w:hAnsi="Arial" w:cs="Arial"/>
                <w:noProof w:val="0"/>
                <w:color w:val="333333"/>
                <w:lang w:val="en-US"/>
              </w:rPr>
              <w:t>Предузете мере</w:t>
            </w:r>
            <w:r w:rsidRPr="007B0FCB">
              <w:rPr>
                <w:rFonts w:ascii="Arial" w:eastAsia="Times New Roman" w:hAnsi="Arial" w:cs="Arial"/>
                <w:noProof w:val="0"/>
                <w:color w:val="333333"/>
                <w:vertAlign w:val="superscript"/>
                <w:lang w:val="en-US"/>
              </w:rPr>
              <w:t>3</w:t>
            </w:r>
          </w:p>
        </w:tc>
      </w:tr>
      <w:tr w:rsidR="00740FB7" w:rsidRPr="003527C5" w:rsidTr="00740FB7">
        <w:tc>
          <w:tcPr>
            <w:tcW w:w="4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p>
        </w:tc>
        <w:tc>
          <w:tcPr>
            <w:tcW w:w="7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740FB7" w:rsidP="007B0FCB">
            <w:pPr>
              <w:spacing w:before="0" w:after="0"/>
              <w:rPr>
                <w:rFonts w:ascii="Arial" w:eastAsia="Times New Roman" w:hAnsi="Arial" w:cs="Arial"/>
                <w:noProof w:val="0"/>
                <w:color w:val="333333"/>
                <w:lang w:val="sr-Cyrl-RS"/>
              </w:rPr>
            </w:pPr>
            <w:r>
              <w:rPr>
                <w:rFonts w:ascii="Arial" w:eastAsia="Times New Roman" w:hAnsi="Arial" w:cs="Arial"/>
                <w:noProof w:val="0"/>
                <w:color w:val="333333"/>
                <w:lang w:val="sr-Cyrl-RS"/>
              </w:rPr>
              <w:t xml:space="preserve"> </w:t>
            </w:r>
          </w:p>
        </w:tc>
        <w:tc>
          <w:tcPr>
            <w:tcW w:w="13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p>
        </w:tc>
        <w:tc>
          <w:tcPr>
            <w:tcW w:w="2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p>
        </w:tc>
        <w:tc>
          <w:tcPr>
            <w:tcW w:w="5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p>
        </w:tc>
        <w:tc>
          <w:tcPr>
            <w:tcW w:w="6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p>
        </w:tc>
        <w:tc>
          <w:tcPr>
            <w:tcW w:w="3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p>
        </w:tc>
      </w:tr>
      <w:tr w:rsidR="00740FB7" w:rsidRPr="003527C5" w:rsidTr="00740FB7">
        <w:tc>
          <w:tcPr>
            <w:tcW w:w="4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p>
        </w:tc>
        <w:tc>
          <w:tcPr>
            <w:tcW w:w="7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740FB7" w:rsidP="007B0FCB">
            <w:pPr>
              <w:spacing w:before="0" w:after="0"/>
              <w:rPr>
                <w:rFonts w:ascii="Arial" w:eastAsia="Times New Roman" w:hAnsi="Arial" w:cs="Arial"/>
                <w:noProof w:val="0"/>
                <w:color w:val="333333"/>
                <w:lang w:val="sr-Cyrl-RS"/>
              </w:rPr>
            </w:pPr>
            <w:r>
              <w:rPr>
                <w:rFonts w:ascii="Arial" w:eastAsia="Times New Roman" w:hAnsi="Arial" w:cs="Arial"/>
                <w:noProof w:val="0"/>
                <w:color w:val="333333"/>
                <w:lang w:val="sr-Cyrl-RS"/>
              </w:rPr>
              <w:t xml:space="preserve"> </w:t>
            </w:r>
          </w:p>
        </w:tc>
        <w:tc>
          <w:tcPr>
            <w:tcW w:w="13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p>
        </w:tc>
        <w:tc>
          <w:tcPr>
            <w:tcW w:w="2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p>
        </w:tc>
        <w:tc>
          <w:tcPr>
            <w:tcW w:w="5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p>
        </w:tc>
        <w:tc>
          <w:tcPr>
            <w:tcW w:w="6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p>
        </w:tc>
        <w:tc>
          <w:tcPr>
            <w:tcW w:w="3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p>
        </w:tc>
      </w:tr>
      <w:tr w:rsidR="00740FB7" w:rsidRPr="003527C5" w:rsidTr="00740FB7">
        <w:tc>
          <w:tcPr>
            <w:tcW w:w="4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p>
        </w:tc>
        <w:tc>
          <w:tcPr>
            <w:tcW w:w="7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740FB7" w:rsidP="007B0FCB">
            <w:pPr>
              <w:spacing w:before="0" w:after="0"/>
              <w:rPr>
                <w:rFonts w:ascii="Arial" w:eastAsia="Times New Roman" w:hAnsi="Arial" w:cs="Arial"/>
                <w:noProof w:val="0"/>
                <w:color w:val="333333"/>
                <w:lang w:val="sr-Cyrl-RS"/>
              </w:rPr>
            </w:pPr>
            <w:r>
              <w:rPr>
                <w:rFonts w:ascii="Arial" w:eastAsia="Times New Roman" w:hAnsi="Arial" w:cs="Arial"/>
                <w:noProof w:val="0"/>
                <w:color w:val="333333"/>
                <w:lang w:val="sr-Cyrl-RS"/>
              </w:rPr>
              <w:t xml:space="preserve"> </w:t>
            </w:r>
          </w:p>
        </w:tc>
        <w:tc>
          <w:tcPr>
            <w:tcW w:w="13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p>
        </w:tc>
        <w:tc>
          <w:tcPr>
            <w:tcW w:w="2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p>
        </w:tc>
        <w:tc>
          <w:tcPr>
            <w:tcW w:w="5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p>
        </w:tc>
        <w:tc>
          <w:tcPr>
            <w:tcW w:w="6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p>
        </w:tc>
        <w:tc>
          <w:tcPr>
            <w:tcW w:w="3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p>
        </w:tc>
      </w:tr>
      <w:tr w:rsidR="00740FB7" w:rsidRPr="003527C5" w:rsidTr="00740FB7">
        <w:tc>
          <w:tcPr>
            <w:tcW w:w="4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p>
        </w:tc>
        <w:tc>
          <w:tcPr>
            <w:tcW w:w="7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740FB7" w:rsidP="007B0FCB">
            <w:pPr>
              <w:spacing w:before="0" w:after="0"/>
              <w:rPr>
                <w:rFonts w:ascii="Arial" w:eastAsia="Times New Roman" w:hAnsi="Arial" w:cs="Arial"/>
                <w:noProof w:val="0"/>
                <w:color w:val="333333"/>
                <w:lang w:val="sr-Cyrl-RS"/>
              </w:rPr>
            </w:pPr>
            <w:r>
              <w:rPr>
                <w:rFonts w:ascii="Arial" w:eastAsia="Times New Roman" w:hAnsi="Arial" w:cs="Arial"/>
                <w:noProof w:val="0"/>
                <w:color w:val="333333"/>
                <w:lang w:val="sr-Cyrl-RS"/>
              </w:rPr>
              <w:t xml:space="preserve"> </w:t>
            </w:r>
          </w:p>
        </w:tc>
        <w:tc>
          <w:tcPr>
            <w:tcW w:w="13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p>
        </w:tc>
        <w:tc>
          <w:tcPr>
            <w:tcW w:w="2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p>
        </w:tc>
        <w:tc>
          <w:tcPr>
            <w:tcW w:w="5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p>
        </w:tc>
        <w:tc>
          <w:tcPr>
            <w:tcW w:w="6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p>
        </w:tc>
        <w:tc>
          <w:tcPr>
            <w:tcW w:w="3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p>
        </w:tc>
      </w:tr>
      <w:tr w:rsidR="00740FB7" w:rsidRPr="003527C5" w:rsidTr="00740FB7">
        <w:tc>
          <w:tcPr>
            <w:tcW w:w="4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p>
        </w:tc>
        <w:tc>
          <w:tcPr>
            <w:tcW w:w="7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740FB7" w:rsidP="007B0FCB">
            <w:pPr>
              <w:spacing w:before="0" w:after="0"/>
              <w:rPr>
                <w:rFonts w:ascii="Arial" w:eastAsia="Times New Roman" w:hAnsi="Arial" w:cs="Arial"/>
                <w:noProof w:val="0"/>
                <w:color w:val="333333"/>
                <w:lang w:val="sr-Cyrl-RS"/>
              </w:rPr>
            </w:pPr>
            <w:r>
              <w:rPr>
                <w:rFonts w:ascii="Arial" w:eastAsia="Times New Roman" w:hAnsi="Arial" w:cs="Arial"/>
                <w:noProof w:val="0"/>
                <w:color w:val="333333"/>
                <w:lang w:val="sr-Cyrl-RS"/>
              </w:rPr>
              <w:t xml:space="preserve"> </w:t>
            </w:r>
          </w:p>
        </w:tc>
        <w:tc>
          <w:tcPr>
            <w:tcW w:w="13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p>
        </w:tc>
        <w:tc>
          <w:tcPr>
            <w:tcW w:w="6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p>
        </w:tc>
        <w:tc>
          <w:tcPr>
            <w:tcW w:w="2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p>
        </w:tc>
        <w:tc>
          <w:tcPr>
            <w:tcW w:w="5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p>
        </w:tc>
        <w:tc>
          <w:tcPr>
            <w:tcW w:w="63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p>
        </w:tc>
        <w:tc>
          <w:tcPr>
            <w:tcW w:w="3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p>
        </w:tc>
      </w:tr>
    </w:tbl>
    <w:p w:rsidR="003527C5" w:rsidRPr="003527C5" w:rsidRDefault="003527C5" w:rsidP="007B0FCB">
      <w:pPr>
        <w:spacing w:before="0" w:after="0"/>
        <w:ind w:firstLine="480"/>
        <w:rPr>
          <w:rFonts w:ascii="Arial" w:eastAsia="Times New Roman" w:hAnsi="Arial" w:cs="Arial"/>
          <w:noProof w:val="0"/>
          <w:color w:val="333333"/>
          <w:lang w:val="en-US"/>
        </w:rPr>
      </w:pPr>
      <w:r w:rsidRPr="007B0FCB">
        <w:rPr>
          <w:rFonts w:ascii="Arial" w:eastAsia="Times New Roman" w:hAnsi="Arial" w:cs="Arial"/>
          <w:noProof w:val="0"/>
          <w:color w:val="333333"/>
          <w:vertAlign w:val="superscript"/>
          <w:lang w:val="en-US"/>
        </w:rPr>
        <w:t>1</w:t>
      </w:r>
      <w:r w:rsidRPr="003527C5">
        <w:rPr>
          <w:rFonts w:ascii="Arial" w:eastAsia="Times New Roman" w:hAnsi="Arial" w:cs="Arial"/>
          <w:noProof w:val="0"/>
          <w:color w:val="333333"/>
          <w:lang w:val="en-US"/>
        </w:rPr>
        <w:t> Потребно је навести: смеша (потпуна или допунска храна за животиње), адитив, предсмеша, храниво.</w:t>
      </w:r>
    </w:p>
    <w:p w:rsidR="003527C5" w:rsidRPr="003527C5" w:rsidRDefault="003527C5" w:rsidP="007B0FCB">
      <w:pPr>
        <w:spacing w:before="0" w:after="0"/>
        <w:ind w:firstLine="480"/>
        <w:rPr>
          <w:rFonts w:ascii="Arial" w:eastAsia="Times New Roman" w:hAnsi="Arial" w:cs="Arial"/>
          <w:noProof w:val="0"/>
          <w:color w:val="333333"/>
          <w:lang w:val="en-US"/>
        </w:rPr>
      </w:pPr>
      <w:r w:rsidRPr="007B0FCB">
        <w:rPr>
          <w:rFonts w:ascii="Arial" w:eastAsia="Times New Roman" w:hAnsi="Arial" w:cs="Arial"/>
          <w:noProof w:val="0"/>
          <w:color w:val="333333"/>
          <w:vertAlign w:val="superscript"/>
          <w:lang w:val="en-US"/>
        </w:rPr>
        <w:t>2</w:t>
      </w:r>
      <w:r w:rsidRPr="003527C5">
        <w:rPr>
          <w:rFonts w:ascii="Arial" w:eastAsia="Times New Roman" w:hAnsi="Arial" w:cs="Arial"/>
          <w:noProof w:val="0"/>
          <w:color w:val="333333"/>
          <w:lang w:val="en-US"/>
        </w:rPr>
        <w:t> Ако су утврђене неусаглашености, навести резултате лабораторијских испитивања. Ако нема неусаглашености, ово поље остаје празно.</w:t>
      </w:r>
    </w:p>
    <w:p w:rsidR="003527C5" w:rsidRPr="003527C5" w:rsidRDefault="003527C5" w:rsidP="007B0FCB">
      <w:pPr>
        <w:spacing w:before="0" w:after="0"/>
        <w:ind w:firstLine="480"/>
        <w:rPr>
          <w:rFonts w:ascii="Arial" w:eastAsia="Times New Roman" w:hAnsi="Arial" w:cs="Arial"/>
          <w:noProof w:val="0"/>
          <w:color w:val="333333"/>
          <w:lang w:val="en-US"/>
        </w:rPr>
      </w:pPr>
      <w:r w:rsidRPr="007B0FCB">
        <w:rPr>
          <w:rFonts w:ascii="Arial" w:eastAsia="Times New Roman" w:hAnsi="Arial" w:cs="Arial"/>
          <w:noProof w:val="0"/>
          <w:color w:val="333333"/>
          <w:vertAlign w:val="superscript"/>
          <w:lang w:val="en-US"/>
        </w:rPr>
        <w:t>3</w:t>
      </w:r>
      <w:r w:rsidRPr="003527C5">
        <w:rPr>
          <w:rFonts w:ascii="Arial" w:eastAsia="Times New Roman" w:hAnsi="Arial" w:cs="Arial"/>
          <w:noProof w:val="0"/>
          <w:color w:val="333333"/>
          <w:lang w:val="en-US"/>
        </w:rPr>
        <w:t> Потребно је навести следеће мере: навести казну, рестрикције или забране стављања у промет, остало (потребно је појаснити). Уколико нема неусаглашености, ово поље остаје празно.</w:t>
      </w:r>
    </w:p>
    <w:p w:rsidR="003527C5" w:rsidRPr="003527C5" w:rsidRDefault="003527C5" w:rsidP="007B0FCB">
      <w:pPr>
        <w:spacing w:before="330"/>
        <w:ind w:firstLine="480"/>
        <w:jc w:val="center"/>
        <w:rPr>
          <w:rFonts w:ascii="Arial" w:eastAsia="Times New Roman" w:hAnsi="Arial" w:cs="Arial"/>
          <w:i/>
          <w:iCs/>
          <w:noProof w:val="0"/>
          <w:color w:val="333333"/>
          <w:lang w:val="en-US"/>
        </w:rPr>
      </w:pPr>
      <w:r w:rsidRPr="003527C5">
        <w:rPr>
          <w:rFonts w:ascii="Arial" w:eastAsia="Times New Roman" w:hAnsi="Arial" w:cs="Arial"/>
          <w:i/>
          <w:iCs/>
          <w:noProof w:val="0"/>
          <w:color w:val="333333"/>
          <w:lang w:val="en-US"/>
        </w:rPr>
        <w:t>3. Узимање и чување узорка и лабораторијске методе</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У току спровођења Програма мониторинга у складу са Планом мониторинга, инспектор узима службене узорке у сврху испитивања у складу са овим програмом и шаље у oвлашћену лабораторију.</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Методе које се користе за испитивање хране за животиње, наведене у Плану узорковања морају бити акредитоване од стране Акредитационог тела Србије.</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lastRenderedPageBreak/>
        <w:t>Узорци за службену контролу хране за животиње узимају се у складу са методама наведеним у овом програму. Тако добијени узорци сматрају се репрезентативним за узорковане делове.</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Ако се утврди да храна за животиње исте класе или описа, узоркована у складу са одредбама овог правилника, не испуњава прописане услове, сматра се да сва храна за животиње из те серије/лота не испуњава прописане услове, осим ако се детаљном проценом утврди да нема доказа да остатак серије не испуњава прописане услове безбедности.</w:t>
      </w:r>
    </w:p>
    <w:p w:rsidR="003527C5" w:rsidRPr="003527C5" w:rsidRDefault="003527C5" w:rsidP="007B0FCB">
      <w:pPr>
        <w:spacing w:before="330"/>
        <w:ind w:firstLine="480"/>
        <w:jc w:val="center"/>
        <w:rPr>
          <w:rFonts w:ascii="Arial" w:eastAsia="Times New Roman" w:hAnsi="Arial" w:cs="Arial"/>
          <w:noProof w:val="0"/>
          <w:color w:val="333333"/>
          <w:lang w:val="en-US"/>
        </w:rPr>
      </w:pPr>
      <w:r w:rsidRPr="003527C5">
        <w:rPr>
          <w:rFonts w:ascii="Arial" w:eastAsia="Times New Roman" w:hAnsi="Arial" w:cs="Arial"/>
          <w:noProof w:val="0"/>
          <w:color w:val="333333"/>
          <w:lang w:val="en-US"/>
        </w:rPr>
        <w:t>3.1. Сврха и област примене</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Сврха репрезентативног узорковања је добијање мање количине из серије на начин да одређивање било које посебне особине те количине представља средњу вредност особине серије. Серија се узоркује поновљеним узимањем појединачних узорака при различитим јединственим положајима у серији. Ти појединачни узорци комбинују се мешањем до форме збирног узорка из кога се репрезентативним дељењем припремају репрезентативни коначни узорци.</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Ако се визуелном прегледом утврди разлика у квалитету делова хране за животиње намењене узорковању у односу на преостали део исте серије, такви делови раздвајају се од остатка хране за животиње и са њима се поступа као са одвојеном подсеријом. Ако није могуће разделити храну за животиње у одвојене подсерије, храна за животиње узоркује се као једна серија. У овом случају се ове чињенице наводе у извештају о узорковању.</w:t>
      </w:r>
    </w:p>
    <w:p w:rsidR="003527C5" w:rsidRPr="003527C5" w:rsidRDefault="003527C5" w:rsidP="007B0FCB">
      <w:pPr>
        <w:spacing w:before="330"/>
        <w:ind w:firstLine="480"/>
        <w:jc w:val="center"/>
        <w:rPr>
          <w:rFonts w:ascii="Arial" w:eastAsia="Times New Roman" w:hAnsi="Arial" w:cs="Arial"/>
          <w:noProof w:val="0"/>
          <w:color w:val="333333"/>
          <w:lang w:val="en-US"/>
        </w:rPr>
      </w:pPr>
      <w:r w:rsidRPr="003527C5">
        <w:rPr>
          <w:rFonts w:ascii="Arial" w:eastAsia="Times New Roman" w:hAnsi="Arial" w:cs="Arial"/>
          <w:noProof w:val="0"/>
          <w:color w:val="333333"/>
          <w:lang w:val="en-US"/>
        </w:rPr>
        <w:t>3.2. Опште одредбе</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Узорке узимају лица која су за то овлашћена.</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Узорак мора бити упакован тако да се очува његов интегритет, односно да се било који покушај отварања од стране неовлашћеног лица може одмах уочити.</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Узорак се може држати у посуди која се затвара на начин да се не може отворити без неповратног оштећења, чиме се избегава поново коришћење такве посуде.</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Узорак мора бити неизбрисиво означен и мора се идентификовати на начин да постоји јасна веза са извештајем о узорку.</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Из сваког збирног узорка за Програм мониторинга узима се један коначан узорак, а за остале службене контроле узимају се најмање два коначна узорка, и то: најмање један за контролу и један за субјекта у пословању храном за животиње. Евентуално, један коначан узорак може бити узет као референтни узорак. Ако је целокупан збирни узорак хомогенизован, коначни узорци узимају се из хомогенизованог збирног узорка.</w:t>
      </w:r>
    </w:p>
    <w:p w:rsidR="003527C5" w:rsidRPr="003527C5" w:rsidRDefault="003527C5" w:rsidP="007B0FCB">
      <w:pPr>
        <w:spacing w:before="330"/>
        <w:ind w:firstLine="480"/>
        <w:jc w:val="center"/>
        <w:rPr>
          <w:rFonts w:ascii="Arial" w:eastAsia="Times New Roman" w:hAnsi="Arial" w:cs="Arial"/>
          <w:noProof w:val="0"/>
          <w:color w:val="333333"/>
          <w:lang w:val="en-US"/>
        </w:rPr>
      </w:pPr>
      <w:r w:rsidRPr="003527C5">
        <w:rPr>
          <w:rFonts w:ascii="Arial" w:eastAsia="Times New Roman" w:hAnsi="Arial" w:cs="Arial"/>
          <w:noProof w:val="0"/>
          <w:color w:val="333333"/>
          <w:lang w:val="en-US"/>
        </w:rPr>
        <w:t>3.3. Опрема</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3.3.1. Опрема за узорковање мора бити израђена од материјала који не могу контаминирати производе намењене узорковању. Опрема намењена вишеструкој употреби мора бити једноставна за чишћење и дезинфекцију, како би се избегла унакрсна контаминација.</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3.3.2. Препоручена опрема за узорковање чврсте хране за животиње</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3.3.2.1. Ручно узорковање</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3.3.2.1.1. Лопатица са равним дном и вертикалним страницама</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3.3.2.1.2. Сонда за узорковање са дугим процепом или преградама Димензије сонде за узорковање морају одговарати особинама узорка (дубина посуде, величина вреће, итд.) и величини честица хране за животиње.</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Ако сонда за узорковање има неколико отвора, они се одвајају преградама или распоређеним отворима како би се осигурало да се узорак узима на различитим местима дуж сонде.</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3.3.2.2. Механичко узорковање</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За узорковање хране за животиње која је у протоку може се користити одговарајућа механичка опрема. Одговарајућа механичка опрема значи да се узоркује најмање целокупна секција читавог протока.</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Узорковање хране за животиње у протоку (при великим брзинама протока) може се провести аутоматским узоркивачима.</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3.3.2.3. Разделник</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Ако је могуће и одговарајуће, опрема намењена за раздвајање узорка на приближно једнаке делове треба да се користи за припрему редукованих узорака на репрезентативан начин.</w:t>
      </w:r>
    </w:p>
    <w:p w:rsidR="003527C5" w:rsidRPr="003527C5" w:rsidRDefault="003527C5" w:rsidP="007B0FCB">
      <w:pPr>
        <w:spacing w:before="330" w:after="0"/>
        <w:ind w:firstLine="480"/>
        <w:jc w:val="center"/>
        <w:rPr>
          <w:rFonts w:ascii="Arial" w:eastAsia="Times New Roman" w:hAnsi="Arial" w:cs="Arial"/>
          <w:noProof w:val="0"/>
          <w:color w:val="333333"/>
          <w:lang w:val="en-US"/>
        </w:rPr>
      </w:pPr>
      <w:r w:rsidRPr="003527C5">
        <w:rPr>
          <w:rFonts w:ascii="Arial" w:eastAsia="Times New Roman" w:hAnsi="Arial" w:cs="Arial"/>
          <w:noProof w:val="0"/>
          <w:color w:val="333333"/>
          <w:lang w:val="en-US"/>
        </w:rPr>
        <w:t>3.4. Захтеви у погледу количина</w:t>
      </w:r>
      <w:r w:rsidRPr="003527C5">
        <w:rPr>
          <w:rFonts w:ascii="Arial" w:eastAsia="Times New Roman" w:hAnsi="Arial" w:cs="Arial"/>
          <w:noProof w:val="0"/>
          <w:color w:val="333333"/>
          <w:lang w:val="en-US"/>
        </w:rPr>
        <w:br/>
        <w:t>у појединачним узорцима</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 xml:space="preserve">Захтеви у погледу количина из тач. 3.4.1. и 3.4.2. овог пододељка у вези са бројем појединачних узорака примењују се за узорковане делове у величинама до највише 500 t који се могу узорковати на репрезентативан начин. Описани поступак узорковања важећи је и за количине веће од прописане максималне величине узоркованог дела под условом да се највећи број појединачних узорака из подтач. 3.4.1.1 – 3.4.1.3 овог пододељка, не примењује, при чему се број појединачних узорака одређује формулом </w:t>
      </w:r>
      <w:r w:rsidRPr="003527C5">
        <w:rPr>
          <w:rFonts w:ascii="Arial" w:eastAsia="Times New Roman" w:hAnsi="Arial" w:cs="Arial"/>
          <w:noProof w:val="0"/>
          <w:color w:val="333333"/>
          <w:lang w:val="en-US"/>
        </w:rPr>
        <w:lastRenderedPageBreak/>
        <w:t>квадратног корена наведеном у одговарајућем делу поступка (видети тачку 3.4.3. овог пододељка), а најмања величина збирног узорка се пропорционално увећава. Овим се не спречава раздвајање велике серије у неколико мањих подсерија и узорковање сваке подсерије, у складу са поступком описаним у тач. 3.4.1. и 3.4.2. овог пододељка.</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Величина узоркованог дела мора бити таква да сваки од његових саставних делова може бити узоркован.</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За јако велике серије или подсерије (&gt; 500 t) и за серије које се превозе или складиште на такав начин да је узорковање немогуће извршити у складу са поступком узорковања из тач. 3.4.1. и 3.4.2. овог пододељка, примењује се поступак узорковања из тачке 3.4.3. овог пододељка.</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У случају да је субјекат у пословању храном за животиње обавезан да испуни услове у складу са овим правилником у оквиру обавезног мониторинга, тај субјекат може одступити од предвиђених количинских захтева како би се у обзир узеле оперативне карактеристике под условом да је доказао истоветност поступка узорковања у погледу репрезентативности и после одобрења надлежног органа.</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Изузетно, уколико није могуће спровести наведену методу узорковања у вези са количинским захтевима због неприхватљиве комерцијалне штете (због облика паковања, превозних средстава, начина складиштења, итд.), може се применити алтернативни начин узорковања, под условом да је што репрезентативнији и у потпуности описан и документован.</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3.4.1. Захтеви у погледу количина у појединачним узорцима при контроли супстанци или производа равномерно расподељених у храни за животиње</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3.4.1.1. Чврста храна за животиње у расутом стању</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142"/>
        <w:gridCol w:w="9400"/>
      </w:tblGrid>
      <w:tr w:rsidR="003527C5" w:rsidRPr="003527C5" w:rsidTr="00740FB7">
        <w:tc>
          <w:tcPr>
            <w:tcW w:w="9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Величина узоркованог дела</w:t>
            </w:r>
          </w:p>
        </w:tc>
        <w:tc>
          <w:tcPr>
            <w:tcW w:w="407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Најмањи број појединачних узорака</w:t>
            </w:r>
          </w:p>
        </w:tc>
      </w:tr>
      <w:tr w:rsidR="003527C5" w:rsidRPr="003527C5" w:rsidTr="00740FB7">
        <w:tc>
          <w:tcPr>
            <w:tcW w:w="9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 2,5 t</w:t>
            </w:r>
          </w:p>
        </w:tc>
        <w:tc>
          <w:tcPr>
            <w:tcW w:w="407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7</w:t>
            </w:r>
          </w:p>
        </w:tc>
      </w:tr>
      <w:tr w:rsidR="003527C5" w:rsidRPr="003527C5" w:rsidTr="00740FB7">
        <w:tc>
          <w:tcPr>
            <w:tcW w:w="92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 2,5 t</w:t>
            </w:r>
          </w:p>
        </w:tc>
        <w:tc>
          <w:tcPr>
            <w:tcW w:w="407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r w:rsidRPr="003527C5">
              <w:rPr>
                <w:rFonts w:ascii="Arial" w:eastAsia="Times New Roman" w:hAnsi="Arial" w:cs="Arial"/>
                <w:noProof w:val="0"/>
                <w:color w:val="333333"/>
                <w:lang w:val="en-US"/>
              </w:rPr>
              <w:t>Квадратни корен из двадесетог дела укупног броја у тонама који чини узорковани део, највише до 40 појединачних узорака</w:t>
            </w:r>
            <w:r w:rsidRPr="007B0FCB">
              <w:rPr>
                <w:rFonts w:ascii="Arial" w:eastAsia="Times New Roman" w:hAnsi="Arial" w:cs="Arial"/>
                <w:noProof w:val="0"/>
                <w:color w:val="333333"/>
                <w:vertAlign w:val="superscript"/>
                <w:lang w:val="en-US"/>
              </w:rPr>
              <w:t>*)</w:t>
            </w:r>
          </w:p>
        </w:tc>
      </w:tr>
    </w:tbl>
    <w:p w:rsidR="003527C5" w:rsidRPr="003527C5" w:rsidRDefault="003527C5" w:rsidP="007B0FCB">
      <w:pPr>
        <w:spacing w:before="0" w:after="0"/>
        <w:ind w:firstLine="480"/>
        <w:rPr>
          <w:rFonts w:ascii="Arial" w:eastAsia="Times New Roman" w:hAnsi="Arial" w:cs="Arial"/>
          <w:noProof w:val="0"/>
          <w:color w:val="333333"/>
          <w:lang w:val="en-US"/>
        </w:rPr>
      </w:pPr>
      <w:r w:rsidRPr="007B0FCB">
        <w:rPr>
          <w:rFonts w:ascii="Arial" w:eastAsia="Times New Roman" w:hAnsi="Arial" w:cs="Arial"/>
          <w:noProof w:val="0"/>
          <w:color w:val="333333"/>
          <w:vertAlign w:val="superscript"/>
          <w:lang w:val="en-US"/>
        </w:rPr>
        <w:t>*)</w:t>
      </w:r>
      <w:r w:rsidRPr="003527C5">
        <w:rPr>
          <w:rFonts w:ascii="Arial" w:eastAsia="Times New Roman" w:hAnsi="Arial" w:cs="Arial"/>
          <w:noProof w:val="0"/>
          <w:color w:val="333333"/>
          <w:lang w:val="en-US"/>
        </w:rPr>
        <w:t> Када добијени број није цео број, заокружује се на следећи цео број</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3.4.1.2. Течна храна за животиње</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065"/>
        <w:gridCol w:w="6477"/>
      </w:tblGrid>
      <w:tr w:rsidR="003527C5" w:rsidRPr="003527C5" w:rsidTr="00740FB7">
        <w:tc>
          <w:tcPr>
            <w:tcW w:w="21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Величина узоркованог дела</w:t>
            </w:r>
          </w:p>
        </w:tc>
        <w:tc>
          <w:tcPr>
            <w:tcW w:w="28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Најмањи број појединачних узорака</w:t>
            </w:r>
          </w:p>
        </w:tc>
      </w:tr>
      <w:tr w:rsidR="003527C5" w:rsidRPr="003527C5" w:rsidTr="00740FB7">
        <w:tc>
          <w:tcPr>
            <w:tcW w:w="21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 2,5 t или ≤ 2,500 l</w:t>
            </w:r>
          </w:p>
        </w:tc>
        <w:tc>
          <w:tcPr>
            <w:tcW w:w="28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r w:rsidRPr="003527C5">
              <w:rPr>
                <w:rFonts w:ascii="Arial" w:eastAsia="Times New Roman" w:hAnsi="Arial" w:cs="Arial"/>
                <w:noProof w:val="0"/>
                <w:color w:val="333333"/>
                <w:lang w:val="en-US"/>
              </w:rPr>
              <w:t>4</w:t>
            </w:r>
            <w:r w:rsidRPr="007B0FCB">
              <w:rPr>
                <w:rFonts w:ascii="Arial" w:eastAsia="Times New Roman" w:hAnsi="Arial" w:cs="Arial"/>
                <w:noProof w:val="0"/>
                <w:color w:val="333333"/>
                <w:vertAlign w:val="superscript"/>
                <w:lang w:val="en-US"/>
              </w:rPr>
              <w:t>*)</w:t>
            </w:r>
          </w:p>
        </w:tc>
      </w:tr>
      <w:tr w:rsidR="003527C5" w:rsidRPr="003527C5" w:rsidTr="00740FB7">
        <w:tc>
          <w:tcPr>
            <w:tcW w:w="21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 2,5 t или ˃ 2,500 l</w:t>
            </w:r>
          </w:p>
        </w:tc>
        <w:tc>
          <w:tcPr>
            <w:tcW w:w="280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r w:rsidRPr="003527C5">
              <w:rPr>
                <w:rFonts w:ascii="Arial" w:eastAsia="Times New Roman" w:hAnsi="Arial" w:cs="Arial"/>
                <w:noProof w:val="0"/>
                <w:color w:val="333333"/>
                <w:lang w:val="en-US"/>
              </w:rPr>
              <w:t>7</w:t>
            </w:r>
            <w:r w:rsidRPr="007B0FCB">
              <w:rPr>
                <w:rFonts w:ascii="Arial" w:eastAsia="Times New Roman" w:hAnsi="Arial" w:cs="Arial"/>
                <w:noProof w:val="0"/>
                <w:color w:val="333333"/>
                <w:vertAlign w:val="superscript"/>
                <w:lang w:val="en-US"/>
              </w:rPr>
              <w:t>*)</w:t>
            </w:r>
          </w:p>
        </w:tc>
      </w:tr>
    </w:tbl>
    <w:p w:rsidR="003527C5" w:rsidRPr="003527C5" w:rsidRDefault="003527C5" w:rsidP="007B0FCB">
      <w:pPr>
        <w:spacing w:before="0" w:after="0"/>
        <w:ind w:firstLine="480"/>
        <w:rPr>
          <w:rFonts w:ascii="Arial" w:eastAsia="Times New Roman" w:hAnsi="Arial" w:cs="Arial"/>
          <w:noProof w:val="0"/>
          <w:color w:val="333333"/>
          <w:lang w:val="en-US"/>
        </w:rPr>
      </w:pPr>
      <w:r w:rsidRPr="007B0FCB">
        <w:rPr>
          <w:rFonts w:ascii="Arial" w:eastAsia="Times New Roman" w:hAnsi="Arial" w:cs="Arial"/>
          <w:noProof w:val="0"/>
          <w:color w:val="333333"/>
          <w:vertAlign w:val="superscript"/>
          <w:lang w:val="en-US"/>
        </w:rPr>
        <w:t>*)</w:t>
      </w:r>
      <w:r w:rsidRPr="003527C5">
        <w:rPr>
          <w:rFonts w:ascii="Arial" w:eastAsia="Times New Roman" w:hAnsi="Arial" w:cs="Arial"/>
          <w:noProof w:val="0"/>
          <w:color w:val="333333"/>
          <w:lang w:val="en-US"/>
        </w:rPr>
        <w:t> Ако није могуће добити хомогену течност, потребно је увећати број појединачних узорака.</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3.4.1.3. Пакована храна за животиње</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Храна за животиње (у чврстом или течном стању) може се паковати у вреће, лименке, бачве, итд. које су у табели означене као јединице. Велике јединице (≥ 500 kg или l) морају се узорковати у складу са одредбама предвиђеним за храну за животиње у расутом стању (подтач. 3.4.1.1. и 3.4.1.2. овог пододељка).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366"/>
        <w:gridCol w:w="9176"/>
      </w:tblGrid>
      <w:tr w:rsidR="003527C5" w:rsidRPr="003527C5" w:rsidTr="00740FB7">
        <w:tc>
          <w:tcPr>
            <w:tcW w:w="10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Величина узоркованог дела</w:t>
            </w:r>
          </w:p>
        </w:tc>
        <w:tc>
          <w:tcPr>
            <w:tcW w:w="39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r w:rsidRPr="003527C5">
              <w:rPr>
                <w:rFonts w:ascii="Arial" w:eastAsia="Times New Roman" w:hAnsi="Arial" w:cs="Arial"/>
                <w:noProof w:val="0"/>
                <w:color w:val="333333"/>
                <w:lang w:val="en-US"/>
              </w:rPr>
              <w:t>Најмањи број појединачних узорака</w:t>
            </w:r>
            <w:r w:rsidRPr="007B0FCB">
              <w:rPr>
                <w:rFonts w:ascii="Arial" w:eastAsia="Times New Roman" w:hAnsi="Arial" w:cs="Arial"/>
                <w:noProof w:val="0"/>
                <w:color w:val="333333"/>
                <w:vertAlign w:val="superscript"/>
                <w:lang w:val="en-US"/>
              </w:rPr>
              <w:t>*)</w:t>
            </w:r>
            <w:r w:rsidRPr="003527C5">
              <w:rPr>
                <w:rFonts w:ascii="Arial" w:eastAsia="Times New Roman" w:hAnsi="Arial" w:cs="Arial"/>
                <w:noProof w:val="0"/>
                <w:color w:val="333333"/>
                <w:lang w:val="en-US"/>
              </w:rPr>
              <w:t>:</w:t>
            </w:r>
          </w:p>
        </w:tc>
      </w:tr>
      <w:tr w:rsidR="003527C5" w:rsidRPr="003527C5" w:rsidTr="00740FB7">
        <w:tc>
          <w:tcPr>
            <w:tcW w:w="10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1–20 јединица</w:t>
            </w:r>
          </w:p>
        </w:tc>
        <w:tc>
          <w:tcPr>
            <w:tcW w:w="39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r w:rsidRPr="003527C5">
              <w:rPr>
                <w:rFonts w:ascii="Arial" w:eastAsia="Times New Roman" w:hAnsi="Arial" w:cs="Arial"/>
                <w:noProof w:val="0"/>
                <w:color w:val="333333"/>
                <w:lang w:val="en-US"/>
              </w:rPr>
              <w:t>1 јединица</w:t>
            </w:r>
            <w:r w:rsidRPr="007B0FCB">
              <w:rPr>
                <w:rFonts w:ascii="Arial" w:eastAsia="Times New Roman" w:hAnsi="Arial" w:cs="Arial"/>
                <w:noProof w:val="0"/>
                <w:color w:val="333333"/>
                <w:vertAlign w:val="superscript"/>
                <w:lang w:val="en-US"/>
              </w:rPr>
              <w:t>**)</w:t>
            </w:r>
          </w:p>
        </w:tc>
      </w:tr>
      <w:tr w:rsidR="003527C5" w:rsidRPr="003527C5" w:rsidTr="00740FB7">
        <w:tc>
          <w:tcPr>
            <w:tcW w:w="10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21–150 јединица</w:t>
            </w:r>
          </w:p>
        </w:tc>
        <w:tc>
          <w:tcPr>
            <w:tcW w:w="39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r w:rsidRPr="003527C5">
              <w:rPr>
                <w:rFonts w:ascii="Arial" w:eastAsia="Times New Roman" w:hAnsi="Arial" w:cs="Arial"/>
                <w:noProof w:val="0"/>
                <w:color w:val="333333"/>
                <w:lang w:val="en-US"/>
              </w:rPr>
              <w:t>3 јединице</w:t>
            </w:r>
            <w:r w:rsidRPr="007B0FCB">
              <w:rPr>
                <w:rFonts w:ascii="Arial" w:eastAsia="Times New Roman" w:hAnsi="Arial" w:cs="Arial"/>
                <w:noProof w:val="0"/>
                <w:color w:val="333333"/>
                <w:vertAlign w:val="superscript"/>
                <w:lang w:val="en-US"/>
              </w:rPr>
              <w:t>**)</w:t>
            </w:r>
          </w:p>
        </w:tc>
      </w:tr>
      <w:tr w:rsidR="003527C5" w:rsidRPr="003527C5" w:rsidTr="00740FB7">
        <w:tc>
          <w:tcPr>
            <w:tcW w:w="10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151–400 јединица</w:t>
            </w:r>
          </w:p>
        </w:tc>
        <w:tc>
          <w:tcPr>
            <w:tcW w:w="39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r w:rsidRPr="003527C5">
              <w:rPr>
                <w:rFonts w:ascii="Arial" w:eastAsia="Times New Roman" w:hAnsi="Arial" w:cs="Arial"/>
                <w:noProof w:val="0"/>
                <w:color w:val="333333"/>
                <w:lang w:val="en-US"/>
              </w:rPr>
              <w:t>5 јединица</w:t>
            </w:r>
            <w:r w:rsidRPr="007B0FCB">
              <w:rPr>
                <w:rFonts w:ascii="Arial" w:eastAsia="Times New Roman" w:hAnsi="Arial" w:cs="Arial"/>
                <w:noProof w:val="0"/>
                <w:color w:val="333333"/>
                <w:vertAlign w:val="superscript"/>
                <w:lang w:val="en-US"/>
              </w:rPr>
              <w:t>**)</w:t>
            </w:r>
          </w:p>
        </w:tc>
      </w:tr>
      <w:tr w:rsidR="003527C5" w:rsidRPr="003527C5" w:rsidTr="00740FB7">
        <w:tc>
          <w:tcPr>
            <w:tcW w:w="10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 400 јединица</w:t>
            </w:r>
          </w:p>
        </w:tc>
        <w:tc>
          <w:tcPr>
            <w:tcW w:w="39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r w:rsidRPr="003527C5">
              <w:rPr>
                <w:rFonts w:ascii="Arial" w:eastAsia="Times New Roman" w:hAnsi="Arial" w:cs="Arial"/>
                <w:noProof w:val="0"/>
                <w:color w:val="333333"/>
                <w:lang w:val="en-US"/>
              </w:rPr>
              <w:t>Једна четвртина квадратног корена из броја јединица које чине узорковани део</w:t>
            </w:r>
            <w:r w:rsidRPr="007B0FCB">
              <w:rPr>
                <w:rFonts w:ascii="Arial" w:eastAsia="Times New Roman" w:hAnsi="Arial" w:cs="Arial"/>
                <w:noProof w:val="0"/>
                <w:color w:val="333333"/>
                <w:vertAlign w:val="superscript"/>
                <w:lang w:val="en-US"/>
              </w:rPr>
              <w:t>***)</w:t>
            </w:r>
            <w:r w:rsidRPr="003527C5">
              <w:rPr>
                <w:rFonts w:ascii="Arial" w:eastAsia="Times New Roman" w:hAnsi="Arial" w:cs="Arial"/>
                <w:noProof w:val="0"/>
                <w:color w:val="333333"/>
                <w:lang w:val="en-US"/>
              </w:rPr>
              <w:t> до 40 појединачних узорака</w:t>
            </w:r>
          </w:p>
        </w:tc>
      </w:tr>
    </w:tbl>
    <w:p w:rsidR="003527C5" w:rsidRPr="003527C5" w:rsidRDefault="003527C5" w:rsidP="007B0FCB">
      <w:pPr>
        <w:spacing w:before="0" w:after="0"/>
        <w:ind w:firstLine="480"/>
        <w:rPr>
          <w:rFonts w:ascii="Arial" w:eastAsia="Times New Roman" w:hAnsi="Arial" w:cs="Arial"/>
          <w:noProof w:val="0"/>
          <w:color w:val="333333"/>
          <w:lang w:val="en-US"/>
        </w:rPr>
      </w:pPr>
      <w:r w:rsidRPr="007B0FCB">
        <w:rPr>
          <w:rFonts w:ascii="Arial" w:eastAsia="Times New Roman" w:hAnsi="Arial" w:cs="Arial"/>
          <w:noProof w:val="0"/>
          <w:color w:val="333333"/>
          <w:vertAlign w:val="superscript"/>
          <w:lang w:val="en-US"/>
        </w:rPr>
        <w:t>*)</w:t>
      </w:r>
      <w:r w:rsidRPr="003527C5">
        <w:rPr>
          <w:rFonts w:ascii="Arial" w:eastAsia="Times New Roman" w:hAnsi="Arial" w:cs="Arial"/>
          <w:noProof w:val="0"/>
          <w:color w:val="333333"/>
          <w:lang w:val="en-US"/>
        </w:rPr>
        <w:t> У случају када отварање јединице може утицати на испитивања (нпр. кварљива влажна храна за животиње), неотворена јединица служи као појединачни узорак.</w:t>
      </w:r>
    </w:p>
    <w:p w:rsidR="003527C5" w:rsidRPr="003527C5" w:rsidRDefault="003527C5" w:rsidP="007B0FCB">
      <w:pPr>
        <w:spacing w:before="0" w:after="0"/>
        <w:ind w:firstLine="480"/>
        <w:rPr>
          <w:rFonts w:ascii="Arial" w:eastAsia="Times New Roman" w:hAnsi="Arial" w:cs="Arial"/>
          <w:noProof w:val="0"/>
          <w:color w:val="333333"/>
          <w:lang w:val="en-US"/>
        </w:rPr>
      </w:pPr>
      <w:r w:rsidRPr="007B0FCB">
        <w:rPr>
          <w:rFonts w:ascii="Arial" w:eastAsia="Times New Roman" w:hAnsi="Arial" w:cs="Arial"/>
          <w:noProof w:val="0"/>
          <w:color w:val="333333"/>
          <w:vertAlign w:val="superscript"/>
          <w:lang w:val="en-US"/>
        </w:rPr>
        <w:t>**)</w:t>
      </w:r>
      <w:r w:rsidRPr="003527C5">
        <w:rPr>
          <w:rFonts w:ascii="Arial" w:eastAsia="Times New Roman" w:hAnsi="Arial" w:cs="Arial"/>
          <w:noProof w:val="0"/>
          <w:color w:val="333333"/>
          <w:lang w:val="en-US"/>
        </w:rPr>
        <w:t> За јединице чији садржај не прелази 1 kg или једну l, појединачни узорак је садржај једне оригиналне јединице.</w:t>
      </w:r>
    </w:p>
    <w:p w:rsidR="003527C5" w:rsidRPr="003527C5" w:rsidRDefault="003527C5" w:rsidP="007B0FCB">
      <w:pPr>
        <w:spacing w:before="0" w:after="0"/>
        <w:ind w:firstLine="480"/>
        <w:rPr>
          <w:rFonts w:ascii="Arial" w:eastAsia="Times New Roman" w:hAnsi="Arial" w:cs="Arial"/>
          <w:noProof w:val="0"/>
          <w:color w:val="333333"/>
          <w:lang w:val="en-US"/>
        </w:rPr>
      </w:pPr>
      <w:r w:rsidRPr="007B0FCB">
        <w:rPr>
          <w:rFonts w:ascii="Arial" w:eastAsia="Times New Roman" w:hAnsi="Arial" w:cs="Arial"/>
          <w:noProof w:val="0"/>
          <w:color w:val="333333"/>
          <w:vertAlign w:val="superscript"/>
          <w:lang w:val="en-US"/>
        </w:rPr>
        <w:t>***)</w:t>
      </w:r>
      <w:r w:rsidRPr="003527C5">
        <w:rPr>
          <w:rFonts w:ascii="Arial" w:eastAsia="Times New Roman" w:hAnsi="Arial" w:cs="Arial"/>
          <w:noProof w:val="0"/>
          <w:color w:val="333333"/>
          <w:lang w:val="en-US"/>
        </w:rPr>
        <w:t> Када добијени број није цео број, заокружује се на следећи цео број.</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3.4.1.4. Блокови или камен за лизање</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Када се врши узорковање блока или камена за лизање, узоркује се најмање један блок или камен за лизање, по узоркованом делу од 25 јединица, до највише четири блока или камена за лизање.</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За четири блока или камена за лизање чија појединачна тежина није већа од 1 kg, појединачни узорак садржај је једног блока или једног камена за лизање.</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3.4.1.5. Кабаста хранива</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403"/>
        <w:gridCol w:w="9021"/>
      </w:tblGrid>
      <w:tr w:rsidR="003527C5" w:rsidRPr="003527C5" w:rsidTr="00740FB7">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lastRenderedPageBreak/>
              <w:t>Величина узоркованог дела</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Најмањи број појединачних узорака</w:t>
            </w:r>
          </w:p>
        </w:tc>
      </w:tr>
      <w:tr w:rsidR="003527C5" w:rsidRPr="003527C5" w:rsidTr="00740FB7">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 5 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5</w:t>
            </w:r>
          </w:p>
        </w:tc>
      </w:tr>
      <w:tr w:rsidR="003527C5" w:rsidRPr="003527C5" w:rsidTr="00740FB7">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 5 t</w:t>
            </w:r>
          </w:p>
        </w:tc>
        <w:tc>
          <w:tcPr>
            <w:tcW w:w="0" w:type="auto"/>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r w:rsidRPr="003527C5">
              <w:rPr>
                <w:rFonts w:ascii="Arial" w:eastAsia="Times New Roman" w:hAnsi="Arial" w:cs="Arial"/>
                <w:noProof w:val="0"/>
                <w:color w:val="333333"/>
                <w:lang w:val="en-US"/>
              </w:rPr>
              <w:t>Квадратни корен из петине укупног броја t који чине узорковани део</w:t>
            </w:r>
            <w:r w:rsidRPr="007B0FCB">
              <w:rPr>
                <w:rFonts w:ascii="Arial" w:eastAsia="Times New Roman" w:hAnsi="Arial" w:cs="Arial"/>
                <w:noProof w:val="0"/>
                <w:color w:val="333333"/>
                <w:vertAlign w:val="superscript"/>
                <w:lang w:val="en-US"/>
              </w:rPr>
              <w:t>*)</w:t>
            </w:r>
            <w:r w:rsidRPr="003527C5">
              <w:rPr>
                <w:rFonts w:ascii="Arial" w:eastAsia="Times New Roman" w:hAnsi="Arial" w:cs="Arial"/>
                <w:noProof w:val="0"/>
                <w:color w:val="333333"/>
                <w:lang w:val="en-US"/>
              </w:rPr>
              <w:t>, до највише 40 појединачних узорака</w:t>
            </w:r>
          </w:p>
        </w:tc>
      </w:tr>
    </w:tbl>
    <w:p w:rsidR="003527C5" w:rsidRPr="003527C5" w:rsidRDefault="003527C5" w:rsidP="007B0FCB">
      <w:pPr>
        <w:spacing w:before="0" w:after="0"/>
        <w:ind w:firstLine="480"/>
        <w:rPr>
          <w:rFonts w:ascii="Arial" w:eastAsia="Times New Roman" w:hAnsi="Arial" w:cs="Arial"/>
          <w:noProof w:val="0"/>
          <w:color w:val="333333"/>
          <w:lang w:val="en-US"/>
        </w:rPr>
      </w:pPr>
      <w:r w:rsidRPr="007B0FCB">
        <w:rPr>
          <w:rFonts w:ascii="Arial" w:eastAsia="Times New Roman" w:hAnsi="Arial" w:cs="Arial"/>
          <w:noProof w:val="0"/>
          <w:color w:val="333333"/>
          <w:vertAlign w:val="superscript"/>
          <w:lang w:val="en-US"/>
        </w:rPr>
        <w:t>*)</w:t>
      </w:r>
      <w:r w:rsidRPr="003527C5">
        <w:rPr>
          <w:rFonts w:ascii="Arial" w:eastAsia="Times New Roman" w:hAnsi="Arial" w:cs="Arial"/>
          <w:noProof w:val="0"/>
          <w:color w:val="333333"/>
          <w:lang w:val="en-US"/>
        </w:rPr>
        <w:t> Узима се у обзир да у одређеним ситуацијама (нпр. код силажа) није могуће узети потребне појединачне узорке без узроковања неприхватљиве штете на серији.</w:t>
      </w:r>
    </w:p>
    <w:p w:rsidR="003527C5" w:rsidRPr="003527C5" w:rsidRDefault="003527C5" w:rsidP="007B0FCB">
      <w:pPr>
        <w:spacing w:before="0" w:after="0"/>
        <w:ind w:firstLine="480"/>
        <w:rPr>
          <w:rFonts w:ascii="Arial" w:eastAsia="Times New Roman" w:hAnsi="Arial" w:cs="Arial"/>
          <w:noProof w:val="0"/>
          <w:color w:val="333333"/>
          <w:lang w:val="en-US"/>
        </w:rPr>
      </w:pPr>
      <w:r w:rsidRPr="007B0FCB">
        <w:rPr>
          <w:rFonts w:ascii="Arial" w:eastAsia="Times New Roman" w:hAnsi="Arial" w:cs="Arial"/>
          <w:noProof w:val="0"/>
          <w:color w:val="333333"/>
          <w:vertAlign w:val="superscript"/>
          <w:lang w:val="en-US"/>
        </w:rPr>
        <w:t>**)</w:t>
      </w:r>
      <w:r w:rsidRPr="003527C5">
        <w:rPr>
          <w:rFonts w:ascii="Arial" w:eastAsia="Times New Roman" w:hAnsi="Arial" w:cs="Arial"/>
          <w:noProof w:val="0"/>
          <w:color w:val="333333"/>
          <w:lang w:val="en-US"/>
        </w:rPr>
        <w:t> Када добијени број није цео број, заокружује се на следећи цео број.</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3.4.2. Захтеви у погледу количина у појединачним узорцима при испитивању супстанци или производа равномерно расподељених у храни за животиње</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Захтеви у погледу количина у појединачним узорцима користе се у следећим ситуацијама:</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1) контрола афлатоксина, ражаних гљивица, осталих микотоксина и штетних ботаничких нечистоћа у храни за животиње;</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2) контрола унакрсне контаминације састојком, укључујући и генетички модификованим материјалом или супстанцом за коју се очекује неуједначена дистрибуција у храни за животиње.</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Ако постоји јака сумња за постојање неуједначене дистрибуције и у случају унакрсне контаминације састојком или супстанцом у смеши, примењују се количински захтеви наведени у табели:</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463"/>
        <w:gridCol w:w="8079"/>
      </w:tblGrid>
      <w:tr w:rsidR="003527C5" w:rsidRPr="003527C5" w:rsidTr="00740FB7">
        <w:tc>
          <w:tcPr>
            <w:tcW w:w="15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Величина узоркованог дела</w:t>
            </w:r>
          </w:p>
        </w:tc>
        <w:tc>
          <w:tcPr>
            <w:tcW w:w="35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Најмањи број појединачних узорака</w:t>
            </w:r>
          </w:p>
        </w:tc>
      </w:tr>
      <w:tr w:rsidR="003527C5" w:rsidRPr="003527C5" w:rsidTr="00740FB7">
        <w:tc>
          <w:tcPr>
            <w:tcW w:w="15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&lt; 80 t</w:t>
            </w:r>
          </w:p>
        </w:tc>
        <w:tc>
          <w:tcPr>
            <w:tcW w:w="35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Видети захтеве у погледу количина у тачки 3.4.1. овог пододељка</w:t>
            </w:r>
          </w:p>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Број појединачних узорака који се морају узети множи се са 2,5</w:t>
            </w:r>
          </w:p>
        </w:tc>
      </w:tr>
      <w:tr w:rsidR="003527C5" w:rsidRPr="003527C5" w:rsidTr="00740FB7">
        <w:tc>
          <w:tcPr>
            <w:tcW w:w="15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 80 t</w:t>
            </w:r>
          </w:p>
        </w:tc>
        <w:tc>
          <w:tcPr>
            <w:tcW w:w="35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100</w:t>
            </w:r>
          </w:p>
        </w:tc>
      </w:tr>
    </w:tbl>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3.4.3. Захтеви у погледу количина у појединачним узорцима код врло великих серија</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У случају великих узоркованих делова (узорковани делови &gt; 500 t), број појединачних узорака које треба узорковати = 40 појединачних узорака + квадратни корен из количине t при контроли супстанци или производа равномерно распоређених у целом узорку или 100 појединачних узорака + квадратни корен из количине t при контроли састојака или супстанци вероватно неравномерно распоређених у храни за животиње.</w:t>
      </w:r>
    </w:p>
    <w:p w:rsidR="003527C5" w:rsidRPr="003527C5" w:rsidRDefault="003527C5" w:rsidP="007B0FCB">
      <w:pPr>
        <w:spacing w:before="330"/>
        <w:ind w:firstLine="480"/>
        <w:jc w:val="center"/>
        <w:rPr>
          <w:rFonts w:ascii="Arial" w:eastAsia="Times New Roman" w:hAnsi="Arial" w:cs="Arial"/>
          <w:noProof w:val="0"/>
          <w:color w:val="333333"/>
          <w:lang w:val="en-US"/>
        </w:rPr>
      </w:pPr>
      <w:r w:rsidRPr="003527C5">
        <w:rPr>
          <w:rFonts w:ascii="Arial" w:eastAsia="Times New Roman" w:hAnsi="Arial" w:cs="Arial"/>
          <w:noProof w:val="0"/>
          <w:color w:val="333333"/>
          <w:lang w:val="en-US"/>
        </w:rPr>
        <w:t>3.5. Захтеви у погледу количина у збирном узорку</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88"/>
        <w:gridCol w:w="4444"/>
        <w:gridCol w:w="6210"/>
      </w:tblGrid>
      <w:tr w:rsidR="003527C5" w:rsidRPr="003527C5" w:rsidTr="00740FB7">
        <w:tc>
          <w:tcPr>
            <w:tcW w:w="5000" w:type="pct"/>
            <w:gridSpan w:val="3"/>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Захтева се само један збирни узорак на узорковани део</w:t>
            </w:r>
          </w:p>
        </w:tc>
      </w:tr>
      <w:tr w:rsidR="003527C5" w:rsidRPr="003527C5" w:rsidTr="00740FB7">
        <w:tc>
          <w:tcPr>
            <w:tcW w:w="3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p>
        </w:tc>
        <w:tc>
          <w:tcPr>
            <w:tcW w:w="19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Храна за животиње</w:t>
            </w:r>
          </w:p>
        </w:tc>
        <w:tc>
          <w:tcPr>
            <w:tcW w:w="26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r w:rsidRPr="003527C5">
              <w:rPr>
                <w:rFonts w:ascii="Arial" w:eastAsia="Times New Roman" w:hAnsi="Arial" w:cs="Arial"/>
                <w:noProof w:val="0"/>
                <w:color w:val="333333"/>
                <w:lang w:val="en-US"/>
              </w:rPr>
              <w:t>Најмања количина збирног</w:t>
            </w:r>
            <w:r w:rsidRPr="003527C5">
              <w:rPr>
                <w:rFonts w:ascii="Arial" w:eastAsia="Times New Roman" w:hAnsi="Arial" w:cs="Arial"/>
                <w:noProof w:val="0"/>
                <w:color w:val="333333"/>
                <w:lang w:val="en-US"/>
              </w:rPr>
              <w:br/>
              <w:t>узорка</w:t>
            </w:r>
            <w:r w:rsidRPr="007B0FCB">
              <w:rPr>
                <w:rFonts w:ascii="Arial" w:eastAsia="Times New Roman" w:hAnsi="Arial" w:cs="Arial"/>
                <w:noProof w:val="0"/>
                <w:color w:val="333333"/>
                <w:vertAlign w:val="superscript"/>
                <w:lang w:val="en-US"/>
              </w:rPr>
              <w:t>(*) (**)</w:t>
            </w:r>
          </w:p>
        </w:tc>
      </w:tr>
      <w:tr w:rsidR="003527C5" w:rsidRPr="003527C5" w:rsidTr="00740FB7">
        <w:tc>
          <w:tcPr>
            <w:tcW w:w="3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3.5.1.</w:t>
            </w:r>
          </w:p>
        </w:tc>
        <w:tc>
          <w:tcPr>
            <w:tcW w:w="19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Храна за животиње у расутом стању</w:t>
            </w:r>
          </w:p>
        </w:tc>
        <w:tc>
          <w:tcPr>
            <w:tcW w:w="26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4 kg</w:t>
            </w:r>
          </w:p>
        </w:tc>
      </w:tr>
      <w:tr w:rsidR="003527C5" w:rsidRPr="003527C5" w:rsidTr="00740FB7">
        <w:tc>
          <w:tcPr>
            <w:tcW w:w="3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3.5.2.</w:t>
            </w:r>
          </w:p>
        </w:tc>
        <w:tc>
          <w:tcPr>
            <w:tcW w:w="19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Пакована храна за животиње</w:t>
            </w:r>
          </w:p>
        </w:tc>
        <w:tc>
          <w:tcPr>
            <w:tcW w:w="26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r w:rsidRPr="003527C5">
              <w:rPr>
                <w:rFonts w:ascii="Arial" w:eastAsia="Times New Roman" w:hAnsi="Arial" w:cs="Arial"/>
                <w:noProof w:val="0"/>
                <w:color w:val="333333"/>
                <w:lang w:val="en-US"/>
              </w:rPr>
              <w:t>4 kg</w:t>
            </w:r>
            <w:r w:rsidRPr="007B0FCB">
              <w:rPr>
                <w:rFonts w:ascii="Arial" w:eastAsia="Times New Roman" w:hAnsi="Arial" w:cs="Arial"/>
                <w:noProof w:val="0"/>
                <w:color w:val="333333"/>
                <w:vertAlign w:val="superscript"/>
                <w:lang w:val="en-US"/>
              </w:rPr>
              <w:t>(***)</w:t>
            </w:r>
          </w:p>
        </w:tc>
      </w:tr>
      <w:tr w:rsidR="003527C5" w:rsidRPr="003527C5" w:rsidTr="00740FB7">
        <w:tc>
          <w:tcPr>
            <w:tcW w:w="3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3.5.3.</w:t>
            </w:r>
          </w:p>
        </w:tc>
        <w:tc>
          <w:tcPr>
            <w:tcW w:w="19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Течна и полутечна храна за животиње</w:t>
            </w:r>
          </w:p>
        </w:tc>
        <w:tc>
          <w:tcPr>
            <w:tcW w:w="26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4 l</w:t>
            </w:r>
          </w:p>
        </w:tc>
      </w:tr>
      <w:tr w:rsidR="003527C5" w:rsidRPr="003527C5" w:rsidTr="00740FB7">
        <w:tc>
          <w:tcPr>
            <w:tcW w:w="3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3.5.4.</w:t>
            </w:r>
          </w:p>
        </w:tc>
        <w:tc>
          <w:tcPr>
            <w:tcW w:w="19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Блокови или камен за лизање:</w:t>
            </w:r>
          </w:p>
        </w:tc>
        <w:tc>
          <w:tcPr>
            <w:tcW w:w="26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p>
        </w:tc>
      </w:tr>
      <w:tr w:rsidR="003527C5" w:rsidRPr="003527C5" w:rsidTr="00740FB7">
        <w:tc>
          <w:tcPr>
            <w:tcW w:w="3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3.5.4.1.</w:t>
            </w:r>
          </w:p>
        </w:tc>
        <w:tc>
          <w:tcPr>
            <w:tcW w:w="19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Појединачне масе веће од 1 kg</w:t>
            </w:r>
          </w:p>
        </w:tc>
        <w:tc>
          <w:tcPr>
            <w:tcW w:w="26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4 kg</w:t>
            </w:r>
          </w:p>
        </w:tc>
      </w:tr>
      <w:tr w:rsidR="003527C5" w:rsidRPr="003527C5" w:rsidTr="00740FB7">
        <w:tc>
          <w:tcPr>
            <w:tcW w:w="3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3.5.4.2.</w:t>
            </w:r>
          </w:p>
        </w:tc>
        <w:tc>
          <w:tcPr>
            <w:tcW w:w="19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Појединачне масе не веће од 1 kg</w:t>
            </w:r>
          </w:p>
        </w:tc>
        <w:tc>
          <w:tcPr>
            <w:tcW w:w="26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Маса четири оригинална блока или камена за лизање</w:t>
            </w:r>
          </w:p>
        </w:tc>
      </w:tr>
      <w:tr w:rsidR="003527C5" w:rsidRPr="003527C5" w:rsidTr="00740FB7">
        <w:tc>
          <w:tcPr>
            <w:tcW w:w="38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3.5.5.</w:t>
            </w:r>
          </w:p>
        </w:tc>
        <w:tc>
          <w:tcPr>
            <w:tcW w:w="19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Кабаста хранива</w:t>
            </w:r>
          </w:p>
        </w:tc>
        <w:tc>
          <w:tcPr>
            <w:tcW w:w="268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r w:rsidRPr="003527C5">
              <w:rPr>
                <w:rFonts w:ascii="Arial" w:eastAsia="Times New Roman" w:hAnsi="Arial" w:cs="Arial"/>
                <w:noProof w:val="0"/>
                <w:color w:val="333333"/>
                <w:lang w:val="en-US"/>
              </w:rPr>
              <w:t>4 kg</w:t>
            </w:r>
            <w:r w:rsidRPr="007B0FCB">
              <w:rPr>
                <w:rFonts w:ascii="Arial" w:eastAsia="Times New Roman" w:hAnsi="Arial" w:cs="Arial"/>
                <w:noProof w:val="0"/>
                <w:color w:val="333333"/>
                <w:vertAlign w:val="superscript"/>
                <w:lang w:val="en-US"/>
              </w:rPr>
              <w:t>(****)</w:t>
            </w:r>
          </w:p>
        </w:tc>
      </w:tr>
    </w:tbl>
    <w:p w:rsidR="003527C5" w:rsidRPr="003527C5" w:rsidRDefault="003527C5" w:rsidP="007B0FCB">
      <w:pPr>
        <w:spacing w:before="0" w:after="0"/>
        <w:ind w:firstLine="480"/>
        <w:rPr>
          <w:rFonts w:ascii="Arial" w:eastAsia="Times New Roman" w:hAnsi="Arial" w:cs="Arial"/>
          <w:noProof w:val="0"/>
          <w:color w:val="333333"/>
          <w:lang w:val="en-US"/>
        </w:rPr>
      </w:pPr>
      <w:r w:rsidRPr="007B0FCB">
        <w:rPr>
          <w:rFonts w:ascii="Arial" w:eastAsia="Times New Roman" w:hAnsi="Arial" w:cs="Arial"/>
          <w:noProof w:val="0"/>
          <w:color w:val="333333"/>
          <w:vertAlign w:val="superscript"/>
          <w:lang w:val="en-US"/>
        </w:rPr>
        <w:t>(*)</w:t>
      </w:r>
      <w:r w:rsidRPr="003527C5">
        <w:rPr>
          <w:rFonts w:ascii="Arial" w:eastAsia="Times New Roman" w:hAnsi="Arial" w:cs="Arial"/>
          <w:noProof w:val="0"/>
          <w:color w:val="333333"/>
          <w:lang w:val="en-US"/>
        </w:rPr>
        <w:t> Ако се узоркује храна за животиње високе вредности, може се узети мања количина збирног узорка под условом да се то опише и наведе у извештају о узорковању.</w:t>
      </w:r>
    </w:p>
    <w:p w:rsidR="003527C5" w:rsidRPr="003527C5" w:rsidRDefault="003527C5" w:rsidP="007B0FCB">
      <w:pPr>
        <w:spacing w:before="0" w:after="0"/>
        <w:ind w:firstLine="480"/>
        <w:rPr>
          <w:rFonts w:ascii="Arial" w:eastAsia="Times New Roman" w:hAnsi="Arial" w:cs="Arial"/>
          <w:noProof w:val="0"/>
          <w:color w:val="333333"/>
          <w:lang w:val="en-US"/>
        </w:rPr>
      </w:pPr>
      <w:r w:rsidRPr="007B0FCB">
        <w:rPr>
          <w:rFonts w:ascii="Arial" w:eastAsia="Times New Roman" w:hAnsi="Arial" w:cs="Arial"/>
          <w:noProof w:val="0"/>
          <w:color w:val="333333"/>
          <w:vertAlign w:val="superscript"/>
          <w:lang w:val="en-US"/>
        </w:rPr>
        <w:t>(**)</w:t>
      </w:r>
      <w:r w:rsidRPr="003527C5">
        <w:rPr>
          <w:rFonts w:ascii="Arial" w:eastAsia="Times New Roman" w:hAnsi="Arial" w:cs="Arial"/>
          <w:noProof w:val="0"/>
          <w:color w:val="333333"/>
          <w:lang w:val="en-US"/>
        </w:rPr>
        <w:t> Збирни узорак за контролу присутности генетски модификованог материјала мора да садржи најмање 35.000 семенки/зрна. Према томе, величина збирног узорка за кукуруз мора бити најмање 10,5 kg, а за соју 7 kg. За остало семење као што је јечам, просо, зоб, пиринач, пшеница и семе репе, збирна величина узорка од 4 kg одговара количини од 35.000 семенки.</w:t>
      </w:r>
    </w:p>
    <w:p w:rsidR="003527C5" w:rsidRPr="003527C5" w:rsidRDefault="003527C5" w:rsidP="007B0FCB">
      <w:pPr>
        <w:spacing w:before="0" w:after="0"/>
        <w:ind w:firstLine="480"/>
        <w:rPr>
          <w:rFonts w:ascii="Arial" w:eastAsia="Times New Roman" w:hAnsi="Arial" w:cs="Arial"/>
          <w:noProof w:val="0"/>
          <w:color w:val="333333"/>
          <w:lang w:val="en-US"/>
        </w:rPr>
      </w:pPr>
      <w:r w:rsidRPr="007B0FCB">
        <w:rPr>
          <w:rFonts w:ascii="Arial" w:eastAsia="Times New Roman" w:hAnsi="Arial" w:cs="Arial"/>
          <w:noProof w:val="0"/>
          <w:color w:val="333333"/>
          <w:vertAlign w:val="superscript"/>
          <w:lang w:val="en-US"/>
        </w:rPr>
        <w:t>(***)</w:t>
      </w:r>
      <w:r w:rsidRPr="003527C5">
        <w:rPr>
          <w:rFonts w:ascii="Arial" w:eastAsia="Times New Roman" w:hAnsi="Arial" w:cs="Arial"/>
          <w:noProof w:val="0"/>
          <w:color w:val="333333"/>
          <w:lang w:val="en-US"/>
        </w:rPr>
        <w:t> У случају паковане хране за животиње, можда неће бити могуће постићи величину од 4 kg за збирни узорак, зависно од величине појединачних јединица.</w:t>
      </w:r>
    </w:p>
    <w:p w:rsidR="003527C5" w:rsidRPr="003527C5" w:rsidRDefault="003527C5" w:rsidP="007B0FCB">
      <w:pPr>
        <w:spacing w:before="0" w:after="0"/>
        <w:ind w:firstLine="480"/>
        <w:rPr>
          <w:rFonts w:ascii="Arial" w:eastAsia="Times New Roman" w:hAnsi="Arial" w:cs="Arial"/>
          <w:noProof w:val="0"/>
          <w:color w:val="333333"/>
          <w:lang w:val="en-US"/>
        </w:rPr>
      </w:pPr>
      <w:r w:rsidRPr="007B0FCB">
        <w:rPr>
          <w:rFonts w:ascii="Arial" w:eastAsia="Times New Roman" w:hAnsi="Arial" w:cs="Arial"/>
          <w:noProof w:val="0"/>
          <w:color w:val="333333"/>
          <w:vertAlign w:val="superscript"/>
          <w:lang w:val="en-US"/>
        </w:rPr>
        <w:t>(****)</w:t>
      </w:r>
      <w:r w:rsidRPr="003527C5">
        <w:rPr>
          <w:rFonts w:ascii="Arial" w:eastAsia="Times New Roman" w:hAnsi="Arial" w:cs="Arial"/>
          <w:noProof w:val="0"/>
          <w:color w:val="333333"/>
          <w:lang w:val="en-US"/>
        </w:rPr>
        <w:t> У случају кабасатог хранива или хране за животиње ниске специфичне тежине (нпр. сено, слама), збирни узорак треба да има најмање 1 kg.</w:t>
      </w:r>
    </w:p>
    <w:p w:rsidR="003527C5" w:rsidRPr="003527C5" w:rsidRDefault="003527C5" w:rsidP="007B0FCB">
      <w:pPr>
        <w:spacing w:before="330"/>
        <w:ind w:firstLine="480"/>
        <w:jc w:val="center"/>
        <w:rPr>
          <w:rFonts w:ascii="Arial" w:eastAsia="Times New Roman" w:hAnsi="Arial" w:cs="Arial"/>
          <w:noProof w:val="0"/>
          <w:color w:val="333333"/>
          <w:lang w:val="en-US"/>
        </w:rPr>
      </w:pPr>
      <w:r w:rsidRPr="003527C5">
        <w:rPr>
          <w:rFonts w:ascii="Arial" w:eastAsia="Times New Roman" w:hAnsi="Arial" w:cs="Arial"/>
          <w:noProof w:val="0"/>
          <w:color w:val="333333"/>
          <w:lang w:val="en-US"/>
        </w:rPr>
        <w:t>3.6. Захтеви у погледу количина у коначним узорцима</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3.6.1. Коначни узорци</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lastRenderedPageBreak/>
        <w:t>За испитивање најмање једног коначног узорка, количина тог узорка не може бити мања од:</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728"/>
        <w:gridCol w:w="2814"/>
      </w:tblGrid>
      <w:tr w:rsidR="003527C5" w:rsidRPr="003527C5" w:rsidTr="00740FB7">
        <w:tc>
          <w:tcPr>
            <w:tcW w:w="37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Храна за животиње у чврстом стању</w:t>
            </w:r>
          </w:p>
        </w:tc>
        <w:tc>
          <w:tcPr>
            <w:tcW w:w="12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r w:rsidRPr="003527C5">
              <w:rPr>
                <w:rFonts w:ascii="Arial" w:eastAsia="Times New Roman" w:hAnsi="Arial" w:cs="Arial"/>
                <w:noProof w:val="0"/>
                <w:color w:val="333333"/>
                <w:lang w:val="en-US"/>
              </w:rPr>
              <w:t>500 g</w:t>
            </w:r>
            <w:r w:rsidRPr="007B0FCB">
              <w:rPr>
                <w:rFonts w:ascii="Arial" w:eastAsia="Times New Roman" w:hAnsi="Arial" w:cs="Arial"/>
                <w:noProof w:val="0"/>
                <w:color w:val="333333"/>
                <w:vertAlign w:val="superscript"/>
                <w:lang w:val="en-US"/>
              </w:rPr>
              <w:t>(*) (**)(***)</w:t>
            </w:r>
          </w:p>
        </w:tc>
      </w:tr>
      <w:tr w:rsidR="003527C5" w:rsidRPr="003527C5" w:rsidTr="00740FB7">
        <w:tc>
          <w:tcPr>
            <w:tcW w:w="378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150"/>
              <w:rPr>
                <w:rFonts w:ascii="Arial" w:eastAsia="Times New Roman" w:hAnsi="Arial" w:cs="Arial"/>
                <w:noProof w:val="0"/>
                <w:color w:val="333333"/>
                <w:lang w:val="en-US"/>
              </w:rPr>
            </w:pPr>
            <w:r w:rsidRPr="003527C5">
              <w:rPr>
                <w:rFonts w:ascii="Arial" w:eastAsia="Times New Roman" w:hAnsi="Arial" w:cs="Arial"/>
                <w:noProof w:val="0"/>
                <w:color w:val="333333"/>
                <w:lang w:val="en-US"/>
              </w:rPr>
              <w:t>Течна и полутечна храна за животиње</w:t>
            </w:r>
          </w:p>
        </w:tc>
        <w:tc>
          <w:tcPr>
            <w:tcW w:w="12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3527C5" w:rsidRPr="003527C5" w:rsidRDefault="003527C5" w:rsidP="007B0FCB">
            <w:pPr>
              <w:spacing w:before="0" w:after="0"/>
              <w:rPr>
                <w:rFonts w:ascii="Arial" w:eastAsia="Times New Roman" w:hAnsi="Arial" w:cs="Arial"/>
                <w:noProof w:val="0"/>
                <w:color w:val="333333"/>
                <w:lang w:val="en-US"/>
              </w:rPr>
            </w:pPr>
            <w:r w:rsidRPr="003527C5">
              <w:rPr>
                <w:rFonts w:ascii="Arial" w:eastAsia="Times New Roman" w:hAnsi="Arial" w:cs="Arial"/>
                <w:noProof w:val="0"/>
                <w:color w:val="333333"/>
                <w:lang w:val="en-US"/>
              </w:rPr>
              <w:t>500 ml</w:t>
            </w:r>
            <w:r w:rsidRPr="007B0FCB">
              <w:rPr>
                <w:rFonts w:ascii="Arial" w:eastAsia="Times New Roman" w:hAnsi="Arial" w:cs="Arial"/>
                <w:noProof w:val="0"/>
                <w:color w:val="333333"/>
                <w:vertAlign w:val="superscript"/>
                <w:lang w:val="en-US"/>
              </w:rPr>
              <w:t>(*)</w:t>
            </w:r>
          </w:p>
        </w:tc>
      </w:tr>
    </w:tbl>
    <w:p w:rsidR="003527C5" w:rsidRPr="003527C5" w:rsidRDefault="003527C5" w:rsidP="007B0FCB">
      <w:pPr>
        <w:spacing w:before="0" w:after="0"/>
        <w:ind w:firstLine="480"/>
        <w:rPr>
          <w:rFonts w:ascii="Arial" w:eastAsia="Times New Roman" w:hAnsi="Arial" w:cs="Arial"/>
          <w:noProof w:val="0"/>
          <w:color w:val="333333"/>
          <w:lang w:val="en-US"/>
        </w:rPr>
      </w:pPr>
      <w:r w:rsidRPr="007B0FCB">
        <w:rPr>
          <w:rFonts w:ascii="Arial" w:eastAsia="Times New Roman" w:hAnsi="Arial" w:cs="Arial"/>
          <w:noProof w:val="0"/>
          <w:color w:val="333333"/>
          <w:vertAlign w:val="superscript"/>
          <w:lang w:val="en-US"/>
        </w:rPr>
        <w:t>(*)</w:t>
      </w:r>
      <w:r w:rsidRPr="003527C5">
        <w:rPr>
          <w:rFonts w:ascii="Arial" w:eastAsia="Times New Roman" w:hAnsi="Arial" w:cs="Arial"/>
          <w:noProof w:val="0"/>
          <w:color w:val="333333"/>
          <w:lang w:val="en-US"/>
        </w:rPr>
        <w:t> Коначни узорак за контролу присутности генетски модификованог материјала мора да садржи најмање 10.000 семенки/зрна. Према томе, за кукуруз величина коначног узорка мора бити најмање 3.000 g, а за соју 2.000 g. За остало семење као што је јечам, просо, зоб, пиринач, раж, пшеница и семе репе, збирна величина узорка од 500 g одговара више од 10.000 семенки.</w:t>
      </w:r>
    </w:p>
    <w:p w:rsidR="003527C5" w:rsidRPr="003527C5" w:rsidRDefault="003527C5" w:rsidP="007B0FCB">
      <w:pPr>
        <w:spacing w:before="0" w:after="0"/>
        <w:ind w:firstLine="480"/>
        <w:rPr>
          <w:rFonts w:ascii="Arial" w:eastAsia="Times New Roman" w:hAnsi="Arial" w:cs="Arial"/>
          <w:noProof w:val="0"/>
          <w:color w:val="333333"/>
          <w:lang w:val="en-US"/>
        </w:rPr>
      </w:pPr>
      <w:r w:rsidRPr="007B0FCB">
        <w:rPr>
          <w:rFonts w:ascii="Arial" w:eastAsia="Times New Roman" w:hAnsi="Arial" w:cs="Arial"/>
          <w:noProof w:val="0"/>
          <w:color w:val="333333"/>
          <w:vertAlign w:val="superscript"/>
          <w:lang w:val="en-US"/>
        </w:rPr>
        <w:t>(**)</w:t>
      </w:r>
      <w:r w:rsidRPr="003527C5">
        <w:rPr>
          <w:rFonts w:ascii="Arial" w:eastAsia="Times New Roman" w:hAnsi="Arial" w:cs="Arial"/>
          <w:noProof w:val="0"/>
          <w:color w:val="333333"/>
          <w:lang w:val="en-US"/>
        </w:rPr>
        <w:t> Ако је збирни узорак знатно мањи од 4 kg или l, може се узети и мања количина коначног узорка под условом да се то опише и наведе у извештају о узорковању.</w:t>
      </w:r>
    </w:p>
    <w:p w:rsidR="003527C5" w:rsidRPr="003527C5" w:rsidRDefault="003527C5" w:rsidP="007B0FCB">
      <w:pPr>
        <w:spacing w:before="0" w:after="0"/>
        <w:ind w:firstLine="480"/>
        <w:rPr>
          <w:rFonts w:ascii="Arial" w:eastAsia="Times New Roman" w:hAnsi="Arial" w:cs="Arial"/>
          <w:noProof w:val="0"/>
          <w:color w:val="333333"/>
          <w:lang w:val="en-US"/>
        </w:rPr>
      </w:pPr>
      <w:r w:rsidRPr="007B0FCB">
        <w:rPr>
          <w:rFonts w:ascii="Arial" w:eastAsia="Times New Roman" w:hAnsi="Arial" w:cs="Arial"/>
          <w:noProof w:val="0"/>
          <w:color w:val="333333"/>
          <w:vertAlign w:val="superscript"/>
          <w:lang w:val="en-US"/>
        </w:rPr>
        <w:t>(***)</w:t>
      </w:r>
      <w:r w:rsidRPr="003527C5">
        <w:rPr>
          <w:rFonts w:ascii="Arial" w:eastAsia="Times New Roman" w:hAnsi="Arial" w:cs="Arial"/>
          <w:noProof w:val="0"/>
          <w:color w:val="333333"/>
          <w:lang w:val="en-US"/>
        </w:rPr>
        <w:t> При узорковању махунарки, зрна житарица и орашастог воћа за одређивање остатака пестицида, најмања величина коначног узорка износи 1 kg.</w:t>
      </w:r>
    </w:p>
    <w:p w:rsidR="003527C5" w:rsidRPr="003527C5" w:rsidRDefault="003527C5" w:rsidP="007B0FCB">
      <w:pPr>
        <w:spacing w:before="330"/>
        <w:ind w:firstLine="480"/>
        <w:jc w:val="center"/>
        <w:rPr>
          <w:rFonts w:ascii="Arial" w:eastAsia="Times New Roman" w:hAnsi="Arial" w:cs="Arial"/>
          <w:noProof w:val="0"/>
          <w:color w:val="333333"/>
          <w:lang w:val="en-US"/>
        </w:rPr>
      </w:pPr>
      <w:r w:rsidRPr="003527C5">
        <w:rPr>
          <w:rFonts w:ascii="Arial" w:eastAsia="Times New Roman" w:hAnsi="Arial" w:cs="Arial"/>
          <w:noProof w:val="0"/>
          <w:color w:val="333333"/>
          <w:lang w:val="en-US"/>
        </w:rPr>
        <w:t>3.7. Методе узорковања за врло велике серије или серије које се складиште или превозе на начин да узорковање у читавој серији није могуће</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3.7.1. Општа начела</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Ако начин превоза или складиштења серије онемогућава узимање појединачних узорака у читавој серији, узорковање таквих серија треба да се спроведе када је серија у протоку.</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Код великих складишта намењених складиштењу хране за животиње, одговарајућа би била опрема у складишту која омогућује (аутоматско) узорковање у читавој складиштеној серији.</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Код примене поступака узорковања предвиђених у овом поглављу субјекат у пословању храном за животиње или њихов представник обавештава се о поступку узорковања. Ако субјекат у пословању храном за животиње или његов представник доведе у питање тај поступак узорковања, субјекат у пословању храном за животиње или његов представник омогућава надлежном органу узроковање у читавој серији на властити трошак.</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3.7.2. Велике серије које се превозе бродом</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3.7.2.1. Динамичко узорковање великих серија које се превозе бродом</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Узорковање великих серија у бродовима спроводи се по могућности док је производ у протоку (динамичко узорковање).</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Узорковање се врши у бродском складишту (субјект који се може физички одвојити). Бродска складишта делимично се празне једно за другим, тако да почетно физичко одвајање више не постоји после преноса у складишне објекте. Узорковање се може спровести у функцији почетног физичког раздвајања или у функцији раздвајања после преноса у складишне објекте.</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Истовар брода може трајати неколико дана. Обично се узорковање мора спровести у редовним интервалима током трајања истовара. У случају да инспектор није присутан на узорковању током читавог трајања истовара, узорковање се спроводи за део (узорковани део) читаве серије. Број појединачних узорака одређује се узимањем у обзир узоркованог дела.</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Ако се узоркује део серије хране за животиње исте класе или описа и утврди се да тај део серије не одговара прописаним условима, сматра се да сва храна за животиње из те серије не испуњава прописане услове, осим ако се детаљном проценом утврди да нема доказа да остатак серије не испуњава прописане услове у погледу безбедности.</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Присутност инспектора потребна је чак и када је службени узорак узет аутоматски.</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Ако се аутоматско узорковање спроводи са унапред задатим параметрима који се не могу мењати током узорковања, а појединачни узорци се сакупљају у запечаћени контејнер чиме се спречава свака могућа превара, тада је присутност инспектора потребна само на почетку узорковања, при свакој промени пријемног контејнера за сакупљање узорака и на крају узорковања.</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3.7.2.2. Статичко узорковање серија које се превозе бродом</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Ако се узорковање спроводи статичким узорковањем, примењује се истоветни поступак који је предвиђен за складишне објекте (силосе) којима се приступа са горње стране (подтачка 3.7.4.1. овог пододељка).</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Узорковање се мора спровести на приступачном делу (одозго) серије/бродског складишта. Број појединачних узорака одређује се водећи рачуна о величини узоркованог дела. Ако се узоркује део серије хране за животиње исте класе или описа и утврди се да тај део серије не одговара прописаним условима, сматра се да сва храна за животиње из те серије не испуњава прописане услове, осим ако се детаљном проценом утврди да нема доказа да остатак серије не испуњава прописане услове у погледу безбедности.</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3.7.3. Узорковање великих серија које се складиште у складиштима</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Узорковање се мора спровести на приступачном делу серије. Број појединачних узорака одређује се узимајући у обзир величину узоркованог дела. Ако се узоркује део серије хране за животиње исте класе или описа и утврди се да тај део серије не одговара прописаним условима, сматра се да сва храна за животиње из те серије не испуњава прописане услове, осим ако се детаљном проценом утврди да нема доказа да остатак серије не испуњава прописане услове у погледу безбедности.</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3.7.4. Узорковање у складишним објектима (силосима)</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3.7.4.1. Узорковање у силосима у којима се приступа одозго</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lastRenderedPageBreak/>
        <w:t>Узорковање се мора спровести на приступачном делу серије. Број појединачних узорака одређује се водећи рачуна о величини узоркованог дела. Ако се узоркује део серије хране за животиње исте класе или описа и утврди се да тај део серије не одговара прописаним условима, сматра се да сва храна за животиње из те серије не испуњава прописане услове, осим ако се детаљном проценом утврди да нема доказа да остатак серије не испуњава прописане услове у погледу безбедности.</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3.7.4.2. Узорковање у силосима у којима се не приступа одозго (затворени силоси)</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3.7.4.2.1. Силоси којима се не приступа одозго (затворени силос) величине &gt; 100 t</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Храна за животиње у тим силосима не може се узорковати на статички начин. Ако се храна за животиње у силосу мора узорковати и не постоји могућност премештања пошиљке, потребно је да субјекат у пословању храном за животиње обавести инспектора о томе када ће се силос истоварити како би се омогућило узорковање у тренутку када је храна за животиње у протоку.</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3.7.4.2.2. Силос коме се не приступа одозго (затворени силос) величине &lt; 100 t</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Поступак узорковања укључује испуштање у пријемни контејнер количине од 50 до 100 kg и узимање узорка из њега. Величина збирног узорка одговара читавој серији, а број појединачних узорака односи се на количину из силоса пуштену у пријемни контејнер за узорковање. Ако се узоркује део серије хране за животиње исте класе или описа и утврди се да тај део серије не одговара прописаним условима, сматра се да сва храна за животиње из те серије не испуњава прописане услове, осим ако се детаљном проценом утврди да нема доказа да остатак серије не испуњава прописане услове у погледу безбедности.</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3.7.5. Узорковање хране за животиње у расутом стању у затвореним посудама</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Такве серије често се могу узорковати само после истовара. У одређеним случајевима није могуће обавити истовар на месту утовара или контроле, па се узорковање обавља при истовару тих посуда.</w:t>
      </w:r>
    </w:p>
    <w:p w:rsidR="003527C5" w:rsidRPr="003527C5" w:rsidRDefault="003527C5" w:rsidP="007B0FCB">
      <w:pPr>
        <w:spacing w:before="330"/>
        <w:ind w:firstLine="480"/>
        <w:jc w:val="center"/>
        <w:rPr>
          <w:rFonts w:ascii="Arial" w:eastAsia="Times New Roman" w:hAnsi="Arial" w:cs="Arial"/>
          <w:noProof w:val="0"/>
          <w:color w:val="333333"/>
          <w:lang w:val="en-US"/>
        </w:rPr>
      </w:pPr>
      <w:r w:rsidRPr="003527C5">
        <w:rPr>
          <w:rFonts w:ascii="Arial" w:eastAsia="Times New Roman" w:hAnsi="Arial" w:cs="Arial"/>
          <w:noProof w:val="0"/>
          <w:color w:val="333333"/>
          <w:lang w:val="en-US"/>
        </w:rPr>
        <w:t>3.8. Упутства за узимање, припремање и паковање узорака</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3.8.1 Опште одредбе</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Узорци се узимају и припремају без непотребног одлагања уз придржавање мера опреза којима се спречава промена састава или контаминација производа. Инструменти, радне површине и посуде за прихват узорака морају бити чисти и суви.</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3.8.2. Појединачни узорци</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Појединачни узорци узимају се насумично из целог узорка и морају бити приближно једнаке величине.</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Величина појединачног узорка износи најмање 100 g или 25 g за кабаста хранива или храну за животиње ниске специфичне тежине.</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Ако се у складу са правилима поступка узорковања утврђеним у пододељку 3.7. овог одељка мора узети мање од 40 појединачних узорака, величина појединачних узорака одређује се у функцији потребне величине збирног узорка који се мора постићи (пододељак 3.5.).</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У случају узорковања малих серија паковане хране за животиње где је према захтевима у погледу количине потребно узети ограничен број појединачних узорака, појединачни узорак је садржај једне оригиналне јединице чији садржај не прелази 1 kg или једну l.</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У случају узорковања паковане хране за животиње састављене од малих јединица (нпр. &lt; g), величина појединачног узорка зависи од величине јединице.</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3.8.2.1. Храна за животиње у расутом стању</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Према потреби узорковање се може извести при премештању узорка (при утовару или истовару).</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3.8.2.2. Пакована храна за животиње</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После одабира потребног броја јединица за узорковање у складу са пододељком 3.5. овог одељка сондом или лопатицом узима се део садржаја сваке јединице. Према потреби, узорци се могу узети после одвојеног пражњења јединица.</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3.8.2.3. Хомогенизована или за хомогенизовање примерена течна или полутечна храна за животиње</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После одређивања потребног броја јединица за узорковање из пододељка 3.4. овог одељка, њихов се удео према потреби хомогенизује и из сваке се јединице узима одређена количина.</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Појединачни узорци се могу узимати при пражњењу садржаја контејнера.</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3.8.2.4. Течна или полутечна храна за животиње која није прикладна за хомогенизовање</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После одређивања броја јединица за узорковање из пододељка 3.5. овог одељка, узорци се узимају са различитих нивоа.</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Узорци се могу узети и за време пражњења удела, али се прва количина мора одбацити.</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У оба случаја укупан волумен не сме бити мањи од 10 l.</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3.8.2.5. Блокови или камен за лизање</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lastRenderedPageBreak/>
        <w:t>После одређивања броја блокова или камена за лизање намењених узорковању из пододељка 3.5. овог одељка, може се узети део сваког блока или камена за лизање. У случају сумње да блок или камен за лизање није одговарајући за хомогенизовање, читав блок или камен за лизање може се узети као узорак.</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За четири блока или камена за лизање којима појединачна тежина није већа од 1 kg, појединачни узорак је садржај једног блока или једног камена за лизање.</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3.8.3. Припрема збирних узорака</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Појединачни узорци помешају се тако да створе збирни узорак.</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3.8.4. Припрема коначних узорака</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Материјал збирног узорка мора се пажљиво измешати¹.</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Сваки узорак се сакупи у одговарајућу посуду. Потребно је предузети све мере опреза како би се током превоза или складиштења спречила промена састава узорка, контаминација или загађење.</w:t>
      </w:r>
    </w:p>
    <w:p w:rsidR="003527C5" w:rsidRPr="003527C5" w:rsidRDefault="003527C5" w:rsidP="007B0FCB">
      <w:pPr>
        <w:spacing w:before="0" w:after="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У случају контроле супстанце или производа равномерно расподељених у храни за животиње, збирни узорак може се репрезентативно смањити на најмање 2 kg или 2 l (редукован узорак)</w:t>
      </w:r>
      <w:r w:rsidRPr="007B0FCB">
        <w:rPr>
          <w:rFonts w:ascii="Arial" w:eastAsia="Times New Roman" w:hAnsi="Arial" w:cs="Arial"/>
          <w:noProof w:val="0"/>
          <w:color w:val="333333"/>
          <w:vertAlign w:val="superscript"/>
          <w:lang w:val="en-US"/>
        </w:rPr>
        <w:t>2</w:t>
      </w:r>
      <w:r w:rsidRPr="003527C5">
        <w:rPr>
          <w:rFonts w:ascii="Arial" w:eastAsia="Times New Roman" w:hAnsi="Arial" w:cs="Arial"/>
          <w:noProof w:val="0"/>
          <w:color w:val="333333"/>
          <w:lang w:val="en-US"/>
        </w:rPr>
        <w:t>, по могућности механичким или аутоматским разделником. За контролу присуства остатака пестицида у махунаркама, зрнима житарица и орашастом воћу, најмања величина редукованог узорка износи 3 kg.</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Ако својства хране за животиње не дозвољавају коришћење разделника или разделник није доступан, узорак се смањује четвртањем. Потом се из смањених узорака припреме коначни узорци (за потребе контроле и референтне сврхе) приближно једнаке величине у складу са захтевима у погледу количина из тачке 3.6. овог пододељка.</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1 Све грудве се разбију (према потреби, тако да се одвоје и затим врате у узорак).</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2 Осим код кабастих хранива или хране за животиње ниске специфичне тежине.</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У случају контроле производа, укључујући генетски модификовани материјал или супстанце вероватно неравномерно распоређених у храни за животиње, збирни узорак је:</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(1) потпуно хомогенизован и накнадно раздељен у коначне узорке;</w:t>
      </w:r>
    </w:p>
    <w:p w:rsidR="003527C5" w:rsidRPr="003527C5" w:rsidRDefault="003527C5" w:rsidP="007B0FCB">
      <w:pPr>
        <w:spacing w:before="0" w:after="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(2) редукован на најмање 2 kg или 2 l</w:t>
      </w:r>
      <w:r w:rsidRPr="007B0FCB">
        <w:rPr>
          <w:rFonts w:ascii="Arial" w:eastAsia="Times New Roman" w:hAnsi="Arial" w:cs="Arial"/>
          <w:noProof w:val="0"/>
          <w:color w:val="333333"/>
          <w:vertAlign w:val="superscript"/>
          <w:lang w:val="en-US"/>
        </w:rPr>
        <w:t>3</w:t>
      </w:r>
      <w:r w:rsidRPr="003527C5">
        <w:rPr>
          <w:rFonts w:ascii="Arial" w:eastAsia="Times New Roman" w:hAnsi="Arial" w:cs="Arial"/>
          <w:noProof w:val="0"/>
          <w:color w:val="333333"/>
          <w:lang w:val="en-US"/>
        </w:rPr>
        <w:t> механичким или аутоматским разделником. Само у случају када својства хране за животиње онемогућавају коришћење разделника, узорак се може по потреби смањити четвртањем.</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3.8.5. Паковање узорака</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Посуде или паковања запечаћени су и означени тако да их није могуће отворити без оштећења печата. Цела етикета мора бити укључена у печат.</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3.8.6. Слање узорака у лабораторију</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Узорак се без непотребног одлагања шаље у одређену лабораторију, заједно са неопходним подацима.</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3.9. Подаци о узорковању</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О сваком узорку морају се водити и чувати подаци, како би се сваки узорковани део и његова величина могла сигурно препознати.</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У подацима се наводи свако одступање од поступка узорковања предвиђеног овим програмом.</w:t>
      </w:r>
    </w:p>
    <w:p w:rsidR="003527C5" w:rsidRPr="003527C5" w:rsidRDefault="003527C5" w:rsidP="007B0FCB">
      <w:pPr>
        <w:spacing w:before="330"/>
        <w:ind w:firstLine="480"/>
        <w:jc w:val="center"/>
        <w:rPr>
          <w:rFonts w:ascii="Arial" w:eastAsia="Times New Roman" w:hAnsi="Arial" w:cs="Arial"/>
          <w:i/>
          <w:iCs/>
          <w:noProof w:val="0"/>
          <w:color w:val="333333"/>
          <w:lang w:val="en-US"/>
        </w:rPr>
      </w:pPr>
      <w:r w:rsidRPr="003527C5">
        <w:rPr>
          <w:rFonts w:ascii="Arial" w:eastAsia="Times New Roman" w:hAnsi="Arial" w:cs="Arial"/>
          <w:i/>
          <w:iCs/>
          <w:noProof w:val="0"/>
          <w:color w:val="333333"/>
          <w:lang w:val="en-US"/>
        </w:rPr>
        <w:t>4. Опште одредбе о аналитичким методама за храну за животиње</w:t>
      </w:r>
    </w:p>
    <w:p w:rsidR="003527C5" w:rsidRPr="003527C5" w:rsidRDefault="003527C5" w:rsidP="007B0FCB">
      <w:pPr>
        <w:spacing w:before="330"/>
        <w:ind w:firstLine="480"/>
        <w:jc w:val="center"/>
        <w:rPr>
          <w:rFonts w:ascii="Arial" w:eastAsia="Times New Roman" w:hAnsi="Arial" w:cs="Arial"/>
          <w:noProof w:val="0"/>
          <w:color w:val="333333"/>
          <w:lang w:val="en-US"/>
        </w:rPr>
      </w:pPr>
      <w:r w:rsidRPr="003527C5">
        <w:rPr>
          <w:rFonts w:ascii="Arial" w:eastAsia="Times New Roman" w:hAnsi="Arial" w:cs="Arial"/>
          <w:noProof w:val="0"/>
          <w:color w:val="333333"/>
          <w:lang w:val="en-US"/>
        </w:rPr>
        <w:t>4.1. Припрема узорака за испитивање</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4.1.1. Сврха</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У наведеним поступцима описује се припрема узорака за испитивање, који се шаљу овлашћеним лабораторијама након узорковања спроведеног у складу са одредбама из овог програма.</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Лабораторијски узорци морају се припремити тако да измерене количине буду хомогене и репрезентативне за коначне узорке, како су предвиђене за методе испитивања.</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4.1.2. Мере опреза</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Поступак припремања узорака зависи од аналитичких метода које се користе и производа и супстанци које се контролишу. Због тога је врло важно осигурати да примењени поступак за припремање узорка буде примерен аналитичкој методи која се користи и производима или супстанцама које се контролишу.</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Сви потребни поступци морају се спровести на начин којим се у највећој могућој мери спречава контаминација и промена састава узорка.</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lastRenderedPageBreak/>
        <w:t>Млевење, мешање и просејавање мора се вршити без одлагања како би се узорак мање излагао ваздуху и светлости. Млинови и дробилице који би могли знатно загрејати узорак, не могу се користити.</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Препоручује се ручно млевење хране за животиње која је посебно осетљива на топлоту, те сама опрема не сме да буде извор контаминације.</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Ако се припрема не може обавити без знатне промене удела влаге у узорку, одређује се удео воде пре и после припреме.</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4.1.3. Поступак</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4.1.3.1. Општи поступци</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Количине за испитивање (тестни аликвот) узимају се из коначног узорка. Не препоручује се дељење узорака методом купасте гомиле и четвртања, јер се на тај начин могу добити тестни аликвоти са високом грешком дељења.</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4.1.3.1.1. Храна за животиње која се може самлети без додатне обраде</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Просејани коначни узорак се промеша и прикупи у чисту и суву посуду са херметичким затварачем. Непосредно пре мерења количине за испитивање (тестни аликвот), узорак се поновно промеша како би се осигурала потпуна хомогенизација.</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4.1.3.1.2. Храна за животиње која се може самлети после сушења</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Ако се у аналитичким методама не наводи другачије, коначни узорак се суши, тако да се удео воде снизи на 8% – 12%. Затим се наставља у складу с тачком 4.1.3.1.1.</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4.1.3.1.3. Течна или полутечна храна за животиње</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Коначни узорак треба да се прикупи у чисту и суву посуду са херметичким затварачем. Непосредно пре мерења количине за испитивање (тестни аликвот), узорак се промеша како би се осигурала потпуна хомогенизација.</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3 Осим код кабастих хранива или хране за животиње ниске специфичне тежине.</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4.1.3.1.4. Остала храна за животиње</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Коначни узорци који се не могу припремити у складу са једним од наведених поступака обрађују се било којим другим поступком којим се осигурава да је количина узорка одмерена за испитивање (тестни аликвот) хомогена и репрезентативна за коначне узорке.</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4.1.3.2. Посебни поступци при провери визуелним прегледом или микроскопијом или када је читав збирни узорак хомогенизован</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У случају провере визуелним прегледом (без коришћења микроскопа), за проверу се користи читав лабораторијски узорак.</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У случају микроскопске провере, у лабораторији се може смањити збирни узорак или додатно смањити редуковани узорак. Коначни узорци за потребе призивног поступка и у референтне сврхе узимају се после поступка који је једнак поступку који следи за коначни узорак за спровођење.</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Ако је читав збирни узорак хомогенизован, коначни узорци узимају се из хомогенизованог збирног узорка.</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4.1.4. Чување узорака</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Узорци се морају чувати на температури која неће променити њихов састав. Узорци намењени за испитивање супстанци посебно осетљивих на светлост морају да се чувају у условима у којима узорак није под штетним утицајем светла.</w:t>
      </w:r>
    </w:p>
    <w:p w:rsidR="003527C5" w:rsidRPr="003527C5" w:rsidRDefault="003527C5" w:rsidP="007B0FCB">
      <w:pPr>
        <w:spacing w:before="330"/>
        <w:ind w:firstLine="480"/>
        <w:jc w:val="center"/>
        <w:rPr>
          <w:rFonts w:ascii="Arial" w:eastAsia="Times New Roman" w:hAnsi="Arial" w:cs="Arial"/>
          <w:noProof w:val="0"/>
          <w:color w:val="333333"/>
          <w:lang w:val="en-US"/>
        </w:rPr>
      </w:pPr>
      <w:r w:rsidRPr="003527C5">
        <w:rPr>
          <w:rFonts w:ascii="Arial" w:eastAsia="Times New Roman" w:hAnsi="Arial" w:cs="Arial"/>
          <w:noProof w:val="0"/>
          <w:color w:val="333333"/>
          <w:lang w:val="en-US"/>
        </w:rPr>
        <w:t>4.2. Одредбе о реагенсима и опреми који се користе у аналитичким методама</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4.2.1. Ако се у аналитичким методама не наводи другачије, сви реагенси морају да буду аналитичке чистоће (pro analisi – p.a.). Код испитивања трагова, чистоћа реагенса одређује се слепом пробом. Зависно о добијених резултата, може бити потребно додатно прочишћавање реагенса.</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4.2.2. Код свих поступака из аналитичких метода који укључују припремање раствора, разређивање, испирање или прање, код којих се не наводи врста коришћеног растварача или разређивача, користи се вода. По правилу, вода мора бити деминерализована или дестилована. У посебним случајевима, наведеним у аналитичким методама, воду треба прочистити посебним поступцима.</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4.2.3. С обзиром на опрему која се уобичајено налази у контролним лабораторијима, у аналитичким методама се наводе само посебни инструменти и опрема или они који захтевају посебан начин употребе. Они морају бити чисти, посебно код одређивања врло малих количина супстанце.</w:t>
      </w:r>
    </w:p>
    <w:p w:rsidR="003527C5" w:rsidRPr="003527C5" w:rsidRDefault="003527C5" w:rsidP="007B0FCB">
      <w:pPr>
        <w:spacing w:before="330"/>
        <w:ind w:firstLine="480"/>
        <w:jc w:val="center"/>
        <w:rPr>
          <w:rFonts w:ascii="Arial" w:eastAsia="Times New Roman" w:hAnsi="Arial" w:cs="Arial"/>
          <w:noProof w:val="0"/>
          <w:color w:val="333333"/>
          <w:lang w:val="en-US"/>
        </w:rPr>
      </w:pPr>
      <w:r w:rsidRPr="003527C5">
        <w:rPr>
          <w:rFonts w:ascii="Arial" w:eastAsia="Times New Roman" w:hAnsi="Arial" w:cs="Arial"/>
          <w:noProof w:val="0"/>
          <w:color w:val="333333"/>
          <w:lang w:val="en-US"/>
        </w:rPr>
        <w:t>4.3. Примена аналитичких метода и приказ резултата</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4.3.1. Поступак екстракције</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У неколико метода утврђен је посебан поступак екстракције. Осим поступка наведеног у методи, могу се користити и други поступци екстракције, под условом да се коришћеним поступком прочишћавања за испитивану матрицу доказано постижу аналитички резултати једнако вредни поступку наведеном у методи.</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lastRenderedPageBreak/>
        <w:t>4.3.2. Поступак прочишћивања</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У неколико метода утврђен је посебан поступак прочишћавања. Осим поступка наведеног у методи, могу се користити и други поступци прочишћавања, под условом да се коришћеним поступком прочишћавања за испитивану матрицу доказано постижу аналитички резултати једнако вредни поступку наведеном у методи.</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4.3.3. Број поступака одређивања</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Код испитивања непожељних супстанци, ако је резултат првог одређивања знатно (&gt; 50%) нижи од спецификације која се контролише, нису потребни додатни поступци одређивања под условом да су коришћени примерени поступци за осигурање квалитета. У осталим случајевима потребна су двострука испитивања (секундарно одређивање) како би се искључила могућност унутрашње унакрсне контаминације или случајне замене узорака. За потврду усклађености користи се средња вредност два одређивања, узимајући у обзир несигурност мерења.</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При контроли означеног удела супстанце или састојка, ако се резултатом првог одређивања потврди означени удео, тј. ако је резултат испитивања унутар прихватљивих граница одступања од означеног удела, нису потребни додатни поступци одређивања под условом да су коришћени примерени поступци за осигурање квалитета. У осталим случајевима потребна су двострука испитивања (секундарно одређивање) како би се искључила могућност унутрашње унакрсне контаминације или случајне замене узорака. За потврду усклађености користи се средња вредност са два одређивања, узимајући у обзир несигурност мерења.</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4.3.4. Извештавање о коришћеној аналитичкој методи</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Коришћена аналитичка метода наводи се у извештају о испитивању.</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4.3.5. Извештавање о резултатима испитивања</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Резултат испитивања приказује се на начин утврђен аналитичком методом, са примереним бројем значајних чињеница, а према потреби се коригује с обзиром на удео воде у коначном узорку пре припреме.</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4.3.6. Несигурност мерења и степен искоришћења при испитивању непожељних супстанци</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У вези с непожељним супстанцама, сматра се да производ намењен за храну за животиње није у складу са највећом допуштеном количином ако је резултат испитивања, у односу на храну за животиње с уделом воде од 12%, већи од највеће допуштене количине, узимајући у обзир проширену несигурност мерења и корекцију за искоришћење. За оцену усклађености користи се испитивана концентрација након корекције за искоришћење и након одузимања проширене несигурности мерења. Тај се поступак примењује само у случајевима када аналитичка метода омогућује процену несигурности мерења и корекцију за искоришћење (на пример, није могуће у случају микроскопског испитивања).</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Резултати испитивања исказују се на следећи начин (ако коришћена аналитичка метода омогућује оцену несигурности мерења и корекцију за искоришћење):</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1) са корекцијом за искоришћење, при чему се наводи ниво искоришћења. Корекција за искоришћење није потребна ако је проценат искоришћења између 90% и 110%.</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2) као‚ „xˮ +/– Uˮ, при чему је x резултат испитивања, а U проширена несигурност мерења уз употребу обухватног фактора 2, чиме се постиже ниво поузданости од приближно 95%.</w:t>
      </w:r>
    </w:p>
    <w:p w:rsidR="003527C5" w:rsidRPr="003527C5" w:rsidRDefault="003527C5" w:rsidP="007B0FCB">
      <w:pPr>
        <w:spacing w:before="0" w:after="150"/>
        <w:ind w:firstLine="480"/>
        <w:rPr>
          <w:rFonts w:ascii="Arial" w:eastAsia="Times New Roman" w:hAnsi="Arial" w:cs="Arial"/>
          <w:noProof w:val="0"/>
          <w:color w:val="333333"/>
          <w:lang w:val="en-US"/>
        </w:rPr>
      </w:pPr>
      <w:r w:rsidRPr="003527C5">
        <w:rPr>
          <w:rFonts w:ascii="Arial" w:eastAsia="Times New Roman" w:hAnsi="Arial" w:cs="Arial"/>
          <w:noProof w:val="0"/>
          <w:color w:val="333333"/>
          <w:lang w:val="en-US"/>
        </w:rPr>
        <w:t>Ако је резултат испитивања знатно (&gt; 50%) нижи од спецификације која се контролише и под условом да су коришћени примерени поступци за осигурање квалитета, а сврха испитивања је само провера усклађености са законским одредбама, резултат испитивања може се исказати без корекције за искоришћење и у тим случајевима се корекција за искоришћење и несигурност мерења могу изоставити.</w:t>
      </w:r>
    </w:p>
    <w:p w:rsidR="003527C5" w:rsidRPr="003527C5" w:rsidRDefault="003527C5" w:rsidP="007B0FCB">
      <w:pPr>
        <w:spacing w:before="0" w:after="150"/>
        <w:ind w:firstLine="480"/>
        <w:rPr>
          <w:rFonts w:ascii="Arial" w:eastAsia="Times New Roman" w:hAnsi="Arial" w:cs="Arial"/>
          <w:noProof w:val="0"/>
          <w:color w:val="333333"/>
          <w:lang w:val="en-US"/>
        </w:rPr>
      </w:pPr>
      <w:r w:rsidRPr="007B0FCB">
        <w:rPr>
          <w:rFonts w:ascii="Arial" w:eastAsia="Times New Roman" w:hAnsi="Arial" w:cs="Arial"/>
          <w:color w:val="333333"/>
          <w:lang w:val="en-US"/>
        </w:rPr>
        <w:lastRenderedPageBreak/>
        <w:drawing>
          <wp:inline distT="0" distB="0" distL="0" distR="0" wp14:anchorId="3A5275AC" wp14:editId="0879168A">
            <wp:extent cx="6649200" cy="9360000"/>
            <wp:effectExtent l="0" t="0" r="0" b="0"/>
            <wp:docPr id="5" name="Picture 5" descr="https://reg.pravno-informacioni-sistem.rs/api/Attachment/slike/440114/Pravilnik-monitoring-hrane-za-zivotinje_Pag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g.pravno-informacioni-sistem.rs/api/Attachment/slike/440114/Pravilnik-monitoring-hrane-za-zivotinje_Page_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9200" cy="9360000"/>
                    </a:xfrm>
                    <a:prstGeom prst="rect">
                      <a:avLst/>
                    </a:prstGeom>
                    <a:noFill/>
                    <a:ln>
                      <a:noFill/>
                    </a:ln>
                  </pic:spPr>
                </pic:pic>
              </a:graphicData>
            </a:graphic>
          </wp:inline>
        </w:drawing>
      </w:r>
    </w:p>
    <w:p w:rsidR="003527C5" w:rsidRPr="003527C5" w:rsidRDefault="003527C5" w:rsidP="007B0FCB">
      <w:pPr>
        <w:spacing w:before="0" w:after="150"/>
        <w:ind w:firstLine="480"/>
        <w:rPr>
          <w:rFonts w:ascii="Arial" w:eastAsia="Times New Roman" w:hAnsi="Arial" w:cs="Arial"/>
          <w:noProof w:val="0"/>
          <w:color w:val="333333"/>
          <w:lang w:val="en-US"/>
        </w:rPr>
      </w:pPr>
      <w:r w:rsidRPr="007B0FCB">
        <w:rPr>
          <w:rFonts w:ascii="Arial" w:eastAsia="Times New Roman" w:hAnsi="Arial" w:cs="Arial"/>
          <w:color w:val="333333"/>
          <w:lang w:val="en-US"/>
        </w:rPr>
        <w:lastRenderedPageBreak/>
        <w:drawing>
          <wp:inline distT="0" distB="0" distL="0" distR="0" wp14:anchorId="28625173" wp14:editId="5EDB6DC9">
            <wp:extent cx="6649200" cy="9360000"/>
            <wp:effectExtent l="0" t="0" r="0" b="0"/>
            <wp:docPr id="4" name="Picture 4" descr="https://reg.pravno-informacioni-sistem.rs/api/Attachment/slike/440114/Pravilnik-monitoring-hrane-za-zivotinje_P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g.pravno-informacioni-sistem.rs/api/Attachment/slike/440114/Pravilnik-monitoring-hrane-za-zivotinje_Page_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9200" cy="9360000"/>
                    </a:xfrm>
                    <a:prstGeom prst="rect">
                      <a:avLst/>
                    </a:prstGeom>
                    <a:noFill/>
                    <a:ln>
                      <a:noFill/>
                    </a:ln>
                  </pic:spPr>
                </pic:pic>
              </a:graphicData>
            </a:graphic>
          </wp:inline>
        </w:drawing>
      </w:r>
    </w:p>
    <w:p w:rsidR="003527C5" w:rsidRPr="003527C5" w:rsidRDefault="003527C5" w:rsidP="007B0FCB">
      <w:pPr>
        <w:spacing w:before="0" w:after="150"/>
        <w:ind w:firstLine="480"/>
        <w:rPr>
          <w:rFonts w:ascii="Arial" w:eastAsia="Times New Roman" w:hAnsi="Arial" w:cs="Arial"/>
          <w:noProof w:val="0"/>
          <w:color w:val="333333"/>
          <w:lang w:val="en-US"/>
        </w:rPr>
      </w:pPr>
      <w:r w:rsidRPr="007B0FCB">
        <w:rPr>
          <w:rFonts w:ascii="Arial" w:eastAsia="Times New Roman" w:hAnsi="Arial" w:cs="Arial"/>
          <w:color w:val="333333"/>
          <w:lang w:val="en-US"/>
        </w:rPr>
        <w:lastRenderedPageBreak/>
        <w:drawing>
          <wp:inline distT="0" distB="0" distL="0" distR="0" wp14:anchorId="230F9D06" wp14:editId="2907C353">
            <wp:extent cx="6649200" cy="9360000"/>
            <wp:effectExtent l="0" t="0" r="0" b="0"/>
            <wp:docPr id="3" name="Picture 3" descr="https://reg.pravno-informacioni-sistem.rs/api/Attachment/slike/440114/Pravilnik-monitoring-hrane-za-zivotinje_Page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eg.pravno-informacioni-sistem.rs/api/Attachment/slike/440114/Pravilnik-monitoring-hrane-za-zivotinje_Page_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9200" cy="9360000"/>
                    </a:xfrm>
                    <a:prstGeom prst="rect">
                      <a:avLst/>
                    </a:prstGeom>
                    <a:noFill/>
                    <a:ln>
                      <a:noFill/>
                    </a:ln>
                  </pic:spPr>
                </pic:pic>
              </a:graphicData>
            </a:graphic>
          </wp:inline>
        </w:drawing>
      </w:r>
    </w:p>
    <w:p w:rsidR="003527C5" w:rsidRPr="00740FB7" w:rsidRDefault="003527C5" w:rsidP="00740FB7">
      <w:pPr>
        <w:spacing w:before="0" w:after="150"/>
        <w:ind w:firstLine="480"/>
        <w:rPr>
          <w:rFonts w:ascii="Arial" w:eastAsia="Times New Roman" w:hAnsi="Arial" w:cs="Arial"/>
          <w:noProof w:val="0"/>
          <w:color w:val="333333"/>
          <w:lang w:val="sr-Cyrl-RS"/>
        </w:rPr>
      </w:pPr>
      <w:r w:rsidRPr="007B0FCB">
        <w:rPr>
          <w:rFonts w:ascii="Arial" w:eastAsia="Times New Roman" w:hAnsi="Arial" w:cs="Arial"/>
          <w:color w:val="333333"/>
          <w:lang w:val="en-US"/>
        </w:rPr>
        <w:lastRenderedPageBreak/>
        <w:drawing>
          <wp:inline distT="0" distB="0" distL="0" distR="0" wp14:anchorId="5288BE5B" wp14:editId="62FB8D9C">
            <wp:extent cx="6649200" cy="9360000"/>
            <wp:effectExtent l="0" t="0" r="0" b="0"/>
            <wp:docPr id="2" name="Picture 2" descr="https://reg.pravno-informacioni-sistem.rs/api/Attachment/slike/440114/Pravilnik-monitoring-hrane-za-zivotinje_Page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eg.pravno-informacioni-sistem.rs/api/Attachment/slike/440114/Pravilnik-monitoring-hrane-za-zivotinje_Page_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9200" cy="9360000"/>
                    </a:xfrm>
                    <a:prstGeom prst="rect">
                      <a:avLst/>
                    </a:prstGeom>
                    <a:noFill/>
                    <a:ln>
                      <a:noFill/>
                    </a:ln>
                  </pic:spPr>
                </pic:pic>
              </a:graphicData>
            </a:graphic>
          </wp:inline>
        </w:drawing>
      </w:r>
      <w:bookmarkStart w:id="0" w:name="_GoBack"/>
      <w:bookmarkEnd w:id="0"/>
    </w:p>
    <w:sectPr w:rsidR="003527C5" w:rsidRPr="00740FB7" w:rsidSect="005761BD">
      <w:footerReference w:type="default" r:id="rId13"/>
      <w:pgSz w:w="12480" w:h="15710"/>
      <w:pgMar w:top="380" w:right="431" w:bottom="280" w:left="567" w:header="720" w:footer="52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695E" w:rsidRDefault="00A1695E" w:rsidP="00562731">
      <w:r>
        <w:separator/>
      </w:r>
    </w:p>
    <w:p w:rsidR="00F44E3D" w:rsidRDefault="00F44E3D"/>
  </w:endnote>
  <w:endnote w:type="continuationSeparator" w:id="0">
    <w:p w:rsidR="00A1695E" w:rsidRDefault="00A1695E" w:rsidP="00562731">
      <w:r>
        <w:continuationSeparator/>
      </w:r>
    </w:p>
    <w:p w:rsidR="00F44E3D" w:rsidRDefault="00F44E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44E3D" w:rsidRPr="005761BD" w:rsidRDefault="00562731" w:rsidP="005761BD">
    <w:pPr>
      <w:pStyle w:val="Footer"/>
      <w:jc w:val="center"/>
      <w:rPr>
        <w:caps/>
        <w:color w:val="5B9BD5"/>
      </w:rPr>
    </w:pPr>
    <w:r w:rsidRPr="00562731">
      <w:rPr>
        <w:caps/>
        <w:noProof w:val="0"/>
        <w:color w:val="5B9BD5"/>
      </w:rPr>
      <w:fldChar w:fldCharType="begin"/>
    </w:r>
    <w:r w:rsidRPr="00562731">
      <w:rPr>
        <w:caps/>
        <w:color w:val="5B9BD5"/>
      </w:rPr>
      <w:instrText xml:space="preserve"> PAGE   \* MERGEFORMAT </w:instrText>
    </w:r>
    <w:r w:rsidRPr="00562731">
      <w:rPr>
        <w:caps/>
        <w:noProof w:val="0"/>
        <w:color w:val="5B9BD5"/>
      </w:rPr>
      <w:fldChar w:fldCharType="separate"/>
    </w:r>
    <w:r w:rsidR="00740FB7">
      <w:rPr>
        <w:caps/>
        <w:color w:val="5B9BD5"/>
      </w:rPr>
      <w:t>15</w:t>
    </w:r>
    <w:r w:rsidRPr="00562731">
      <w:rPr>
        <w:caps/>
        <w:color w:val="5B9BD5"/>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695E" w:rsidRDefault="00A1695E" w:rsidP="00562731">
      <w:r>
        <w:separator/>
      </w:r>
    </w:p>
    <w:p w:rsidR="00F44E3D" w:rsidRDefault="00F44E3D"/>
  </w:footnote>
  <w:footnote w:type="continuationSeparator" w:id="0">
    <w:p w:rsidR="00A1695E" w:rsidRDefault="00A1695E" w:rsidP="00562731">
      <w:r>
        <w:continuationSeparator/>
      </w:r>
    </w:p>
    <w:p w:rsidR="00F44E3D" w:rsidRDefault="00F44E3D"/>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3E145C"/>
    <w:multiLevelType w:val="hybridMultilevel"/>
    <w:tmpl w:val="65889AD2"/>
    <w:lvl w:ilvl="0" w:tplc="F7BA221A">
      <w:start w:val="1"/>
      <w:numFmt w:val="decimal"/>
      <w:lvlText w:val="%1)"/>
      <w:lvlJc w:val="left"/>
      <w:pPr>
        <w:ind w:left="702" w:hanging="195"/>
      </w:pPr>
      <w:rPr>
        <w:rFonts w:ascii="Times New Roman" w:eastAsia="Times New Roman" w:hAnsi="Times New Roman" w:cs="Times New Roman" w:hint="default"/>
        <w:b/>
        <w:bCs/>
        <w:i w:val="0"/>
        <w:iCs w:val="0"/>
        <w:spacing w:val="0"/>
        <w:w w:val="100"/>
        <w:sz w:val="18"/>
        <w:szCs w:val="18"/>
        <w:lang w:eastAsia="en-US" w:bidi="ar-SA"/>
      </w:rPr>
    </w:lvl>
    <w:lvl w:ilvl="1" w:tplc="C298CA38">
      <w:numFmt w:val="bullet"/>
      <w:lvlText w:val="–"/>
      <w:lvlJc w:val="left"/>
      <w:pPr>
        <w:ind w:left="110" w:hanging="153"/>
      </w:pPr>
      <w:rPr>
        <w:rFonts w:ascii="Times New Roman" w:eastAsia="Times New Roman" w:hAnsi="Times New Roman" w:cs="Times New Roman" w:hint="default"/>
        <w:b w:val="0"/>
        <w:bCs w:val="0"/>
        <w:i w:val="0"/>
        <w:iCs w:val="0"/>
        <w:spacing w:val="0"/>
        <w:w w:val="100"/>
        <w:sz w:val="18"/>
        <w:szCs w:val="18"/>
        <w:lang w:eastAsia="en-US" w:bidi="ar-SA"/>
      </w:rPr>
    </w:lvl>
    <w:lvl w:ilvl="2" w:tplc="8152CD14">
      <w:numFmt w:val="bullet"/>
      <w:lvlText w:val="•"/>
      <w:lvlJc w:val="left"/>
      <w:pPr>
        <w:ind w:left="607" w:hanging="153"/>
      </w:pPr>
      <w:rPr>
        <w:rFonts w:hint="default"/>
        <w:lang w:eastAsia="en-US" w:bidi="ar-SA"/>
      </w:rPr>
    </w:lvl>
    <w:lvl w:ilvl="3" w:tplc="F066F8C6">
      <w:numFmt w:val="bullet"/>
      <w:lvlText w:val="•"/>
      <w:lvlJc w:val="left"/>
      <w:pPr>
        <w:ind w:left="515" w:hanging="153"/>
      </w:pPr>
      <w:rPr>
        <w:rFonts w:hint="default"/>
        <w:lang w:eastAsia="en-US" w:bidi="ar-SA"/>
      </w:rPr>
    </w:lvl>
    <w:lvl w:ilvl="4" w:tplc="4DFC1C7E">
      <w:numFmt w:val="bullet"/>
      <w:lvlText w:val="•"/>
      <w:lvlJc w:val="left"/>
      <w:pPr>
        <w:ind w:left="422" w:hanging="153"/>
      </w:pPr>
      <w:rPr>
        <w:rFonts w:hint="default"/>
        <w:lang w:eastAsia="en-US" w:bidi="ar-SA"/>
      </w:rPr>
    </w:lvl>
    <w:lvl w:ilvl="5" w:tplc="4D8E9A4A">
      <w:numFmt w:val="bullet"/>
      <w:lvlText w:val="•"/>
      <w:lvlJc w:val="left"/>
      <w:pPr>
        <w:ind w:left="330" w:hanging="153"/>
      </w:pPr>
      <w:rPr>
        <w:rFonts w:hint="default"/>
        <w:lang w:eastAsia="en-US" w:bidi="ar-SA"/>
      </w:rPr>
    </w:lvl>
    <w:lvl w:ilvl="6" w:tplc="AC967C1E">
      <w:numFmt w:val="bullet"/>
      <w:lvlText w:val="•"/>
      <w:lvlJc w:val="left"/>
      <w:pPr>
        <w:ind w:left="237" w:hanging="153"/>
      </w:pPr>
      <w:rPr>
        <w:rFonts w:hint="default"/>
        <w:lang w:eastAsia="en-US" w:bidi="ar-SA"/>
      </w:rPr>
    </w:lvl>
    <w:lvl w:ilvl="7" w:tplc="F782DDE2">
      <w:numFmt w:val="bullet"/>
      <w:lvlText w:val="•"/>
      <w:lvlJc w:val="left"/>
      <w:pPr>
        <w:ind w:left="145" w:hanging="153"/>
      </w:pPr>
      <w:rPr>
        <w:rFonts w:hint="default"/>
        <w:lang w:eastAsia="en-US" w:bidi="ar-SA"/>
      </w:rPr>
    </w:lvl>
    <w:lvl w:ilvl="8" w:tplc="C9AC7AE0">
      <w:numFmt w:val="bullet"/>
      <w:lvlText w:val="•"/>
      <w:lvlJc w:val="left"/>
      <w:pPr>
        <w:ind w:left="53" w:hanging="153"/>
      </w:pPr>
      <w:rPr>
        <w:rFonts w:hint="default"/>
        <w:lang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defaultTabStop w:val="720"/>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3326"/>
    <w:rsid w:val="00025D8B"/>
    <w:rsid w:val="0003065A"/>
    <w:rsid w:val="0004642A"/>
    <w:rsid w:val="000D43CC"/>
    <w:rsid w:val="000E41A0"/>
    <w:rsid w:val="001749E2"/>
    <w:rsid w:val="00251BA3"/>
    <w:rsid w:val="002A0BD4"/>
    <w:rsid w:val="002E296A"/>
    <w:rsid w:val="003527C5"/>
    <w:rsid w:val="003C0E07"/>
    <w:rsid w:val="003F36D1"/>
    <w:rsid w:val="00404EB1"/>
    <w:rsid w:val="00426874"/>
    <w:rsid w:val="004877B7"/>
    <w:rsid w:val="00497C37"/>
    <w:rsid w:val="004B4B91"/>
    <w:rsid w:val="004D01F0"/>
    <w:rsid w:val="004D039A"/>
    <w:rsid w:val="004F5E00"/>
    <w:rsid w:val="00541D17"/>
    <w:rsid w:val="00562731"/>
    <w:rsid w:val="005761BD"/>
    <w:rsid w:val="005E6332"/>
    <w:rsid w:val="0061486B"/>
    <w:rsid w:val="00634D8B"/>
    <w:rsid w:val="00647116"/>
    <w:rsid w:val="00691AEF"/>
    <w:rsid w:val="00703B45"/>
    <w:rsid w:val="00740FB7"/>
    <w:rsid w:val="00745084"/>
    <w:rsid w:val="00767A56"/>
    <w:rsid w:val="00770E38"/>
    <w:rsid w:val="007A331F"/>
    <w:rsid w:val="007B0FCB"/>
    <w:rsid w:val="007B35E1"/>
    <w:rsid w:val="007B3672"/>
    <w:rsid w:val="007D3A7B"/>
    <w:rsid w:val="007D4D4A"/>
    <w:rsid w:val="00806E64"/>
    <w:rsid w:val="00834961"/>
    <w:rsid w:val="0087547F"/>
    <w:rsid w:val="008A4389"/>
    <w:rsid w:val="0093171D"/>
    <w:rsid w:val="00942B01"/>
    <w:rsid w:val="00944E3C"/>
    <w:rsid w:val="00A046BD"/>
    <w:rsid w:val="00A1695E"/>
    <w:rsid w:val="00A31AF5"/>
    <w:rsid w:val="00A412D4"/>
    <w:rsid w:val="00A671C8"/>
    <w:rsid w:val="00AF0D68"/>
    <w:rsid w:val="00AF1260"/>
    <w:rsid w:val="00AF261C"/>
    <w:rsid w:val="00B60037"/>
    <w:rsid w:val="00B83346"/>
    <w:rsid w:val="00B8699F"/>
    <w:rsid w:val="00B913D9"/>
    <w:rsid w:val="00BE73FA"/>
    <w:rsid w:val="00C14DDD"/>
    <w:rsid w:val="00C24548"/>
    <w:rsid w:val="00C7284F"/>
    <w:rsid w:val="00CE5570"/>
    <w:rsid w:val="00D02513"/>
    <w:rsid w:val="00D04BC7"/>
    <w:rsid w:val="00D064CB"/>
    <w:rsid w:val="00D13326"/>
    <w:rsid w:val="00E91BA1"/>
    <w:rsid w:val="00E94200"/>
    <w:rsid w:val="00F00E8A"/>
    <w:rsid w:val="00F44E3D"/>
    <w:rsid w:val="00FA30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r-Latn-RS" w:eastAsia="sr-Latn-R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761BD"/>
    <w:pPr>
      <w:spacing w:before="120" w:after="120"/>
    </w:pPr>
    <w:rPr>
      <w:rFonts w:ascii="Times New Roman" w:hAnsi="Times New Roman"/>
      <w:noProof/>
      <w:sz w:val="18"/>
      <w:szCs w:val="18"/>
      <w:lang w:eastAsia="en-US"/>
    </w:rPr>
  </w:style>
  <w:style w:type="paragraph" w:styleId="Heading1">
    <w:name w:val="heading 1"/>
    <w:basedOn w:val="Normal"/>
    <w:next w:val="Normal"/>
    <w:link w:val="Heading1Char"/>
    <w:uiPriority w:val="9"/>
    <w:qFormat/>
    <w:rsid w:val="00B8699F"/>
    <w:pPr>
      <w:keepNext/>
      <w:keepLines/>
      <w:spacing w:before="480" w:after="200" w:line="276" w:lineRule="auto"/>
      <w:outlineLvl w:val="0"/>
    </w:pPr>
    <w:rPr>
      <w:rFonts w:ascii="Calibri Light" w:eastAsia="Times New Roman" w:hAnsi="Calibri Light"/>
      <w:b/>
      <w:bCs/>
      <w:noProof w:val="0"/>
      <w:color w:val="2E74B5"/>
      <w:sz w:val="28"/>
      <w:szCs w:val="28"/>
      <w:lang w:val="en-US"/>
    </w:rPr>
  </w:style>
  <w:style w:type="paragraph" w:styleId="Heading2">
    <w:name w:val="heading 2"/>
    <w:basedOn w:val="Normal"/>
    <w:next w:val="Normal"/>
    <w:link w:val="Heading2Char"/>
    <w:uiPriority w:val="9"/>
    <w:unhideWhenUsed/>
    <w:qFormat/>
    <w:rsid w:val="00B8699F"/>
    <w:pPr>
      <w:keepNext/>
      <w:keepLines/>
      <w:spacing w:before="200" w:after="200" w:line="276" w:lineRule="auto"/>
      <w:outlineLvl w:val="1"/>
    </w:pPr>
    <w:rPr>
      <w:rFonts w:ascii="Calibri Light" w:eastAsia="Times New Roman" w:hAnsi="Calibri Light"/>
      <w:b/>
      <w:bCs/>
      <w:noProof w:val="0"/>
      <w:color w:val="5B9BD5"/>
      <w:sz w:val="26"/>
      <w:szCs w:val="26"/>
      <w:lang w:val="en-US"/>
    </w:rPr>
  </w:style>
  <w:style w:type="paragraph" w:styleId="Heading3">
    <w:name w:val="heading 3"/>
    <w:basedOn w:val="Normal"/>
    <w:next w:val="Normal"/>
    <w:link w:val="Heading3Char"/>
    <w:uiPriority w:val="9"/>
    <w:unhideWhenUsed/>
    <w:qFormat/>
    <w:rsid w:val="00B8699F"/>
    <w:pPr>
      <w:keepNext/>
      <w:keepLines/>
      <w:spacing w:before="200" w:after="200" w:line="276" w:lineRule="auto"/>
      <w:outlineLvl w:val="2"/>
    </w:pPr>
    <w:rPr>
      <w:rFonts w:ascii="Calibri Light" w:eastAsia="Times New Roman" w:hAnsi="Calibri Light"/>
      <w:b/>
      <w:bCs/>
      <w:noProof w:val="0"/>
      <w:color w:val="5B9BD5"/>
      <w:sz w:val="22"/>
      <w:szCs w:val="22"/>
      <w:lang w:val="en-US"/>
    </w:rPr>
  </w:style>
  <w:style w:type="paragraph" w:styleId="Heading4">
    <w:name w:val="heading 4"/>
    <w:basedOn w:val="Normal"/>
    <w:next w:val="Normal"/>
    <w:link w:val="Heading4Char"/>
    <w:uiPriority w:val="9"/>
    <w:unhideWhenUsed/>
    <w:qFormat/>
    <w:rsid w:val="00B8699F"/>
    <w:pPr>
      <w:keepNext/>
      <w:keepLines/>
      <w:spacing w:before="200" w:after="200" w:line="276" w:lineRule="auto"/>
      <w:outlineLvl w:val="3"/>
    </w:pPr>
    <w:rPr>
      <w:rFonts w:ascii="Calibri Light" w:eastAsia="Times New Roman" w:hAnsi="Calibri Light"/>
      <w:b/>
      <w:bCs/>
      <w:i/>
      <w:iCs/>
      <w:noProof w:val="0"/>
      <w:color w:val="5B9BD5"/>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jc w:val="center"/>
    </w:pPr>
    <w:rPr>
      <w:b/>
      <w:lang w:val="en-US"/>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rPr>
      <w:i/>
    </w:rPr>
  </w:style>
  <w:style w:type="paragraph" w:customStyle="1" w:styleId="NASLOVZLATO">
    <w:name w:val="NASLOV ZLATO"/>
    <w:basedOn w:val="Title"/>
    <w:qFormat/>
    <w:rsid w:val="00D13326"/>
    <w:pPr>
      <w:spacing w:before="120"/>
    </w:pPr>
    <w:rPr>
      <w:rFonts w:ascii="Arial" w:hAnsi="Arial" w:cs="Arial"/>
      <w:color w:val="FFE599"/>
      <w:sz w:val="24"/>
      <w:szCs w:val="24"/>
      <w:lang w:eastAsia="sr-Latn-RS"/>
    </w:rPr>
  </w:style>
  <w:style w:type="paragraph" w:customStyle="1" w:styleId="NASLOVBELO">
    <w:name w:val="NASLOV BELO"/>
    <w:basedOn w:val="Title"/>
    <w:rsid w:val="00D13326"/>
    <w:pPr>
      <w:spacing w:before="120"/>
    </w:pPr>
    <w:rPr>
      <w:rFonts w:ascii="Arial" w:hAnsi="Arial" w:cs="Arial"/>
      <w:color w:val="FFFFFF"/>
      <w:sz w:val="24"/>
      <w:szCs w:val="24"/>
      <w:lang w:eastAsia="sr-Latn-RS"/>
    </w:rPr>
  </w:style>
  <w:style w:type="paragraph" w:customStyle="1" w:styleId="podnaslovpropisa">
    <w:name w:val="podnaslovpropisa"/>
    <w:basedOn w:val="Normal"/>
    <w:rsid w:val="00D13326"/>
    <w:pPr>
      <w:shd w:val="clear" w:color="auto" w:fill="000000"/>
      <w:spacing w:before="100" w:beforeAutospacing="1" w:after="100" w:afterAutospacing="1" w:line="264" w:lineRule="auto"/>
      <w:jc w:val="center"/>
    </w:pPr>
    <w:rPr>
      <w:rFonts w:ascii="Arial" w:eastAsia="Times New Roman" w:hAnsi="Arial" w:cs="Arial"/>
      <w:i/>
      <w:iCs/>
      <w:noProof w:val="0"/>
      <w:color w:val="FFE8BF"/>
      <w:sz w:val="20"/>
      <w:szCs w:val="20"/>
      <w:lang w:eastAsia="sr-Latn-RS"/>
    </w:rPr>
  </w:style>
  <w:style w:type="paragraph" w:styleId="Title">
    <w:name w:val="Title"/>
    <w:basedOn w:val="Normal"/>
    <w:next w:val="Normal"/>
    <w:link w:val="TitleChar"/>
    <w:uiPriority w:val="10"/>
    <w:qFormat/>
    <w:rsid w:val="00D13326"/>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link w:val="Title"/>
    <w:uiPriority w:val="10"/>
    <w:rsid w:val="00D13326"/>
    <w:rPr>
      <w:rFonts w:ascii="Calibri Light" w:eastAsia="Times New Roman" w:hAnsi="Calibri Light" w:cs="Times New Roman"/>
      <w:b/>
      <w:bCs/>
      <w:noProof/>
      <w:kern w:val="28"/>
      <w:sz w:val="32"/>
      <w:szCs w:val="32"/>
      <w:lang w:eastAsia="en-US"/>
    </w:rPr>
  </w:style>
  <w:style w:type="paragraph" w:styleId="BodyText">
    <w:name w:val="Body Text"/>
    <w:basedOn w:val="Normal"/>
    <w:link w:val="BodyTextChar"/>
    <w:uiPriority w:val="1"/>
    <w:qFormat/>
    <w:rsid w:val="004F5E00"/>
    <w:pPr>
      <w:widowControl w:val="0"/>
      <w:autoSpaceDE w:val="0"/>
      <w:autoSpaceDN w:val="0"/>
    </w:pPr>
    <w:rPr>
      <w:rFonts w:eastAsia="Times New Roman"/>
      <w:noProof w:val="0"/>
    </w:rPr>
  </w:style>
  <w:style w:type="character" w:customStyle="1" w:styleId="BodyTextChar">
    <w:name w:val="Body Text Char"/>
    <w:link w:val="BodyText"/>
    <w:uiPriority w:val="1"/>
    <w:rsid w:val="004F5E00"/>
    <w:rPr>
      <w:rFonts w:ascii="Times New Roman" w:eastAsia="Times New Roman" w:hAnsi="Times New Roman"/>
      <w:sz w:val="18"/>
      <w:szCs w:val="18"/>
      <w:lang w:eastAsia="en-US"/>
    </w:rPr>
  </w:style>
  <w:style w:type="paragraph" w:customStyle="1" w:styleId="TableParagraph">
    <w:name w:val="Table Paragraph"/>
    <w:basedOn w:val="Normal"/>
    <w:uiPriority w:val="1"/>
    <w:qFormat/>
    <w:rsid w:val="004F5E00"/>
    <w:pPr>
      <w:widowControl w:val="0"/>
      <w:autoSpaceDE w:val="0"/>
      <w:autoSpaceDN w:val="0"/>
      <w:spacing w:before="18"/>
      <w:ind w:left="228"/>
      <w:jc w:val="center"/>
    </w:pPr>
    <w:rPr>
      <w:rFonts w:eastAsia="Times New Roman"/>
      <w:noProof w:val="0"/>
      <w:sz w:val="22"/>
      <w:szCs w:val="22"/>
    </w:rPr>
  </w:style>
  <w:style w:type="paragraph" w:customStyle="1" w:styleId="odluka-zakon">
    <w:name w:val="odluka-zakon"/>
    <w:basedOn w:val="Normal"/>
    <w:rsid w:val="00806E64"/>
    <w:pPr>
      <w:spacing w:before="100" w:beforeAutospacing="1" w:after="100" w:afterAutospacing="1"/>
    </w:pPr>
    <w:rPr>
      <w:rFonts w:ascii="Arial" w:eastAsia="Times New Roman" w:hAnsi="Arial" w:cs="Arial"/>
      <w:noProof w:val="0"/>
      <w:sz w:val="20"/>
      <w:szCs w:val="20"/>
      <w:lang w:eastAsia="sr-Latn-RS"/>
    </w:rPr>
  </w:style>
  <w:style w:type="paragraph" w:customStyle="1" w:styleId="naslov">
    <w:name w:val="naslov"/>
    <w:basedOn w:val="Normal"/>
    <w:rsid w:val="00806E64"/>
    <w:pPr>
      <w:spacing w:before="100" w:beforeAutospacing="1" w:after="100" w:afterAutospacing="1"/>
    </w:pPr>
    <w:rPr>
      <w:rFonts w:ascii="Arial" w:eastAsia="Times New Roman" w:hAnsi="Arial" w:cs="Arial"/>
      <w:noProof w:val="0"/>
      <w:sz w:val="20"/>
      <w:szCs w:val="20"/>
      <w:lang w:eastAsia="sr-Latn-RS"/>
    </w:rPr>
  </w:style>
  <w:style w:type="paragraph" w:customStyle="1" w:styleId="basic-paragraph">
    <w:name w:val="basic-paragraph"/>
    <w:basedOn w:val="Normal"/>
    <w:rsid w:val="00806E64"/>
    <w:pPr>
      <w:spacing w:before="100" w:beforeAutospacing="1" w:after="100" w:afterAutospacing="1"/>
    </w:pPr>
    <w:rPr>
      <w:rFonts w:ascii="Arial" w:eastAsia="Times New Roman" w:hAnsi="Arial" w:cs="Arial"/>
      <w:noProof w:val="0"/>
      <w:sz w:val="20"/>
      <w:szCs w:val="20"/>
      <w:lang w:eastAsia="sr-Latn-RS"/>
    </w:rPr>
  </w:style>
  <w:style w:type="paragraph" w:styleId="Header">
    <w:name w:val="header"/>
    <w:basedOn w:val="Normal"/>
    <w:link w:val="HeaderChar"/>
    <w:uiPriority w:val="99"/>
    <w:unhideWhenUsed/>
    <w:rsid w:val="00562731"/>
    <w:pPr>
      <w:tabs>
        <w:tab w:val="center" w:pos="4536"/>
        <w:tab w:val="right" w:pos="9072"/>
      </w:tabs>
    </w:pPr>
  </w:style>
  <w:style w:type="character" w:customStyle="1" w:styleId="HeaderChar">
    <w:name w:val="Header Char"/>
    <w:link w:val="Header"/>
    <w:uiPriority w:val="99"/>
    <w:rsid w:val="00562731"/>
    <w:rPr>
      <w:rFonts w:ascii="Times New Roman" w:hAnsi="Times New Roman"/>
      <w:noProof/>
      <w:sz w:val="18"/>
      <w:szCs w:val="18"/>
      <w:lang w:eastAsia="en-US"/>
    </w:rPr>
  </w:style>
  <w:style w:type="paragraph" w:styleId="Footer">
    <w:name w:val="footer"/>
    <w:basedOn w:val="Normal"/>
    <w:link w:val="FooterChar"/>
    <w:uiPriority w:val="99"/>
    <w:unhideWhenUsed/>
    <w:rsid w:val="00562731"/>
    <w:pPr>
      <w:tabs>
        <w:tab w:val="center" w:pos="4536"/>
        <w:tab w:val="right" w:pos="9072"/>
      </w:tabs>
    </w:pPr>
  </w:style>
  <w:style w:type="character" w:customStyle="1" w:styleId="FooterChar">
    <w:name w:val="Footer Char"/>
    <w:link w:val="Footer"/>
    <w:uiPriority w:val="99"/>
    <w:rsid w:val="00562731"/>
    <w:rPr>
      <w:rFonts w:ascii="Times New Roman" w:hAnsi="Times New Roman"/>
      <w:noProof/>
      <w:sz w:val="18"/>
      <w:szCs w:val="18"/>
      <w:lang w:eastAsia="en-US"/>
    </w:rPr>
  </w:style>
  <w:style w:type="character" w:customStyle="1" w:styleId="Heading1Char">
    <w:name w:val="Heading 1 Char"/>
    <w:link w:val="Heading1"/>
    <w:uiPriority w:val="9"/>
    <w:rsid w:val="00B8699F"/>
    <w:rPr>
      <w:rFonts w:ascii="Calibri Light" w:eastAsia="Times New Roman" w:hAnsi="Calibri Light"/>
      <w:b/>
      <w:bCs/>
      <w:color w:val="2E74B5"/>
      <w:sz w:val="28"/>
      <w:szCs w:val="28"/>
      <w:lang w:val="en-US" w:eastAsia="en-US"/>
    </w:rPr>
  </w:style>
  <w:style w:type="character" w:customStyle="1" w:styleId="Heading2Char">
    <w:name w:val="Heading 2 Char"/>
    <w:link w:val="Heading2"/>
    <w:uiPriority w:val="9"/>
    <w:rsid w:val="00B8699F"/>
    <w:rPr>
      <w:rFonts w:ascii="Calibri Light" w:eastAsia="Times New Roman" w:hAnsi="Calibri Light"/>
      <w:b/>
      <w:bCs/>
      <w:color w:val="5B9BD5"/>
      <w:sz w:val="26"/>
      <w:szCs w:val="26"/>
      <w:lang w:val="en-US" w:eastAsia="en-US"/>
    </w:rPr>
  </w:style>
  <w:style w:type="character" w:customStyle="1" w:styleId="Heading3Char">
    <w:name w:val="Heading 3 Char"/>
    <w:link w:val="Heading3"/>
    <w:uiPriority w:val="9"/>
    <w:rsid w:val="00B8699F"/>
    <w:rPr>
      <w:rFonts w:ascii="Calibri Light" w:eastAsia="Times New Roman" w:hAnsi="Calibri Light"/>
      <w:b/>
      <w:bCs/>
      <w:color w:val="5B9BD5"/>
      <w:sz w:val="22"/>
      <w:szCs w:val="22"/>
      <w:lang w:val="en-US" w:eastAsia="en-US"/>
    </w:rPr>
  </w:style>
  <w:style w:type="character" w:customStyle="1" w:styleId="Heading4Char">
    <w:name w:val="Heading 4 Char"/>
    <w:link w:val="Heading4"/>
    <w:uiPriority w:val="9"/>
    <w:rsid w:val="00B8699F"/>
    <w:rPr>
      <w:rFonts w:ascii="Calibri Light" w:eastAsia="Times New Roman" w:hAnsi="Calibri Light"/>
      <w:b/>
      <w:bCs/>
      <w:i/>
      <w:iCs/>
      <w:color w:val="5B9BD5"/>
      <w:sz w:val="22"/>
      <w:szCs w:val="22"/>
      <w:lang w:val="en-US" w:eastAsia="en-US"/>
    </w:rPr>
  </w:style>
  <w:style w:type="numbering" w:customStyle="1" w:styleId="NoList1">
    <w:name w:val="No List1"/>
    <w:next w:val="NoList"/>
    <w:uiPriority w:val="99"/>
    <w:semiHidden/>
    <w:unhideWhenUsed/>
    <w:rsid w:val="00B8699F"/>
  </w:style>
  <w:style w:type="paragraph" w:styleId="NormalIndent">
    <w:name w:val="Normal Indent"/>
    <w:basedOn w:val="Normal"/>
    <w:uiPriority w:val="99"/>
    <w:unhideWhenUsed/>
    <w:rsid w:val="00B8699F"/>
    <w:pPr>
      <w:spacing w:after="200" w:line="276" w:lineRule="auto"/>
      <w:ind w:left="720"/>
    </w:pPr>
    <w:rPr>
      <w:rFonts w:ascii="Verdana" w:hAnsi="Verdana" w:cs="Verdana"/>
      <w:noProof w:val="0"/>
      <w:sz w:val="22"/>
      <w:szCs w:val="22"/>
      <w:lang w:val="en-US"/>
    </w:rPr>
  </w:style>
  <w:style w:type="paragraph" w:styleId="Subtitle">
    <w:name w:val="Subtitle"/>
    <w:basedOn w:val="Normal"/>
    <w:next w:val="Normal"/>
    <w:link w:val="SubtitleChar"/>
    <w:uiPriority w:val="11"/>
    <w:qFormat/>
    <w:rsid w:val="00B8699F"/>
    <w:pPr>
      <w:numPr>
        <w:ilvl w:val="1"/>
      </w:numPr>
      <w:spacing w:after="200" w:line="276" w:lineRule="auto"/>
      <w:ind w:left="86"/>
    </w:pPr>
    <w:rPr>
      <w:rFonts w:ascii="Calibri Light" w:eastAsia="Times New Roman" w:hAnsi="Calibri Light"/>
      <w:i/>
      <w:iCs/>
      <w:noProof w:val="0"/>
      <w:color w:val="5B9BD5"/>
      <w:spacing w:val="15"/>
      <w:sz w:val="24"/>
      <w:szCs w:val="24"/>
      <w:lang w:val="en-US"/>
    </w:rPr>
  </w:style>
  <w:style w:type="character" w:customStyle="1" w:styleId="SubtitleChar">
    <w:name w:val="Subtitle Char"/>
    <w:link w:val="Subtitle"/>
    <w:uiPriority w:val="11"/>
    <w:rsid w:val="00B8699F"/>
    <w:rPr>
      <w:rFonts w:ascii="Calibri Light" w:eastAsia="Times New Roman" w:hAnsi="Calibri Light"/>
      <w:i/>
      <w:iCs/>
      <w:color w:val="5B9BD5"/>
      <w:spacing w:val="15"/>
      <w:sz w:val="24"/>
      <w:szCs w:val="24"/>
      <w:lang w:val="en-US" w:eastAsia="en-US"/>
    </w:rPr>
  </w:style>
  <w:style w:type="character" w:styleId="Emphasis">
    <w:name w:val="Emphasis"/>
    <w:uiPriority w:val="20"/>
    <w:qFormat/>
    <w:rsid w:val="00B8699F"/>
    <w:rPr>
      <w:i/>
      <w:iCs/>
    </w:rPr>
  </w:style>
  <w:style w:type="character" w:styleId="Hyperlink">
    <w:name w:val="Hyperlink"/>
    <w:uiPriority w:val="99"/>
    <w:unhideWhenUsed/>
    <w:rsid w:val="00B8699F"/>
    <w:rPr>
      <w:color w:val="0563C1"/>
      <w:u w:val="single"/>
    </w:rPr>
  </w:style>
  <w:style w:type="table" w:styleId="TableGrid">
    <w:name w:val="Table Grid"/>
    <w:basedOn w:val="TableNormal"/>
    <w:uiPriority w:val="59"/>
    <w:rsid w:val="00B8699F"/>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B8699F"/>
    <w:pPr>
      <w:spacing w:after="200"/>
    </w:pPr>
    <w:rPr>
      <w:rFonts w:ascii="Verdana" w:hAnsi="Verdana" w:cs="Verdana"/>
      <w:b/>
      <w:bCs/>
      <w:noProof w:val="0"/>
      <w:color w:val="5B9BD5"/>
      <w:lang w:val="en-US"/>
    </w:rPr>
  </w:style>
  <w:style w:type="paragraph" w:customStyle="1" w:styleId="DocDefaults">
    <w:name w:val="DocDefaults"/>
    <w:rsid w:val="00B8699F"/>
    <w:pPr>
      <w:spacing w:after="200" w:line="276" w:lineRule="auto"/>
    </w:pPr>
    <w:rPr>
      <w:sz w:val="22"/>
      <w:szCs w:val="22"/>
      <w:lang w:val="en-US" w:eastAsia="en-US"/>
    </w:rPr>
  </w:style>
  <w:style w:type="numbering" w:customStyle="1" w:styleId="NoList2">
    <w:name w:val="No List2"/>
    <w:next w:val="NoList"/>
    <w:uiPriority w:val="99"/>
    <w:semiHidden/>
    <w:unhideWhenUsed/>
    <w:rsid w:val="00AF0D68"/>
  </w:style>
  <w:style w:type="table" w:customStyle="1" w:styleId="TableGrid1">
    <w:name w:val="Table Grid1"/>
    <w:basedOn w:val="TableNormal"/>
    <w:next w:val="TableGrid"/>
    <w:uiPriority w:val="59"/>
    <w:rsid w:val="00AF0D68"/>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uiPriority w:val="99"/>
    <w:semiHidden/>
    <w:unhideWhenUsed/>
    <w:rsid w:val="00AF0D68"/>
    <w:rPr>
      <w:color w:val="954F72"/>
      <w:u w:val="single"/>
    </w:rPr>
  </w:style>
  <w:style w:type="numbering" w:customStyle="1" w:styleId="NoList3">
    <w:name w:val="No List3"/>
    <w:next w:val="NoList"/>
    <w:uiPriority w:val="99"/>
    <w:semiHidden/>
    <w:unhideWhenUsed/>
    <w:rsid w:val="004D01F0"/>
  </w:style>
  <w:style w:type="table" w:customStyle="1" w:styleId="TableGrid2">
    <w:name w:val="Table Grid2"/>
    <w:basedOn w:val="TableNormal"/>
    <w:next w:val="TableGrid"/>
    <w:uiPriority w:val="59"/>
    <w:rsid w:val="004D01F0"/>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1"/>
    <w:qFormat/>
    <w:rsid w:val="0061486B"/>
    <w:pPr>
      <w:widowControl w:val="0"/>
      <w:autoSpaceDE w:val="0"/>
      <w:autoSpaceDN w:val="0"/>
      <w:ind w:left="110" w:firstLine="396"/>
      <w:jc w:val="both"/>
    </w:pPr>
    <w:rPr>
      <w:rFonts w:eastAsia="Times New Roman"/>
      <w:noProof w:val="0"/>
      <w:sz w:val="22"/>
      <w:szCs w:val="22"/>
    </w:rPr>
  </w:style>
  <w:style w:type="paragraph" w:styleId="NoSpacing">
    <w:name w:val="No Spacing"/>
    <w:uiPriority w:val="1"/>
    <w:qFormat/>
    <w:rsid w:val="0061486B"/>
    <w:pPr>
      <w:contextualSpacing/>
    </w:pPr>
    <w:rPr>
      <w:rFonts w:ascii="Times New Roman" w:hAnsi="Times New Roman"/>
      <w:noProof/>
      <w:sz w:val="18"/>
      <w:szCs w:val="18"/>
      <w:lang w:eastAsia="en-US"/>
    </w:rPr>
  </w:style>
  <w:style w:type="paragraph" w:customStyle="1" w:styleId="potpis">
    <w:name w:val="potpis"/>
    <w:basedOn w:val="Normal"/>
    <w:rsid w:val="000D43CC"/>
    <w:pPr>
      <w:ind w:firstLine="480"/>
    </w:pPr>
    <w:rPr>
      <w:rFonts w:ascii="Verdana" w:eastAsia="Times New Roman" w:hAnsi="Verdana" w:cs="Arial"/>
      <w:noProof w:val="0"/>
      <w:sz w:val="20"/>
      <w:szCs w:val="20"/>
      <w:lang w:eastAsia="sr-Latn-RS"/>
    </w:rPr>
  </w:style>
  <w:style w:type="character" w:customStyle="1" w:styleId="bold">
    <w:name w:val="bold"/>
    <w:rsid w:val="000D43CC"/>
  </w:style>
  <w:style w:type="character" w:customStyle="1" w:styleId="italik1">
    <w:name w:val="italik1"/>
    <w:rsid w:val="000D43CC"/>
    <w:rPr>
      <w:i/>
      <w:iCs/>
    </w:rPr>
  </w:style>
  <w:style w:type="paragraph" w:customStyle="1" w:styleId="f">
    <w:name w:val="f"/>
    <w:basedOn w:val="Normal"/>
    <w:rsid w:val="000D43CC"/>
    <w:pPr>
      <w:ind w:firstLine="480"/>
    </w:pPr>
    <w:rPr>
      <w:rFonts w:ascii="Verdana" w:eastAsia="Times New Roman" w:hAnsi="Verdana" w:cs="Arial"/>
      <w:noProof w:val="0"/>
      <w:sz w:val="20"/>
      <w:szCs w:val="20"/>
      <w:lang w:eastAsia="sr-Latn-RS"/>
    </w:rPr>
  </w:style>
  <w:style w:type="paragraph" w:styleId="NormalWeb">
    <w:name w:val="Normal (Web)"/>
    <w:basedOn w:val="Normal"/>
    <w:uiPriority w:val="99"/>
    <w:semiHidden/>
    <w:unhideWhenUsed/>
    <w:rsid w:val="000D43CC"/>
    <w:pPr>
      <w:spacing w:before="100" w:beforeAutospacing="1" w:after="100" w:afterAutospacing="1"/>
    </w:pPr>
    <w:rPr>
      <w:rFonts w:ascii="Arial" w:eastAsia="Times New Roman" w:hAnsi="Arial" w:cs="Arial"/>
      <w:noProof w:val="0"/>
      <w:sz w:val="20"/>
      <w:szCs w:val="20"/>
      <w:lang w:eastAsia="sr-Latn-RS"/>
    </w:rPr>
  </w:style>
  <w:style w:type="character" w:customStyle="1" w:styleId="italik">
    <w:name w:val="italik"/>
    <w:rsid w:val="000D43CC"/>
  </w:style>
  <w:style w:type="paragraph" w:styleId="BalloonText">
    <w:name w:val="Balloon Text"/>
    <w:basedOn w:val="Normal"/>
    <w:link w:val="BalloonTextChar"/>
    <w:uiPriority w:val="99"/>
    <w:semiHidden/>
    <w:unhideWhenUsed/>
    <w:rsid w:val="00F00E8A"/>
    <w:rPr>
      <w:rFonts w:ascii="Tahoma" w:hAnsi="Tahoma" w:cs="Tahoma"/>
      <w:sz w:val="16"/>
      <w:szCs w:val="16"/>
    </w:rPr>
  </w:style>
  <w:style w:type="character" w:customStyle="1" w:styleId="BalloonTextChar">
    <w:name w:val="Balloon Text Char"/>
    <w:basedOn w:val="DefaultParagraphFont"/>
    <w:link w:val="BalloonText"/>
    <w:uiPriority w:val="99"/>
    <w:semiHidden/>
    <w:rsid w:val="00F00E8A"/>
    <w:rPr>
      <w:rFonts w:ascii="Tahoma" w:hAnsi="Tahoma" w:cs="Tahoma"/>
      <w:noProof/>
      <w:sz w:val="16"/>
      <w:szCs w:val="16"/>
      <w:lang w:eastAsia="en-US"/>
    </w:rPr>
  </w:style>
  <w:style w:type="paragraph" w:customStyle="1" w:styleId="tabela">
    <w:name w:val="tabela"/>
    <w:basedOn w:val="Normal"/>
    <w:rsid w:val="00745084"/>
    <w:pPr>
      <w:spacing w:before="100" w:beforeAutospacing="1" w:after="100" w:afterAutospacing="1"/>
    </w:pPr>
    <w:rPr>
      <w:rFonts w:eastAsia="Times New Roman"/>
      <w:noProof w:val="0"/>
      <w:sz w:val="24"/>
      <w:szCs w:val="24"/>
      <w:lang w:val="en-US"/>
    </w:rPr>
  </w:style>
  <w:style w:type="character" w:customStyle="1" w:styleId="bold1">
    <w:name w:val="bold1"/>
    <w:basedOn w:val="DefaultParagraphFont"/>
    <w:rsid w:val="00D04BC7"/>
  </w:style>
  <w:style w:type="character" w:customStyle="1" w:styleId="superscript">
    <w:name w:val="superscript"/>
    <w:basedOn w:val="DefaultParagraphFont"/>
    <w:rsid w:val="00D04BC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r-Latn-RS" w:eastAsia="sr-Latn-R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761BD"/>
    <w:pPr>
      <w:spacing w:before="120" w:after="120"/>
    </w:pPr>
    <w:rPr>
      <w:rFonts w:ascii="Times New Roman" w:hAnsi="Times New Roman"/>
      <w:noProof/>
      <w:sz w:val="18"/>
      <w:szCs w:val="18"/>
      <w:lang w:eastAsia="en-US"/>
    </w:rPr>
  </w:style>
  <w:style w:type="paragraph" w:styleId="Heading1">
    <w:name w:val="heading 1"/>
    <w:basedOn w:val="Normal"/>
    <w:next w:val="Normal"/>
    <w:link w:val="Heading1Char"/>
    <w:uiPriority w:val="9"/>
    <w:qFormat/>
    <w:rsid w:val="00B8699F"/>
    <w:pPr>
      <w:keepNext/>
      <w:keepLines/>
      <w:spacing w:before="480" w:after="200" w:line="276" w:lineRule="auto"/>
      <w:outlineLvl w:val="0"/>
    </w:pPr>
    <w:rPr>
      <w:rFonts w:ascii="Calibri Light" w:eastAsia="Times New Roman" w:hAnsi="Calibri Light"/>
      <w:b/>
      <w:bCs/>
      <w:noProof w:val="0"/>
      <w:color w:val="2E74B5"/>
      <w:sz w:val="28"/>
      <w:szCs w:val="28"/>
      <w:lang w:val="en-US"/>
    </w:rPr>
  </w:style>
  <w:style w:type="paragraph" w:styleId="Heading2">
    <w:name w:val="heading 2"/>
    <w:basedOn w:val="Normal"/>
    <w:next w:val="Normal"/>
    <w:link w:val="Heading2Char"/>
    <w:uiPriority w:val="9"/>
    <w:unhideWhenUsed/>
    <w:qFormat/>
    <w:rsid w:val="00B8699F"/>
    <w:pPr>
      <w:keepNext/>
      <w:keepLines/>
      <w:spacing w:before="200" w:after="200" w:line="276" w:lineRule="auto"/>
      <w:outlineLvl w:val="1"/>
    </w:pPr>
    <w:rPr>
      <w:rFonts w:ascii="Calibri Light" w:eastAsia="Times New Roman" w:hAnsi="Calibri Light"/>
      <w:b/>
      <w:bCs/>
      <w:noProof w:val="0"/>
      <w:color w:val="5B9BD5"/>
      <w:sz w:val="26"/>
      <w:szCs w:val="26"/>
      <w:lang w:val="en-US"/>
    </w:rPr>
  </w:style>
  <w:style w:type="paragraph" w:styleId="Heading3">
    <w:name w:val="heading 3"/>
    <w:basedOn w:val="Normal"/>
    <w:next w:val="Normal"/>
    <w:link w:val="Heading3Char"/>
    <w:uiPriority w:val="9"/>
    <w:unhideWhenUsed/>
    <w:qFormat/>
    <w:rsid w:val="00B8699F"/>
    <w:pPr>
      <w:keepNext/>
      <w:keepLines/>
      <w:spacing w:before="200" w:after="200" w:line="276" w:lineRule="auto"/>
      <w:outlineLvl w:val="2"/>
    </w:pPr>
    <w:rPr>
      <w:rFonts w:ascii="Calibri Light" w:eastAsia="Times New Roman" w:hAnsi="Calibri Light"/>
      <w:b/>
      <w:bCs/>
      <w:noProof w:val="0"/>
      <w:color w:val="5B9BD5"/>
      <w:sz w:val="22"/>
      <w:szCs w:val="22"/>
      <w:lang w:val="en-US"/>
    </w:rPr>
  </w:style>
  <w:style w:type="paragraph" w:styleId="Heading4">
    <w:name w:val="heading 4"/>
    <w:basedOn w:val="Normal"/>
    <w:next w:val="Normal"/>
    <w:link w:val="Heading4Char"/>
    <w:uiPriority w:val="9"/>
    <w:unhideWhenUsed/>
    <w:qFormat/>
    <w:rsid w:val="00B8699F"/>
    <w:pPr>
      <w:keepNext/>
      <w:keepLines/>
      <w:spacing w:before="200" w:after="200" w:line="276" w:lineRule="auto"/>
      <w:outlineLvl w:val="3"/>
    </w:pPr>
    <w:rPr>
      <w:rFonts w:ascii="Calibri Light" w:eastAsia="Times New Roman" w:hAnsi="Calibri Light"/>
      <w:b/>
      <w:bCs/>
      <w:i/>
      <w:iCs/>
      <w:noProof w:val="0"/>
      <w:color w:val="5B9BD5"/>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jc w:val="center"/>
    </w:pPr>
    <w:rPr>
      <w:b/>
      <w:lang w:val="en-US"/>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rPr>
      <w:i/>
    </w:rPr>
  </w:style>
  <w:style w:type="paragraph" w:customStyle="1" w:styleId="NASLOVZLATO">
    <w:name w:val="NASLOV ZLATO"/>
    <w:basedOn w:val="Title"/>
    <w:qFormat/>
    <w:rsid w:val="00D13326"/>
    <w:pPr>
      <w:spacing w:before="120"/>
    </w:pPr>
    <w:rPr>
      <w:rFonts w:ascii="Arial" w:hAnsi="Arial" w:cs="Arial"/>
      <w:color w:val="FFE599"/>
      <w:sz w:val="24"/>
      <w:szCs w:val="24"/>
      <w:lang w:eastAsia="sr-Latn-RS"/>
    </w:rPr>
  </w:style>
  <w:style w:type="paragraph" w:customStyle="1" w:styleId="NASLOVBELO">
    <w:name w:val="NASLOV BELO"/>
    <w:basedOn w:val="Title"/>
    <w:rsid w:val="00D13326"/>
    <w:pPr>
      <w:spacing w:before="120"/>
    </w:pPr>
    <w:rPr>
      <w:rFonts w:ascii="Arial" w:hAnsi="Arial" w:cs="Arial"/>
      <w:color w:val="FFFFFF"/>
      <w:sz w:val="24"/>
      <w:szCs w:val="24"/>
      <w:lang w:eastAsia="sr-Latn-RS"/>
    </w:rPr>
  </w:style>
  <w:style w:type="paragraph" w:customStyle="1" w:styleId="podnaslovpropisa">
    <w:name w:val="podnaslovpropisa"/>
    <w:basedOn w:val="Normal"/>
    <w:rsid w:val="00D13326"/>
    <w:pPr>
      <w:shd w:val="clear" w:color="auto" w:fill="000000"/>
      <w:spacing w:before="100" w:beforeAutospacing="1" w:after="100" w:afterAutospacing="1" w:line="264" w:lineRule="auto"/>
      <w:jc w:val="center"/>
    </w:pPr>
    <w:rPr>
      <w:rFonts w:ascii="Arial" w:eastAsia="Times New Roman" w:hAnsi="Arial" w:cs="Arial"/>
      <w:i/>
      <w:iCs/>
      <w:noProof w:val="0"/>
      <w:color w:val="FFE8BF"/>
      <w:sz w:val="20"/>
      <w:szCs w:val="20"/>
      <w:lang w:eastAsia="sr-Latn-RS"/>
    </w:rPr>
  </w:style>
  <w:style w:type="paragraph" w:styleId="Title">
    <w:name w:val="Title"/>
    <w:basedOn w:val="Normal"/>
    <w:next w:val="Normal"/>
    <w:link w:val="TitleChar"/>
    <w:uiPriority w:val="10"/>
    <w:qFormat/>
    <w:rsid w:val="00D13326"/>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link w:val="Title"/>
    <w:uiPriority w:val="10"/>
    <w:rsid w:val="00D13326"/>
    <w:rPr>
      <w:rFonts w:ascii="Calibri Light" w:eastAsia="Times New Roman" w:hAnsi="Calibri Light" w:cs="Times New Roman"/>
      <w:b/>
      <w:bCs/>
      <w:noProof/>
      <w:kern w:val="28"/>
      <w:sz w:val="32"/>
      <w:szCs w:val="32"/>
      <w:lang w:eastAsia="en-US"/>
    </w:rPr>
  </w:style>
  <w:style w:type="paragraph" w:styleId="BodyText">
    <w:name w:val="Body Text"/>
    <w:basedOn w:val="Normal"/>
    <w:link w:val="BodyTextChar"/>
    <w:uiPriority w:val="1"/>
    <w:qFormat/>
    <w:rsid w:val="004F5E00"/>
    <w:pPr>
      <w:widowControl w:val="0"/>
      <w:autoSpaceDE w:val="0"/>
      <w:autoSpaceDN w:val="0"/>
    </w:pPr>
    <w:rPr>
      <w:rFonts w:eastAsia="Times New Roman"/>
      <w:noProof w:val="0"/>
    </w:rPr>
  </w:style>
  <w:style w:type="character" w:customStyle="1" w:styleId="BodyTextChar">
    <w:name w:val="Body Text Char"/>
    <w:link w:val="BodyText"/>
    <w:uiPriority w:val="1"/>
    <w:rsid w:val="004F5E00"/>
    <w:rPr>
      <w:rFonts w:ascii="Times New Roman" w:eastAsia="Times New Roman" w:hAnsi="Times New Roman"/>
      <w:sz w:val="18"/>
      <w:szCs w:val="18"/>
      <w:lang w:eastAsia="en-US"/>
    </w:rPr>
  </w:style>
  <w:style w:type="paragraph" w:customStyle="1" w:styleId="TableParagraph">
    <w:name w:val="Table Paragraph"/>
    <w:basedOn w:val="Normal"/>
    <w:uiPriority w:val="1"/>
    <w:qFormat/>
    <w:rsid w:val="004F5E00"/>
    <w:pPr>
      <w:widowControl w:val="0"/>
      <w:autoSpaceDE w:val="0"/>
      <w:autoSpaceDN w:val="0"/>
      <w:spacing w:before="18"/>
      <w:ind w:left="228"/>
      <w:jc w:val="center"/>
    </w:pPr>
    <w:rPr>
      <w:rFonts w:eastAsia="Times New Roman"/>
      <w:noProof w:val="0"/>
      <w:sz w:val="22"/>
      <w:szCs w:val="22"/>
    </w:rPr>
  </w:style>
  <w:style w:type="paragraph" w:customStyle="1" w:styleId="odluka-zakon">
    <w:name w:val="odluka-zakon"/>
    <w:basedOn w:val="Normal"/>
    <w:rsid w:val="00806E64"/>
    <w:pPr>
      <w:spacing w:before="100" w:beforeAutospacing="1" w:after="100" w:afterAutospacing="1"/>
    </w:pPr>
    <w:rPr>
      <w:rFonts w:ascii="Arial" w:eastAsia="Times New Roman" w:hAnsi="Arial" w:cs="Arial"/>
      <w:noProof w:val="0"/>
      <w:sz w:val="20"/>
      <w:szCs w:val="20"/>
      <w:lang w:eastAsia="sr-Latn-RS"/>
    </w:rPr>
  </w:style>
  <w:style w:type="paragraph" w:customStyle="1" w:styleId="naslov">
    <w:name w:val="naslov"/>
    <w:basedOn w:val="Normal"/>
    <w:rsid w:val="00806E64"/>
    <w:pPr>
      <w:spacing w:before="100" w:beforeAutospacing="1" w:after="100" w:afterAutospacing="1"/>
    </w:pPr>
    <w:rPr>
      <w:rFonts w:ascii="Arial" w:eastAsia="Times New Roman" w:hAnsi="Arial" w:cs="Arial"/>
      <w:noProof w:val="0"/>
      <w:sz w:val="20"/>
      <w:szCs w:val="20"/>
      <w:lang w:eastAsia="sr-Latn-RS"/>
    </w:rPr>
  </w:style>
  <w:style w:type="paragraph" w:customStyle="1" w:styleId="basic-paragraph">
    <w:name w:val="basic-paragraph"/>
    <w:basedOn w:val="Normal"/>
    <w:rsid w:val="00806E64"/>
    <w:pPr>
      <w:spacing w:before="100" w:beforeAutospacing="1" w:after="100" w:afterAutospacing="1"/>
    </w:pPr>
    <w:rPr>
      <w:rFonts w:ascii="Arial" w:eastAsia="Times New Roman" w:hAnsi="Arial" w:cs="Arial"/>
      <w:noProof w:val="0"/>
      <w:sz w:val="20"/>
      <w:szCs w:val="20"/>
      <w:lang w:eastAsia="sr-Latn-RS"/>
    </w:rPr>
  </w:style>
  <w:style w:type="paragraph" w:styleId="Header">
    <w:name w:val="header"/>
    <w:basedOn w:val="Normal"/>
    <w:link w:val="HeaderChar"/>
    <w:uiPriority w:val="99"/>
    <w:unhideWhenUsed/>
    <w:rsid w:val="00562731"/>
    <w:pPr>
      <w:tabs>
        <w:tab w:val="center" w:pos="4536"/>
        <w:tab w:val="right" w:pos="9072"/>
      </w:tabs>
    </w:pPr>
  </w:style>
  <w:style w:type="character" w:customStyle="1" w:styleId="HeaderChar">
    <w:name w:val="Header Char"/>
    <w:link w:val="Header"/>
    <w:uiPriority w:val="99"/>
    <w:rsid w:val="00562731"/>
    <w:rPr>
      <w:rFonts w:ascii="Times New Roman" w:hAnsi="Times New Roman"/>
      <w:noProof/>
      <w:sz w:val="18"/>
      <w:szCs w:val="18"/>
      <w:lang w:eastAsia="en-US"/>
    </w:rPr>
  </w:style>
  <w:style w:type="paragraph" w:styleId="Footer">
    <w:name w:val="footer"/>
    <w:basedOn w:val="Normal"/>
    <w:link w:val="FooterChar"/>
    <w:uiPriority w:val="99"/>
    <w:unhideWhenUsed/>
    <w:rsid w:val="00562731"/>
    <w:pPr>
      <w:tabs>
        <w:tab w:val="center" w:pos="4536"/>
        <w:tab w:val="right" w:pos="9072"/>
      </w:tabs>
    </w:pPr>
  </w:style>
  <w:style w:type="character" w:customStyle="1" w:styleId="FooterChar">
    <w:name w:val="Footer Char"/>
    <w:link w:val="Footer"/>
    <w:uiPriority w:val="99"/>
    <w:rsid w:val="00562731"/>
    <w:rPr>
      <w:rFonts w:ascii="Times New Roman" w:hAnsi="Times New Roman"/>
      <w:noProof/>
      <w:sz w:val="18"/>
      <w:szCs w:val="18"/>
      <w:lang w:eastAsia="en-US"/>
    </w:rPr>
  </w:style>
  <w:style w:type="character" w:customStyle="1" w:styleId="Heading1Char">
    <w:name w:val="Heading 1 Char"/>
    <w:link w:val="Heading1"/>
    <w:uiPriority w:val="9"/>
    <w:rsid w:val="00B8699F"/>
    <w:rPr>
      <w:rFonts w:ascii="Calibri Light" w:eastAsia="Times New Roman" w:hAnsi="Calibri Light"/>
      <w:b/>
      <w:bCs/>
      <w:color w:val="2E74B5"/>
      <w:sz w:val="28"/>
      <w:szCs w:val="28"/>
      <w:lang w:val="en-US" w:eastAsia="en-US"/>
    </w:rPr>
  </w:style>
  <w:style w:type="character" w:customStyle="1" w:styleId="Heading2Char">
    <w:name w:val="Heading 2 Char"/>
    <w:link w:val="Heading2"/>
    <w:uiPriority w:val="9"/>
    <w:rsid w:val="00B8699F"/>
    <w:rPr>
      <w:rFonts w:ascii="Calibri Light" w:eastAsia="Times New Roman" w:hAnsi="Calibri Light"/>
      <w:b/>
      <w:bCs/>
      <w:color w:val="5B9BD5"/>
      <w:sz w:val="26"/>
      <w:szCs w:val="26"/>
      <w:lang w:val="en-US" w:eastAsia="en-US"/>
    </w:rPr>
  </w:style>
  <w:style w:type="character" w:customStyle="1" w:styleId="Heading3Char">
    <w:name w:val="Heading 3 Char"/>
    <w:link w:val="Heading3"/>
    <w:uiPriority w:val="9"/>
    <w:rsid w:val="00B8699F"/>
    <w:rPr>
      <w:rFonts w:ascii="Calibri Light" w:eastAsia="Times New Roman" w:hAnsi="Calibri Light"/>
      <w:b/>
      <w:bCs/>
      <w:color w:val="5B9BD5"/>
      <w:sz w:val="22"/>
      <w:szCs w:val="22"/>
      <w:lang w:val="en-US" w:eastAsia="en-US"/>
    </w:rPr>
  </w:style>
  <w:style w:type="character" w:customStyle="1" w:styleId="Heading4Char">
    <w:name w:val="Heading 4 Char"/>
    <w:link w:val="Heading4"/>
    <w:uiPriority w:val="9"/>
    <w:rsid w:val="00B8699F"/>
    <w:rPr>
      <w:rFonts w:ascii="Calibri Light" w:eastAsia="Times New Roman" w:hAnsi="Calibri Light"/>
      <w:b/>
      <w:bCs/>
      <w:i/>
      <w:iCs/>
      <w:color w:val="5B9BD5"/>
      <w:sz w:val="22"/>
      <w:szCs w:val="22"/>
      <w:lang w:val="en-US" w:eastAsia="en-US"/>
    </w:rPr>
  </w:style>
  <w:style w:type="numbering" w:customStyle="1" w:styleId="NoList1">
    <w:name w:val="No List1"/>
    <w:next w:val="NoList"/>
    <w:uiPriority w:val="99"/>
    <w:semiHidden/>
    <w:unhideWhenUsed/>
    <w:rsid w:val="00B8699F"/>
  </w:style>
  <w:style w:type="paragraph" w:styleId="NormalIndent">
    <w:name w:val="Normal Indent"/>
    <w:basedOn w:val="Normal"/>
    <w:uiPriority w:val="99"/>
    <w:unhideWhenUsed/>
    <w:rsid w:val="00B8699F"/>
    <w:pPr>
      <w:spacing w:after="200" w:line="276" w:lineRule="auto"/>
      <w:ind w:left="720"/>
    </w:pPr>
    <w:rPr>
      <w:rFonts w:ascii="Verdana" w:hAnsi="Verdana" w:cs="Verdana"/>
      <w:noProof w:val="0"/>
      <w:sz w:val="22"/>
      <w:szCs w:val="22"/>
      <w:lang w:val="en-US"/>
    </w:rPr>
  </w:style>
  <w:style w:type="paragraph" w:styleId="Subtitle">
    <w:name w:val="Subtitle"/>
    <w:basedOn w:val="Normal"/>
    <w:next w:val="Normal"/>
    <w:link w:val="SubtitleChar"/>
    <w:uiPriority w:val="11"/>
    <w:qFormat/>
    <w:rsid w:val="00B8699F"/>
    <w:pPr>
      <w:numPr>
        <w:ilvl w:val="1"/>
      </w:numPr>
      <w:spacing w:after="200" w:line="276" w:lineRule="auto"/>
      <w:ind w:left="86"/>
    </w:pPr>
    <w:rPr>
      <w:rFonts w:ascii="Calibri Light" w:eastAsia="Times New Roman" w:hAnsi="Calibri Light"/>
      <w:i/>
      <w:iCs/>
      <w:noProof w:val="0"/>
      <w:color w:val="5B9BD5"/>
      <w:spacing w:val="15"/>
      <w:sz w:val="24"/>
      <w:szCs w:val="24"/>
      <w:lang w:val="en-US"/>
    </w:rPr>
  </w:style>
  <w:style w:type="character" w:customStyle="1" w:styleId="SubtitleChar">
    <w:name w:val="Subtitle Char"/>
    <w:link w:val="Subtitle"/>
    <w:uiPriority w:val="11"/>
    <w:rsid w:val="00B8699F"/>
    <w:rPr>
      <w:rFonts w:ascii="Calibri Light" w:eastAsia="Times New Roman" w:hAnsi="Calibri Light"/>
      <w:i/>
      <w:iCs/>
      <w:color w:val="5B9BD5"/>
      <w:spacing w:val="15"/>
      <w:sz w:val="24"/>
      <w:szCs w:val="24"/>
      <w:lang w:val="en-US" w:eastAsia="en-US"/>
    </w:rPr>
  </w:style>
  <w:style w:type="character" w:styleId="Emphasis">
    <w:name w:val="Emphasis"/>
    <w:uiPriority w:val="20"/>
    <w:qFormat/>
    <w:rsid w:val="00B8699F"/>
    <w:rPr>
      <w:i/>
      <w:iCs/>
    </w:rPr>
  </w:style>
  <w:style w:type="character" w:styleId="Hyperlink">
    <w:name w:val="Hyperlink"/>
    <w:uiPriority w:val="99"/>
    <w:unhideWhenUsed/>
    <w:rsid w:val="00B8699F"/>
    <w:rPr>
      <w:color w:val="0563C1"/>
      <w:u w:val="single"/>
    </w:rPr>
  </w:style>
  <w:style w:type="table" w:styleId="TableGrid">
    <w:name w:val="Table Grid"/>
    <w:basedOn w:val="TableNormal"/>
    <w:uiPriority w:val="59"/>
    <w:rsid w:val="00B8699F"/>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B8699F"/>
    <w:pPr>
      <w:spacing w:after="200"/>
    </w:pPr>
    <w:rPr>
      <w:rFonts w:ascii="Verdana" w:hAnsi="Verdana" w:cs="Verdana"/>
      <w:b/>
      <w:bCs/>
      <w:noProof w:val="0"/>
      <w:color w:val="5B9BD5"/>
      <w:lang w:val="en-US"/>
    </w:rPr>
  </w:style>
  <w:style w:type="paragraph" w:customStyle="1" w:styleId="DocDefaults">
    <w:name w:val="DocDefaults"/>
    <w:rsid w:val="00B8699F"/>
    <w:pPr>
      <w:spacing w:after="200" w:line="276" w:lineRule="auto"/>
    </w:pPr>
    <w:rPr>
      <w:sz w:val="22"/>
      <w:szCs w:val="22"/>
      <w:lang w:val="en-US" w:eastAsia="en-US"/>
    </w:rPr>
  </w:style>
  <w:style w:type="numbering" w:customStyle="1" w:styleId="NoList2">
    <w:name w:val="No List2"/>
    <w:next w:val="NoList"/>
    <w:uiPriority w:val="99"/>
    <w:semiHidden/>
    <w:unhideWhenUsed/>
    <w:rsid w:val="00AF0D68"/>
  </w:style>
  <w:style w:type="table" w:customStyle="1" w:styleId="TableGrid1">
    <w:name w:val="Table Grid1"/>
    <w:basedOn w:val="TableNormal"/>
    <w:next w:val="TableGrid"/>
    <w:uiPriority w:val="59"/>
    <w:rsid w:val="00AF0D68"/>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uiPriority w:val="99"/>
    <w:semiHidden/>
    <w:unhideWhenUsed/>
    <w:rsid w:val="00AF0D68"/>
    <w:rPr>
      <w:color w:val="954F72"/>
      <w:u w:val="single"/>
    </w:rPr>
  </w:style>
  <w:style w:type="numbering" w:customStyle="1" w:styleId="NoList3">
    <w:name w:val="No List3"/>
    <w:next w:val="NoList"/>
    <w:uiPriority w:val="99"/>
    <w:semiHidden/>
    <w:unhideWhenUsed/>
    <w:rsid w:val="004D01F0"/>
  </w:style>
  <w:style w:type="table" w:customStyle="1" w:styleId="TableGrid2">
    <w:name w:val="Table Grid2"/>
    <w:basedOn w:val="TableNormal"/>
    <w:next w:val="TableGrid"/>
    <w:uiPriority w:val="59"/>
    <w:rsid w:val="004D01F0"/>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1"/>
    <w:qFormat/>
    <w:rsid w:val="0061486B"/>
    <w:pPr>
      <w:widowControl w:val="0"/>
      <w:autoSpaceDE w:val="0"/>
      <w:autoSpaceDN w:val="0"/>
      <w:ind w:left="110" w:firstLine="396"/>
      <w:jc w:val="both"/>
    </w:pPr>
    <w:rPr>
      <w:rFonts w:eastAsia="Times New Roman"/>
      <w:noProof w:val="0"/>
      <w:sz w:val="22"/>
      <w:szCs w:val="22"/>
    </w:rPr>
  </w:style>
  <w:style w:type="paragraph" w:styleId="NoSpacing">
    <w:name w:val="No Spacing"/>
    <w:uiPriority w:val="1"/>
    <w:qFormat/>
    <w:rsid w:val="0061486B"/>
    <w:pPr>
      <w:contextualSpacing/>
    </w:pPr>
    <w:rPr>
      <w:rFonts w:ascii="Times New Roman" w:hAnsi="Times New Roman"/>
      <w:noProof/>
      <w:sz w:val="18"/>
      <w:szCs w:val="18"/>
      <w:lang w:eastAsia="en-US"/>
    </w:rPr>
  </w:style>
  <w:style w:type="paragraph" w:customStyle="1" w:styleId="potpis">
    <w:name w:val="potpis"/>
    <w:basedOn w:val="Normal"/>
    <w:rsid w:val="000D43CC"/>
    <w:pPr>
      <w:ind w:firstLine="480"/>
    </w:pPr>
    <w:rPr>
      <w:rFonts w:ascii="Verdana" w:eastAsia="Times New Roman" w:hAnsi="Verdana" w:cs="Arial"/>
      <w:noProof w:val="0"/>
      <w:sz w:val="20"/>
      <w:szCs w:val="20"/>
      <w:lang w:eastAsia="sr-Latn-RS"/>
    </w:rPr>
  </w:style>
  <w:style w:type="character" w:customStyle="1" w:styleId="bold">
    <w:name w:val="bold"/>
    <w:rsid w:val="000D43CC"/>
  </w:style>
  <w:style w:type="character" w:customStyle="1" w:styleId="italik1">
    <w:name w:val="italik1"/>
    <w:rsid w:val="000D43CC"/>
    <w:rPr>
      <w:i/>
      <w:iCs/>
    </w:rPr>
  </w:style>
  <w:style w:type="paragraph" w:customStyle="1" w:styleId="f">
    <w:name w:val="f"/>
    <w:basedOn w:val="Normal"/>
    <w:rsid w:val="000D43CC"/>
    <w:pPr>
      <w:ind w:firstLine="480"/>
    </w:pPr>
    <w:rPr>
      <w:rFonts w:ascii="Verdana" w:eastAsia="Times New Roman" w:hAnsi="Verdana" w:cs="Arial"/>
      <w:noProof w:val="0"/>
      <w:sz w:val="20"/>
      <w:szCs w:val="20"/>
      <w:lang w:eastAsia="sr-Latn-RS"/>
    </w:rPr>
  </w:style>
  <w:style w:type="paragraph" w:styleId="NormalWeb">
    <w:name w:val="Normal (Web)"/>
    <w:basedOn w:val="Normal"/>
    <w:uiPriority w:val="99"/>
    <w:semiHidden/>
    <w:unhideWhenUsed/>
    <w:rsid w:val="000D43CC"/>
    <w:pPr>
      <w:spacing w:before="100" w:beforeAutospacing="1" w:after="100" w:afterAutospacing="1"/>
    </w:pPr>
    <w:rPr>
      <w:rFonts w:ascii="Arial" w:eastAsia="Times New Roman" w:hAnsi="Arial" w:cs="Arial"/>
      <w:noProof w:val="0"/>
      <w:sz w:val="20"/>
      <w:szCs w:val="20"/>
      <w:lang w:eastAsia="sr-Latn-RS"/>
    </w:rPr>
  </w:style>
  <w:style w:type="character" w:customStyle="1" w:styleId="italik">
    <w:name w:val="italik"/>
    <w:rsid w:val="000D43CC"/>
  </w:style>
  <w:style w:type="paragraph" w:styleId="BalloonText">
    <w:name w:val="Balloon Text"/>
    <w:basedOn w:val="Normal"/>
    <w:link w:val="BalloonTextChar"/>
    <w:uiPriority w:val="99"/>
    <w:semiHidden/>
    <w:unhideWhenUsed/>
    <w:rsid w:val="00F00E8A"/>
    <w:rPr>
      <w:rFonts w:ascii="Tahoma" w:hAnsi="Tahoma" w:cs="Tahoma"/>
      <w:sz w:val="16"/>
      <w:szCs w:val="16"/>
    </w:rPr>
  </w:style>
  <w:style w:type="character" w:customStyle="1" w:styleId="BalloonTextChar">
    <w:name w:val="Balloon Text Char"/>
    <w:basedOn w:val="DefaultParagraphFont"/>
    <w:link w:val="BalloonText"/>
    <w:uiPriority w:val="99"/>
    <w:semiHidden/>
    <w:rsid w:val="00F00E8A"/>
    <w:rPr>
      <w:rFonts w:ascii="Tahoma" w:hAnsi="Tahoma" w:cs="Tahoma"/>
      <w:noProof/>
      <w:sz w:val="16"/>
      <w:szCs w:val="16"/>
      <w:lang w:eastAsia="en-US"/>
    </w:rPr>
  </w:style>
  <w:style w:type="paragraph" w:customStyle="1" w:styleId="tabela">
    <w:name w:val="tabela"/>
    <w:basedOn w:val="Normal"/>
    <w:rsid w:val="00745084"/>
    <w:pPr>
      <w:spacing w:before="100" w:beforeAutospacing="1" w:after="100" w:afterAutospacing="1"/>
    </w:pPr>
    <w:rPr>
      <w:rFonts w:eastAsia="Times New Roman"/>
      <w:noProof w:val="0"/>
      <w:sz w:val="24"/>
      <w:szCs w:val="24"/>
      <w:lang w:val="en-US"/>
    </w:rPr>
  </w:style>
  <w:style w:type="character" w:customStyle="1" w:styleId="bold1">
    <w:name w:val="bold1"/>
    <w:basedOn w:val="DefaultParagraphFont"/>
    <w:rsid w:val="00D04BC7"/>
  </w:style>
  <w:style w:type="character" w:customStyle="1" w:styleId="superscript">
    <w:name w:val="superscript"/>
    <w:basedOn w:val="DefaultParagraphFont"/>
    <w:rsid w:val="00D04B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550904">
      <w:bodyDiv w:val="1"/>
      <w:marLeft w:val="0"/>
      <w:marRight w:val="0"/>
      <w:marTop w:val="0"/>
      <w:marBottom w:val="0"/>
      <w:divBdr>
        <w:top w:val="none" w:sz="0" w:space="0" w:color="auto"/>
        <w:left w:val="none" w:sz="0" w:space="0" w:color="auto"/>
        <w:bottom w:val="none" w:sz="0" w:space="0" w:color="auto"/>
        <w:right w:val="none" w:sz="0" w:space="0" w:color="auto"/>
      </w:divBdr>
    </w:div>
    <w:div w:id="531381317">
      <w:bodyDiv w:val="1"/>
      <w:marLeft w:val="0"/>
      <w:marRight w:val="0"/>
      <w:marTop w:val="0"/>
      <w:marBottom w:val="0"/>
      <w:divBdr>
        <w:top w:val="none" w:sz="0" w:space="0" w:color="auto"/>
        <w:left w:val="none" w:sz="0" w:space="0" w:color="auto"/>
        <w:bottom w:val="none" w:sz="0" w:space="0" w:color="auto"/>
        <w:right w:val="none" w:sz="0" w:space="0" w:color="auto"/>
      </w:divBdr>
    </w:div>
    <w:div w:id="800923361">
      <w:bodyDiv w:val="1"/>
      <w:marLeft w:val="0"/>
      <w:marRight w:val="0"/>
      <w:marTop w:val="0"/>
      <w:marBottom w:val="0"/>
      <w:divBdr>
        <w:top w:val="none" w:sz="0" w:space="0" w:color="auto"/>
        <w:left w:val="none" w:sz="0" w:space="0" w:color="auto"/>
        <w:bottom w:val="none" w:sz="0" w:space="0" w:color="auto"/>
        <w:right w:val="none" w:sz="0" w:space="0" w:color="auto"/>
      </w:divBdr>
    </w:div>
    <w:div w:id="928347341">
      <w:bodyDiv w:val="1"/>
      <w:marLeft w:val="0"/>
      <w:marRight w:val="0"/>
      <w:marTop w:val="0"/>
      <w:marBottom w:val="0"/>
      <w:divBdr>
        <w:top w:val="none" w:sz="0" w:space="0" w:color="auto"/>
        <w:left w:val="none" w:sz="0" w:space="0" w:color="auto"/>
        <w:bottom w:val="none" w:sz="0" w:space="0" w:color="auto"/>
        <w:right w:val="none" w:sz="0" w:space="0" w:color="auto"/>
      </w:divBdr>
    </w:div>
    <w:div w:id="1971082707">
      <w:bodyDiv w:val="1"/>
      <w:marLeft w:val="0"/>
      <w:marRight w:val="0"/>
      <w:marTop w:val="0"/>
      <w:marBottom w:val="0"/>
      <w:divBdr>
        <w:top w:val="none" w:sz="0" w:space="0" w:color="auto"/>
        <w:left w:val="none" w:sz="0" w:space="0" w:color="auto"/>
        <w:bottom w:val="none" w:sz="0" w:space="0" w:color="auto"/>
        <w:right w:val="none" w:sz="0" w:space="0" w:color="auto"/>
      </w:divBdr>
    </w:div>
    <w:div w:id="1984113085">
      <w:bodyDiv w:val="1"/>
      <w:marLeft w:val="0"/>
      <w:marRight w:val="0"/>
      <w:marTop w:val="0"/>
      <w:marBottom w:val="0"/>
      <w:divBdr>
        <w:top w:val="none" w:sz="0" w:space="0" w:color="auto"/>
        <w:left w:val="none" w:sz="0" w:space="0" w:color="auto"/>
        <w:bottom w:val="none" w:sz="0" w:space="0" w:color="auto"/>
        <w:right w:val="none" w:sz="0" w:space="0" w:color="auto"/>
      </w:divBdr>
    </w:div>
    <w:div w:id="2077705511">
      <w:bodyDiv w:val="1"/>
      <w:marLeft w:val="0"/>
      <w:marRight w:val="0"/>
      <w:marTop w:val="0"/>
      <w:marBottom w:val="0"/>
      <w:divBdr>
        <w:top w:val="none" w:sz="0" w:space="0" w:color="auto"/>
        <w:left w:val="none" w:sz="0" w:space="0" w:color="auto"/>
        <w:bottom w:val="none" w:sz="0" w:space="0" w:color="auto"/>
        <w:right w:val="none" w:sz="0" w:space="0" w:color="auto"/>
      </w:divBdr>
    </w:div>
    <w:div w:id="2124958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15</Pages>
  <Words>5916</Words>
  <Characters>33723</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Paragraf</Company>
  <LinksUpToDate>false</LinksUpToDate>
  <CharactersWithSpaces>39560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Zeka</dc:creator>
  <cp:lastModifiedBy>Snezana Brindza</cp:lastModifiedBy>
  <cp:revision>5</cp:revision>
  <dcterms:created xsi:type="dcterms:W3CDTF">2026-05-18T07:01:00Z</dcterms:created>
  <dcterms:modified xsi:type="dcterms:W3CDTF">2026-05-18T07:05:00Z</dcterms:modified>
</cp:coreProperties>
</file>