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3836E9" w:rsidRPr="00C81BAE" w:rsidRDefault="00C81BAE" w:rsidP="003836E9">
            <w:pPr>
              <w:pStyle w:val="NASLOVBELO"/>
              <w:rPr>
                <w:color w:val="FFE599"/>
                <w:lang w:val="sr-Cyrl-RS"/>
              </w:rPr>
            </w:pPr>
            <w:r>
              <w:rPr>
                <w:color w:val="FFE599"/>
                <w:lang w:val="sr-Cyrl-RS"/>
              </w:rPr>
              <w:t>ОДЛУКА</w:t>
            </w:r>
          </w:p>
          <w:p w:rsidR="003B15CC" w:rsidRPr="00C81BAE" w:rsidRDefault="00C81BAE" w:rsidP="00C81BAE">
            <w:pPr>
              <w:jc w:val="center"/>
              <w:rPr>
                <w:rFonts w:ascii="Arial" w:hAnsi="Arial" w:cs="Arial"/>
                <w:b/>
                <w:bCs/>
                <w:noProof/>
                <w:color w:val="FFFFFF"/>
                <w:kern w:val="28"/>
                <w:sz w:val="24"/>
                <w:szCs w:val="24"/>
                <w:lang w:val="sr-Latn-RS" w:eastAsia="sr-Latn-RS"/>
              </w:rPr>
            </w:pPr>
            <w:r w:rsidRPr="00C81BAE">
              <w:rPr>
                <w:rFonts w:ascii="Arial" w:hAnsi="Arial" w:cs="Arial"/>
                <w:b/>
                <w:bCs/>
                <w:noProof/>
                <w:color w:val="FFFFFF"/>
                <w:kern w:val="28"/>
                <w:sz w:val="24"/>
                <w:szCs w:val="24"/>
                <w:lang w:val="sr-Cyrl-RS" w:eastAsia="sr-Latn-RS"/>
              </w:rPr>
              <w:t>О УТВРЂИВАЊУ И ПРИКУПЉАЊУ ДОПРИНОСА БАНАКА У</w:t>
            </w:r>
            <w:r>
              <w:rPr>
                <w:rFonts w:ascii="Arial" w:hAnsi="Arial" w:cs="Arial"/>
                <w:b/>
                <w:bCs/>
                <w:noProof/>
                <w:color w:val="FFFFFF"/>
                <w:kern w:val="28"/>
                <w:sz w:val="24"/>
                <w:szCs w:val="24"/>
                <w:lang w:val="sr-Cyrl-RS" w:eastAsia="sr-Latn-RS"/>
              </w:rPr>
              <w:t xml:space="preserve"> ФОНД ЗА РЕСТРУКТУРИРАЊЕ БАНАКА</w:t>
            </w:r>
          </w:p>
          <w:p w:rsidR="00E621AF" w:rsidRPr="00B34C0C" w:rsidRDefault="003B15CC" w:rsidP="00690B45">
            <w:pPr>
              <w:pStyle w:val="podnaslovpropisa"/>
              <w:rPr>
                <w:sz w:val="22"/>
                <w:szCs w:val="22"/>
              </w:rPr>
            </w:pPr>
            <w:r w:rsidRPr="007F3D64">
              <w:rPr>
                <w:sz w:val="22"/>
                <w:szCs w:val="22"/>
              </w:rPr>
              <w:t xml:space="preserve"> </w:t>
            </w:r>
            <w:r w:rsidR="007F3D64" w:rsidRPr="007F3D64">
              <w:rPr>
                <w:sz w:val="22"/>
                <w:szCs w:val="22"/>
              </w:rPr>
              <w:t xml:space="preserve">("Сл. гласник РС, бр. </w:t>
            </w:r>
            <w:r w:rsidR="00690B45">
              <w:rPr>
                <w:sz w:val="22"/>
                <w:szCs w:val="22"/>
              </w:rPr>
              <w:t>51</w:t>
            </w:r>
            <w:r w:rsidR="007F3D64" w:rsidRPr="007F3D64">
              <w:rPr>
                <w:sz w:val="22"/>
                <w:szCs w:val="22"/>
              </w:rPr>
              <w:t>/202</w:t>
            </w:r>
            <w:r w:rsidR="007F3D64">
              <w:rPr>
                <w:sz w:val="22"/>
                <w:szCs w:val="22"/>
              </w:rPr>
              <w:t>5</w:t>
            </w:r>
            <w:r w:rsidR="007F3D64" w:rsidRPr="007F3D64">
              <w:rPr>
                <w:sz w:val="22"/>
                <w:szCs w:val="22"/>
              </w:rPr>
              <w:t>)</w:t>
            </w:r>
          </w:p>
        </w:tc>
      </w:tr>
    </w:tbl>
    <w:p w:rsidR="00280660" w:rsidRPr="00C901FB" w:rsidRDefault="00280660" w:rsidP="00C901FB">
      <w:pPr>
        <w:pStyle w:val="basic-paragraph"/>
        <w:spacing w:before="0" w:beforeAutospacing="0" w:after="150" w:afterAutospacing="0"/>
        <w:rPr>
          <w:rFonts w:ascii="Arial" w:hAnsi="Arial" w:cs="Arial"/>
          <w:color w:val="000000"/>
          <w:sz w:val="20"/>
          <w:szCs w:val="20"/>
          <w:lang w:val="sr-Latn-RS"/>
        </w:rPr>
      </w:pPr>
      <w:bookmarkStart w:id="0" w:name="str_1"/>
      <w:bookmarkEnd w:id="0"/>
    </w:p>
    <w:p w:rsidR="00C901FB" w:rsidRDefault="00C901FB" w:rsidP="00C901FB">
      <w:pPr>
        <w:widowControl/>
        <w:autoSpaceDE/>
        <w:autoSpaceDN/>
        <w:spacing w:before="0" w:after="0"/>
        <w:ind w:firstLine="480"/>
        <w:jc w:val="right"/>
        <w:rPr>
          <w:rFonts w:ascii="Arial" w:hAnsi="Arial" w:cs="Arial"/>
          <w:b/>
          <w:bCs/>
          <w:color w:val="000000"/>
          <w:sz w:val="20"/>
          <w:szCs w:val="20"/>
          <w:lang w:val="sr-Cyrl-RS"/>
        </w:rPr>
      </w:pPr>
      <w:r w:rsidRPr="00C901FB">
        <w:rPr>
          <w:rFonts w:ascii="Arial" w:hAnsi="Arial" w:cs="Arial"/>
          <w:b/>
          <w:bCs/>
          <w:color w:val="000000"/>
          <w:sz w:val="20"/>
          <w:szCs w:val="20"/>
        </w:rPr>
        <w:t>Прилог 1</w:t>
      </w:r>
    </w:p>
    <w:p w:rsidR="00DF7E90" w:rsidRPr="00C901FB" w:rsidRDefault="00DF7E90" w:rsidP="00C901FB">
      <w:pPr>
        <w:widowControl/>
        <w:autoSpaceDE/>
        <w:autoSpaceDN/>
        <w:spacing w:before="0" w:after="0"/>
        <w:ind w:firstLine="480"/>
        <w:jc w:val="right"/>
        <w:rPr>
          <w:rFonts w:ascii="Arial" w:hAnsi="Arial" w:cs="Arial"/>
          <w:color w:val="000000"/>
          <w:sz w:val="20"/>
          <w:szCs w:val="20"/>
          <w:lang w:val="sr-Cyrl-RS"/>
        </w:rPr>
      </w:pPr>
    </w:p>
    <w:p w:rsidR="00C901FB" w:rsidRPr="00C901FB" w:rsidRDefault="00C901FB" w:rsidP="00C901FB">
      <w:pPr>
        <w:widowControl/>
        <w:autoSpaceDE/>
        <w:autoSpaceDN/>
        <w:spacing w:before="0" w:after="0"/>
        <w:ind w:firstLine="480"/>
        <w:jc w:val="center"/>
        <w:rPr>
          <w:rFonts w:ascii="Arial" w:hAnsi="Arial" w:cs="Arial"/>
          <w:b/>
          <w:bCs/>
          <w:color w:val="000000"/>
          <w:sz w:val="20"/>
          <w:szCs w:val="20"/>
        </w:rPr>
      </w:pPr>
      <w:r w:rsidRPr="00C901FB">
        <w:rPr>
          <w:rFonts w:ascii="Arial" w:hAnsi="Arial" w:cs="Arial"/>
          <w:b/>
          <w:bCs/>
          <w:color w:val="000000"/>
          <w:sz w:val="20"/>
          <w:szCs w:val="20"/>
        </w:rPr>
        <w:t>МЕТОДОЛОГИЈА ЗА ОБРАЧУН РЕДОВНИХ ГОДИШЊИХ ДОПРИНОСА БАНАКА У ФОНД ЗА РЕСТРУКТУРИРАЊЕ БАНАКА</w:t>
      </w:r>
    </w:p>
    <w:p w:rsidR="00C901FB" w:rsidRPr="00C901FB" w:rsidRDefault="00C901FB" w:rsidP="00C901FB">
      <w:pPr>
        <w:widowControl/>
        <w:autoSpaceDE/>
        <w:autoSpaceDN/>
        <w:spacing w:before="0" w:after="0"/>
        <w:ind w:firstLine="480"/>
        <w:jc w:val="center"/>
        <w:rPr>
          <w:rFonts w:ascii="Arial" w:hAnsi="Arial" w:cs="Arial"/>
          <w:b/>
          <w:bCs/>
          <w:color w:val="000000"/>
          <w:sz w:val="20"/>
          <w:szCs w:val="20"/>
        </w:rPr>
      </w:pPr>
      <w:r w:rsidRPr="00C901FB">
        <w:rPr>
          <w:rFonts w:ascii="Arial" w:hAnsi="Arial" w:cs="Arial"/>
          <w:b/>
          <w:bCs/>
          <w:color w:val="000000"/>
          <w:sz w:val="20"/>
          <w:szCs w:val="20"/>
        </w:rPr>
        <w:t>1. Обрачун основних показатеља</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1. Основни индикатори ризика обрачунавају се у складу са следећим:</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6"/>
        <w:gridCol w:w="2720"/>
        <w:gridCol w:w="5567"/>
      </w:tblGrid>
      <w:tr w:rsidR="00C901FB" w:rsidRPr="00C901FB" w:rsidTr="00A20094">
        <w:tc>
          <w:tcPr>
            <w:tcW w:w="10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Категорија ризика</w:t>
            </w:r>
          </w:p>
        </w:tc>
        <w:tc>
          <w:tcPr>
            <w:tcW w:w="1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Индикатор ризика</w:t>
            </w:r>
          </w:p>
        </w:tc>
        <w:tc>
          <w:tcPr>
            <w:tcW w:w="2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Обрачун индикатора</w:t>
            </w:r>
          </w:p>
        </w:tc>
      </w:tr>
      <w:tr w:rsidR="00C901FB" w:rsidRPr="00C901FB" w:rsidTr="00A20094">
        <w:tc>
          <w:tcPr>
            <w:tcW w:w="107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Изложеност ризику</w:t>
            </w:r>
          </w:p>
        </w:tc>
        <w:tc>
          <w:tcPr>
            <w:tcW w:w="1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вишак средстава изнад МКО</w:t>
            </w:r>
          </w:p>
        </w:tc>
        <w:tc>
          <w:tcPr>
            <w:tcW w:w="2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(капитал + подобне обавезе – МКО) / (укупне обавезе + капитал)</w:t>
            </w:r>
          </w:p>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Капитал утврђен у складу са одлуком којом се уређује адекватност капитала</w:t>
            </w:r>
          </w:p>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Подобне обавезе утврђене у складу са чланом 128њ став 3. Закона о банкама</w:t>
            </w:r>
          </w:p>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МКО је минимални захтев за капиталом и подобним обавезама у апсолутном износу утврђен у складу са одлуком којом се уређује минимални захтев за капиталом и подобним обавезама</w:t>
            </w:r>
          </w:p>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Обавезе по основу деривата укључују се у укупне обавезе на основу пуног признавања нетирања друге уговорне стране</w:t>
            </w:r>
          </w:p>
        </w:tc>
      </w:tr>
      <w:tr w:rsidR="00C901FB" w:rsidRPr="00C901FB" w:rsidTr="00A20094">
        <w:tc>
          <w:tcPr>
            <w:tcW w:w="10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левериџ</w:t>
            </w:r>
          </w:p>
        </w:tc>
        <w:tc>
          <w:tcPr>
            <w:tcW w:w="2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Показатељ степена задужености утврђен у складу са одлуком којом се уређује адекватност капитала</w:t>
            </w:r>
          </w:p>
        </w:tc>
      </w:tr>
      <w:tr w:rsidR="00C901FB" w:rsidRPr="00C901FB" w:rsidTr="00A20094">
        <w:tc>
          <w:tcPr>
            <w:tcW w:w="10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CET1 показатељ</w:t>
            </w:r>
          </w:p>
        </w:tc>
        <w:tc>
          <w:tcPr>
            <w:tcW w:w="2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Показатељ адекватности основног акцијског капитала утврђен у складу са одлуком којом се уређује адекватност капитала</w:t>
            </w:r>
          </w:p>
        </w:tc>
      </w:tr>
      <w:tr w:rsidR="00C901FB" w:rsidRPr="00C901FB" w:rsidTr="00A20094">
        <w:tc>
          <w:tcPr>
            <w:tcW w:w="10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TRE / укупна актива</w:t>
            </w:r>
          </w:p>
        </w:tc>
        <w:tc>
          <w:tcPr>
            <w:tcW w:w="2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Ризична актива утврђена у складу са одлуком којом се уређује адекватност капитала / Укупна билансна актива из биланса стања</w:t>
            </w:r>
          </w:p>
        </w:tc>
      </w:tr>
      <w:tr w:rsidR="00C901FB" w:rsidRPr="00C901FB" w:rsidTr="00A20094">
        <w:tc>
          <w:tcPr>
            <w:tcW w:w="107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Стабилност извора финансирања</w:t>
            </w:r>
          </w:p>
        </w:tc>
        <w:tc>
          <w:tcPr>
            <w:tcW w:w="1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NSFR</w:t>
            </w:r>
          </w:p>
        </w:tc>
        <w:tc>
          <w:tcPr>
            <w:tcW w:w="2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Показатељ нето стабилних извора финансирања утврђен у складу са одлуком којом се уређује управљање ризиком ликвидности банке</w:t>
            </w:r>
          </w:p>
        </w:tc>
      </w:tr>
      <w:tr w:rsidR="00C901FB" w:rsidRPr="00C901FB" w:rsidTr="00A20094">
        <w:tc>
          <w:tcPr>
            <w:tcW w:w="10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LCR</w:t>
            </w:r>
          </w:p>
        </w:tc>
        <w:tc>
          <w:tcPr>
            <w:tcW w:w="2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Показатељ покрића ликвидном активом утврђен у складу са одлуком којом се уређује управљање ризиком ликвидности банке</w:t>
            </w:r>
          </w:p>
        </w:tc>
      </w:tr>
      <w:tr w:rsidR="00C901FB" w:rsidRPr="00C901FB" w:rsidTr="00A20094">
        <w:tc>
          <w:tcPr>
            <w:tcW w:w="10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Значај банке за стабилност финансијског система</w:t>
            </w:r>
          </w:p>
        </w:tc>
        <w:tc>
          <w:tcPr>
            <w:tcW w:w="1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учешће банке у међубанкарским кредитима и депозитима</w:t>
            </w:r>
          </w:p>
        </w:tc>
        <w:tc>
          <w:tcPr>
            <w:tcW w:w="2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Учешће банке у међубанкарским кредитима и депозитима свих банака у Републици Србији</w:t>
            </w:r>
          </w:p>
        </w:tc>
      </w:tr>
      <w:tr w:rsidR="00C901FB" w:rsidRPr="00C901FB" w:rsidTr="00A20094">
        <w:tc>
          <w:tcPr>
            <w:tcW w:w="107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Додатни индикатори ризика</w:t>
            </w:r>
          </w:p>
        </w:tc>
        <w:tc>
          <w:tcPr>
            <w:tcW w:w="1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учешће портфолија трговања у укупној активи</w:t>
            </w:r>
          </w:p>
        </w:tc>
        <w:tc>
          <w:tcPr>
            <w:tcW w:w="2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Укупан портфолио финансијских инструмената који се вреднују по фер вредности кроз биланс успеха и оних који су расположиви за продају / Укупна актива</w:t>
            </w:r>
          </w:p>
        </w:tc>
      </w:tr>
      <w:tr w:rsidR="00C901FB" w:rsidRPr="00C901FB" w:rsidTr="00A20094">
        <w:tc>
          <w:tcPr>
            <w:tcW w:w="10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учешће ванбилансних изложености у укупној активи</w:t>
            </w:r>
          </w:p>
        </w:tc>
        <w:tc>
          <w:tcPr>
            <w:tcW w:w="2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Укупна номинална вредност преузетих неопозивих обавеза, финансијских гаранција и осталих преузетих обавеза</w:t>
            </w:r>
          </w:p>
        </w:tc>
      </w:tr>
      <w:tr w:rsidR="00C901FB" w:rsidRPr="00C901FB" w:rsidTr="00A20094">
        <w:tc>
          <w:tcPr>
            <w:tcW w:w="10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учешће послова са дериватима у укупној активи</w:t>
            </w:r>
          </w:p>
        </w:tc>
        <w:tc>
          <w:tcPr>
            <w:tcW w:w="2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Укупна номинална вредност деривата намењених трговању и деривата намењених интерној заштити (хеџингу) / Укупна актива</w:t>
            </w:r>
          </w:p>
        </w:tc>
      </w:tr>
      <w:tr w:rsidR="00C901FB" w:rsidRPr="00C901FB" w:rsidTr="00A20094">
        <w:tc>
          <w:tcPr>
            <w:tcW w:w="10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учешће бруто NPL у укупним кредитима</w:t>
            </w:r>
          </w:p>
        </w:tc>
        <w:tc>
          <w:tcPr>
            <w:tcW w:w="2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Проблематични кредити утврђени у складу са одлуком којом се уређује класификација билансне и ванбилансне активе банке</w:t>
            </w:r>
          </w:p>
        </w:tc>
      </w:tr>
      <w:tr w:rsidR="00C901FB" w:rsidRPr="00C901FB" w:rsidTr="00A20094">
        <w:tc>
          <w:tcPr>
            <w:tcW w:w="10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учешће нето NPL у основном капиталу</w:t>
            </w:r>
          </w:p>
        </w:tc>
        <w:tc>
          <w:tcPr>
            <w:tcW w:w="2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Основни капитал утврђен у складу са одлуком којом се уређује адекватност капитала</w:t>
            </w:r>
          </w:p>
        </w:tc>
      </w:tr>
      <w:tr w:rsidR="00C901FB" w:rsidRPr="00C901FB" w:rsidTr="00A20094">
        <w:tc>
          <w:tcPr>
            <w:tcW w:w="10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ROA (након пореза)</w:t>
            </w:r>
          </w:p>
        </w:tc>
        <w:tc>
          <w:tcPr>
            <w:tcW w:w="2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Годишња стопа приноса на укупну имовину након пореза</w:t>
            </w:r>
          </w:p>
        </w:tc>
      </w:tr>
      <w:tr w:rsidR="00C901FB" w:rsidRPr="00C901FB" w:rsidTr="00A20094">
        <w:tc>
          <w:tcPr>
            <w:tcW w:w="10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обим претходног коришћења ванредне финансијске подршке</w:t>
            </w:r>
          </w:p>
        </w:tc>
        <w:tc>
          <w:tcPr>
            <w:tcW w:w="26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bl>
    <w:p w:rsidR="00C901FB" w:rsidRPr="00C901FB" w:rsidRDefault="00C901FB" w:rsidP="00C901FB">
      <w:pPr>
        <w:widowControl/>
        <w:autoSpaceDE/>
        <w:autoSpaceDN/>
        <w:spacing w:before="0" w:after="0"/>
        <w:ind w:firstLine="480"/>
        <w:jc w:val="center"/>
        <w:rPr>
          <w:rFonts w:ascii="Arial" w:hAnsi="Arial" w:cs="Arial"/>
          <w:b/>
          <w:bCs/>
          <w:color w:val="000000"/>
          <w:sz w:val="20"/>
          <w:szCs w:val="20"/>
        </w:rPr>
      </w:pPr>
      <w:r w:rsidRPr="00C901FB">
        <w:rPr>
          <w:rFonts w:ascii="Arial" w:hAnsi="Arial" w:cs="Arial"/>
          <w:b/>
          <w:bCs/>
          <w:color w:val="000000"/>
          <w:sz w:val="20"/>
          <w:szCs w:val="20"/>
        </w:rPr>
        <w:t>2. Дискретизација показатеља</w:t>
      </w:r>
    </w:p>
    <w:p w:rsidR="00C901FB" w:rsidRPr="00C901FB" w:rsidRDefault="00C901FB" w:rsidP="00C901FB">
      <w:pPr>
        <w:widowControl/>
        <w:autoSpaceDE/>
        <w:autoSpaceDN/>
        <w:spacing w:before="0" w:after="0"/>
        <w:ind w:firstLine="480"/>
        <w:rPr>
          <w:rFonts w:ascii="Arial" w:hAnsi="Arial" w:cs="Arial"/>
          <w:color w:val="000000"/>
          <w:sz w:val="20"/>
          <w:szCs w:val="20"/>
        </w:rPr>
      </w:pPr>
      <w:r w:rsidRPr="00C901FB">
        <w:rPr>
          <w:rFonts w:ascii="Arial" w:hAnsi="Arial" w:cs="Arial"/>
          <w:color w:val="000000"/>
          <w:sz w:val="20"/>
          <w:szCs w:val="20"/>
        </w:rPr>
        <w:t xml:space="preserve">2. За сваки основни индикатор из тачке 1. </w:t>
      </w:r>
      <w:proofErr w:type="gramStart"/>
      <w:r w:rsidRPr="00C901FB">
        <w:rPr>
          <w:rFonts w:ascii="Arial" w:hAnsi="Arial" w:cs="Arial"/>
          <w:color w:val="000000"/>
          <w:sz w:val="20"/>
          <w:szCs w:val="20"/>
        </w:rPr>
        <w:t>овог</w:t>
      </w:r>
      <w:proofErr w:type="gramEnd"/>
      <w:r w:rsidRPr="00C901FB">
        <w:rPr>
          <w:rFonts w:ascii="Arial" w:hAnsi="Arial" w:cs="Arial"/>
          <w:color w:val="000000"/>
          <w:sz w:val="20"/>
          <w:szCs w:val="20"/>
        </w:rPr>
        <w:t xml:space="preserve"> прилога (</w:t>
      </w:r>
      <w:r w:rsidRPr="00C901FB">
        <w:rPr>
          <w:rFonts w:ascii="Arial" w:hAnsi="Arial" w:cs="Arial"/>
          <w:b/>
          <w:bCs/>
          <w:color w:val="000000"/>
          <w:sz w:val="20"/>
          <w:szCs w:val="20"/>
        </w:rPr>
        <w:t>x</w:t>
      </w:r>
      <w:r w:rsidRPr="00C901FB">
        <w:rPr>
          <w:rFonts w:ascii="Arial" w:hAnsi="Arial" w:cs="Arial"/>
          <w:color w:val="000000"/>
          <w:sz w:val="20"/>
          <w:szCs w:val="20"/>
          <w:vertAlign w:val="subscript"/>
        </w:rPr>
        <w:t>ij</w:t>
      </w:r>
      <w:r w:rsidRPr="00C901FB">
        <w:rPr>
          <w:rFonts w:ascii="Arial" w:hAnsi="Arial" w:cs="Arial"/>
          <w:color w:val="000000"/>
          <w:sz w:val="20"/>
          <w:szCs w:val="20"/>
        </w:rPr>
        <w:t>) обрачунава се број бинова (</w:t>
      </w:r>
      <w:r w:rsidRPr="00C901FB">
        <w:rPr>
          <w:rFonts w:ascii="Arial" w:hAnsi="Arial" w:cs="Arial"/>
          <w:b/>
          <w:bCs/>
          <w:color w:val="000000"/>
          <w:sz w:val="20"/>
          <w:szCs w:val="20"/>
        </w:rPr>
        <w:t>k</w:t>
      </w:r>
      <w:r w:rsidRPr="00C901FB">
        <w:rPr>
          <w:rFonts w:ascii="Arial" w:hAnsi="Arial" w:cs="Arial"/>
          <w:color w:val="000000"/>
          <w:sz w:val="20"/>
          <w:szCs w:val="20"/>
          <w:vertAlign w:val="subscript"/>
        </w:rPr>
        <w:t>ij</w:t>
      </w:r>
      <w:r w:rsidRPr="00C901FB">
        <w:rPr>
          <w:rFonts w:ascii="Arial" w:hAnsi="Arial" w:cs="Arial"/>
          <w:i/>
          <w:iCs/>
          <w:color w:val="000000"/>
          <w:sz w:val="20"/>
          <w:szCs w:val="20"/>
        </w:rPr>
        <w:t>)</w:t>
      </w:r>
      <w:r w:rsidRPr="00C901FB">
        <w:rPr>
          <w:rFonts w:ascii="Arial" w:hAnsi="Arial" w:cs="Arial"/>
          <w:color w:val="000000"/>
          <w:sz w:val="20"/>
          <w:szCs w:val="20"/>
        </w:rPr>
        <w:t> као најближи цео број на следећи начин:</w:t>
      </w:r>
    </w:p>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noProof/>
          <w:color w:val="000000"/>
          <w:sz w:val="20"/>
          <w:szCs w:val="20"/>
        </w:rPr>
        <w:drawing>
          <wp:inline distT="0" distB="0" distL="0" distR="0" wp14:anchorId="797FABE6" wp14:editId="31F2921D">
            <wp:extent cx="5057775" cy="685800"/>
            <wp:effectExtent l="0" t="0" r="0" b="0"/>
            <wp:docPr id="16" name="Picture 16" descr="https://slgl.pravno-informacioni-sistem.rs/api/LawAdActAttachment/slike/1038711/Fond-restrukturiranje_Pag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38711/Fond-restrukturiranje_Page_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775" cy="685800"/>
                    </a:xfrm>
                    <a:prstGeom prst="rect">
                      <a:avLst/>
                    </a:prstGeom>
                    <a:noFill/>
                    <a:ln>
                      <a:noFill/>
                    </a:ln>
                  </pic:spPr>
                </pic:pic>
              </a:graphicData>
            </a:graphic>
          </wp:inline>
        </w:drawing>
      </w:r>
    </w:p>
    <w:p w:rsidR="00C901FB" w:rsidRPr="00C901FB" w:rsidRDefault="00C901FB" w:rsidP="00C901FB">
      <w:pPr>
        <w:widowControl/>
        <w:autoSpaceDE/>
        <w:autoSpaceDN/>
        <w:spacing w:before="0" w:after="150"/>
        <w:ind w:firstLine="480"/>
        <w:rPr>
          <w:rFonts w:ascii="Arial" w:hAnsi="Arial" w:cs="Arial"/>
          <w:color w:val="000000"/>
          <w:sz w:val="20"/>
          <w:szCs w:val="20"/>
        </w:rPr>
      </w:pPr>
      <w:proofErr w:type="gramStart"/>
      <w:r w:rsidRPr="00C901FB">
        <w:rPr>
          <w:rFonts w:ascii="Arial" w:hAnsi="Arial" w:cs="Arial"/>
          <w:color w:val="000000"/>
          <w:sz w:val="20"/>
          <w:szCs w:val="20"/>
        </w:rPr>
        <w:t>где</w:t>
      </w:r>
      <w:proofErr w:type="gramEnd"/>
      <w:r w:rsidRPr="00C901FB">
        <w:rPr>
          <w:rFonts w:ascii="Arial" w:hAnsi="Arial" w:cs="Arial"/>
          <w:color w:val="000000"/>
          <w:sz w:val="20"/>
          <w:szCs w:val="20"/>
        </w:rPr>
        <w:t xml:space="preserve"> су:</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n – </w:t>
      </w:r>
      <w:proofErr w:type="gramStart"/>
      <w:r w:rsidRPr="00C901FB">
        <w:rPr>
          <w:rFonts w:ascii="Arial" w:hAnsi="Arial" w:cs="Arial"/>
          <w:color w:val="000000"/>
          <w:sz w:val="20"/>
          <w:szCs w:val="20"/>
        </w:rPr>
        <w:t>индекс</w:t>
      </w:r>
      <w:proofErr w:type="gramEnd"/>
      <w:r w:rsidRPr="00C901FB">
        <w:rPr>
          <w:rFonts w:ascii="Arial" w:hAnsi="Arial" w:cs="Arial"/>
          <w:color w:val="000000"/>
          <w:sz w:val="20"/>
          <w:szCs w:val="20"/>
        </w:rPr>
        <w:t xml:space="preserve"> појединачне банке;</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i – </w:t>
      </w:r>
      <w:proofErr w:type="gramStart"/>
      <w:r w:rsidRPr="00C901FB">
        <w:rPr>
          <w:rFonts w:ascii="Arial" w:hAnsi="Arial" w:cs="Arial"/>
          <w:color w:val="000000"/>
          <w:sz w:val="20"/>
          <w:szCs w:val="20"/>
        </w:rPr>
        <w:t>индекс</w:t>
      </w:r>
      <w:proofErr w:type="gramEnd"/>
      <w:r w:rsidRPr="00C901FB">
        <w:rPr>
          <w:rFonts w:ascii="Arial" w:hAnsi="Arial" w:cs="Arial"/>
          <w:color w:val="000000"/>
          <w:sz w:val="20"/>
          <w:szCs w:val="20"/>
        </w:rPr>
        <w:t xml:space="preserve"> индикатора ризика;</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j – </w:t>
      </w:r>
      <w:proofErr w:type="gramStart"/>
      <w:r w:rsidRPr="00C901FB">
        <w:rPr>
          <w:rFonts w:ascii="Arial" w:hAnsi="Arial" w:cs="Arial"/>
          <w:color w:val="000000"/>
          <w:sz w:val="20"/>
          <w:szCs w:val="20"/>
        </w:rPr>
        <w:t>индекс</w:t>
      </w:r>
      <w:proofErr w:type="gramEnd"/>
      <w:r w:rsidRPr="00C901FB">
        <w:rPr>
          <w:rFonts w:ascii="Arial" w:hAnsi="Arial" w:cs="Arial"/>
          <w:color w:val="000000"/>
          <w:sz w:val="20"/>
          <w:szCs w:val="20"/>
        </w:rPr>
        <w:t xml:space="preserve"> категорије ризика;</w:t>
      </w:r>
    </w:p>
    <w:p w:rsidR="00C901FB" w:rsidRPr="00C901FB" w:rsidRDefault="00C901FB" w:rsidP="00C901FB">
      <w:pPr>
        <w:widowControl/>
        <w:autoSpaceDE/>
        <w:autoSpaceDN/>
        <w:spacing w:before="0" w:after="0"/>
        <w:ind w:firstLine="480"/>
        <w:rPr>
          <w:rFonts w:ascii="Arial" w:hAnsi="Arial" w:cs="Arial"/>
          <w:color w:val="000000"/>
          <w:sz w:val="20"/>
          <w:szCs w:val="20"/>
        </w:rPr>
      </w:pPr>
      <w:r w:rsidRPr="00C901FB">
        <w:rPr>
          <w:rFonts w:ascii="Arial" w:hAnsi="Arial" w:cs="Arial"/>
          <w:b/>
          <w:bCs/>
          <w:color w:val="000000"/>
          <w:sz w:val="20"/>
          <w:szCs w:val="20"/>
        </w:rPr>
        <w:t>N</w:t>
      </w:r>
      <w:r w:rsidRPr="00C901FB">
        <w:rPr>
          <w:rFonts w:ascii="Arial" w:hAnsi="Arial" w:cs="Arial"/>
          <w:color w:val="000000"/>
          <w:sz w:val="20"/>
          <w:szCs w:val="20"/>
        </w:rPr>
        <w:t xml:space="preserve"> – </w:t>
      </w:r>
      <w:proofErr w:type="gramStart"/>
      <w:r w:rsidRPr="00C901FB">
        <w:rPr>
          <w:rFonts w:ascii="Arial" w:hAnsi="Arial" w:cs="Arial"/>
          <w:color w:val="000000"/>
          <w:sz w:val="20"/>
          <w:szCs w:val="20"/>
        </w:rPr>
        <w:t>број</w:t>
      </w:r>
      <w:proofErr w:type="gramEnd"/>
      <w:r w:rsidRPr="00C901FB">
        <w:rPr>
          <w:rFonts w:ascii="Arial" w:hAnsi="Arial" w:cs="Arial"/>
          <w:color w:val="000000"/>
          <w:sz w:val="20"/>
          <w:szCs w:val="20"/>
        </w:rPr>
        <w:t xml:space="preserve"> банака које уплаћују доприносе у Фонд, за који се обрачунавају следећи показатељи:</w:t>
      </w:r>
    </w:p>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noProof/>
          <w:color w:val="000000"/>
          <w:sz w:val="20"/>
          <w:szCs w:val="20"/>
        </w:rPr>
        <w:drawing>
          <wp:inline distT="0" distB="0" distL="0" distR="0" wp14:anchorId="41DC2A3E" wp14:editId="364D5FD8">
            <wp:extent cx="5057775" cy="1800225"/>
            <wp:effectExtent l="0" t="0" r="0" b="0"/>
            <wp:docPr id="15" name="Picture 15" descr="https://slgl.pravno-informacioni-sistem.rs/api/LawAdActAttachment/slike/1038711/Fond-restrukturiranje_Pag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lgl.pravno-informacioni-sistem.rs/api/LawAdActAttachment/slike/1038711/Fond-restrukturiranje_Page_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7775" cy="1800225"/>
                    </a:xfrm>
                    <a:prstGeom prst="rect">
                      <a:avLst/>
                    </a:prstGeom>
                    <a:noFill/>
                    <a:ln>
                      <a:noFill/>
                    </a:ln>
                  </pic:spPr>
                </pic:pic>
              </a:graphicData>
            </a:graphic>
          </wp:inline>
        </w:drawing>
      </w:r>
    </w:p>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noProof/>
          <w:color w:val="000000"/>
          <w:sz w:val="20"/>
          <w:szCs w:val="20"/>
        </w:rPr>
        <w:drawing>
          <wp:inline distT="0" distB="0" distL="0" distR="0" wp14:anchorId="5162BAB5" wp14:editId="53A19868">
            <wp:extent cx="5057775" cy="800100"/>
            <wp:effectExtent l="0" t="0" r="0" b="0"/>
            <wp:docPr id="14" name="Picture 14" descr="https://slgl.pravno-informacioni-sistem.rs/api/LawAdActAttachment/slike/1038711/Fond-restrukturiranje_Page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lgl.pravno-informacioni-sistem.rs/api/LawAdActAttachment/slike/1038711/Fond-restrukturiranje_Page_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775" cy="800100"/>
                    </a:xfrm>
                    <a:prstGeom prst="rect">
                      <a:avLst/>
                    </a:prstGeom>
                    <a:noFill/>
                    <a:ln>
                      <a:noFill/>
                    </a:ln>
                  </pic:spPr>
                </pic:pic>
              </a:graphicData>
            </a:graphic>
          </wp:inline>
        </w:drawing>
      </w:r>
    </w:p>
    <w:p w:rsidR="00C901FB" w:rsidRPr="00C901FB" w:rsidRDefault="00C901FB" w:rsidP="00C901FB">
      <w:pPr>
        <w:widowControl/>
        <w:autoSpaceDE/>
        <w:autoSpaceDN/>
        <w:spacing w:before="0" w:after="0"/>
        <w:ind w:firstLine="480"/>
        <w:rPr>
          <w:rFonts w:ascii="Arial" w:hAnsi="Arial" w:cs="Arial"/>
          <w:color w:val="000000"/>
          <w:sz w:val="20"/>
          <w:szCs w:val="20"/>
        </w:rPr>
      </w:pPr>
      <w:r w:rsidRPr="00C901FB">
        <w:rPr>
          <w:rFonts w:ascii="Arial" w:hAnsi="Arial" w:cs="Arial"/>
          <w:color w:val="000000"/>
          <w:sz w:val="20"/>
          <w:szCs w:val="20"/>
        </w:rPr>
        <w:t>3. За сваки од основних индикатора, исти број банака додељује се сваком бину, почевши од додељивања банака са најнижим вредностима датог индикатора првом бину. У случају да се број банака не може тачно поделити бројем бинова (резултат није цео број), сваком од првих r бинова, почевши од бина којем су додељене банке са најнижим вредностима датог индикатора, где r представља остатак од поделе броја банака (N) по броју бинова (</w:t>
      </w:r>
      <w:r w:rsidRPr="00C901FB">
        <w:rPr>
          <w:rFonts w:ascii="Arial" w:hAnsi="Arial" w:cs="Arial"/>
          <w:b/>
          <w:bCs/>
          <w:color w:val="000000"/>
          <w:sz w:val="20"/>
          <w:szCs w:val="20"/>
        </w:rPr>
        <w:t>k</w:t>
      </w:r>
      <w:r w:rsidRPr="00C901FB">
        <w:rPr>
          <w:rFonts w:ascii="Arial" w:hAnsi="Arial" w:cs="Arial"/>
          <w:color w:val="000000"/>
          <w:sz w:val="20"/>
          <w:szCs w:val="20"/>
          <w:vertAlign w:val="subscript"/>
        </w:rPr>
        <w:t>ij</w:t>
      </w:r>
      <w:r w:rsidRPr="00C901FB">
        <w:rPr>
          <w:rFonts w:ascii="Arial" w:hAnsi="Arial" w:cs="Arial"/>
          <w:color w:val="000000"/>
          <w:sz w:val="20"/>
          <w:szCs w:val="20"/>
        </w:rPr>
        <w:t>), додељује се једна додатна банка.</w:t>
      </w:r>
    </w:p>
    <w:p w:rsidR="00C901FB" w:rsidRPr="00C901FB" w:rsidRDefault="00C901FB" w:rsidP="00C901FB">
      <w:pPr>
        <w:widowControl/>
        <w:autoSpaceDE/>
        <w:autoSpaceDN/>
        <w:spacing w:before="0" w:after="0"/>
        <w:ind w:firstLine="480"/>
        <w:rPr>
          <w:rFonts w:ascii="Arial" w:hAnsi="Arial" w:cs="Arial"/>
          <w:color w:val="000000"/>
          <w:sz w:val="20"/>
          <w:szCs w:val="20"/>
        </w:rPr>
      </w:pPr>
      <w:r w:rsidRPr="00C901FB">
        <w:rPr>
          <w:rFonts w:ascii="Arial" w:hAnsi="Arial" w:cs="Arial"/>
          <w:color w:val="000000"/>
          <w:sz w:val="20"/>
          <w:szCs w:val="20"/>
        </w:rPr>
        <w:t>4. За сваки од индикатора, свакој банци која припада једном бину додељује се вредност која одговара редном броју тог бина, посматрано са лева на десно (од најмањег ка највећем редном броју), тако да је вредност дискретизованог индикатора дефинисана као </w:t>
      </w:r>
      <w:r w:rsidRPr="00C901FB">
        <w:rPr>
          <w:rFonts w:ascii="Arial" w:hAnsi="Arial" w:cs="Arial"/>
          <w:b/>
          <w:bCs/>
          <w:color w:val="000000"/>
          <w:sz w:val="20"/>
          <w:szCs w:val="20"/>
        </w:rPr>
        <w:t>I</w:t>
      </w:r>
      <w:r w:rsidRPr="00C901FB">
        <w:rPr>
          <w:rFonts w:ascii="Arial" w:hAnsi="Arial" w:cs="Arial"/>
          <w:color w:val="000000"/>
          <w:sz w:val="20"/>
          <w:szCs w:val="20"/>
          <w:vertAlign w:val="subscript"/>
        </w:rPr>
        <w:t>ij</w:t>
      </w:r>
      <w:proofErr w:type="gramStart"/>
      <w:r w:rsidRPr="00C901FB">
        <w:rPr>
          <w:rFonts w:ascii="Arial" w:hAnsi="Arial" w:cs="Arial"/>
          <w:color w:val="000000"/>
          <w:sz w:val="20"/>
          <w:szCs w:val="20"/>
          <w:vertAlign w:val="subscript"/>
        </w:rPr>
        <w:t>,n</w:t>
      </w:r>
      <w:proofErr w:type="gramEnd"/>
      <w:r w:rsidRPr="00C901FB">
        <w:rPr>
          <w:rFonts w:ascii="Arial" w:hAnsi="Arial" w:cs="Arial"/>
          <w:b/>
          <w:bCs/>
          <w:color w:val="000000"/>
          <w:sz w:val="20"/>
          <w:szCs w:val="20"/>
        </w:rPr>
        <w:t> = 1,…,k</w:t>
      </w:r>
      <w:r w:rsidRPr="00C901FB">
        <w:rPr>
          <w:rFonts w:ascii="Arial" w:hAnsi="Arial" w:cs="Arial"/>
          <w:color w:val="000000"/>
          <w:sz w:val="20"/>
          <w:szCs w:val="20"/>
          <w:vertAlign w:val="subscript"/>
        </w:rPr>
        <w:t>ij</w:t>
      </w:r>
      <w:r w:rsidRPr="00C901FB">
        <w:rPr>
          <w:rFonts w:ascii="Arial" w:hAnsi="Arial" w:cs="Arial"/>
          <w:color w:val="000000"/>
          <w:sz w:val="20"/>
          <w:szCs w:val="20"/>
        </w:rPr>
        <w:t>.</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5. Поступак дискретизације из тач. 2. </w:t>
      </w:r>
      <w:proofErr w:type="gramStart"/>
      <w:r w:rsidRPr="00C901FB">
        <w:rPr>
          <w:rFonts w:ascii="Arial" w:hAnsi="Arial" w:cs="Arial"/>
          <w:color w:val="000000"/>
          <w:sz w:val="20"/>
          <w:szCs w:val="20"/>
        </w:rPr>
        <w:t>до</w:t>
      </w:r>
      <w:proofErr w:type="gramEnd"/>
      <w:r w:rsidRPr="00C901FB">
        <w:rPr>
          <w:rFonts w:ascii="Arial" w:hAnsi="Arial" w:cs="Arial"/>
          <w:color w:val="000000"/>
          <w:sz w:val="20"/>
          <w:szCs w:val="20"/>
        </w:rPr>
        <w:t xml:space="preserve"> 4. </w:t>
      </w:r>
      <w:proofErr w:type="gramStart"/>
      <w:r w:rsidRPr="00C901FB">
        <w:rPr>
          <w:rFonts w:ascii="Arial" w:hAnsi="Arial" w:cs="Arial"/>
          <w:color w:val="000000"/>
          <w:sz w:val="20"/>
          <w:szCs w:val="20"/>
        </w:rPr>
        <w:t>овог</w:t>
      </w:r>
      <w:proofErr w:type="gramEnd"/>
      <w:r w:rsidRPr="00C901FB">
        <w:rPr>
          <w:rFonts w:ascii="Arial" w:hAnsi="Arial" w:cs="Arial"/>
          <w:color w:val="000000"/>
          <w:sz w:val="20"/>
          <w:szCs w:val="20"/>
        </w:rPr>
        <w:t xml:space="preserve"> прилога, примењује се на додатне индикаторе ризика које одређује Народна банка Србије, само ако утврди да су ови индикатори континуиране променљиве.</w:t>
      </w:r>
    </w:p>
    <w:p w:rsidR="00C901FB" w:rsidRPr="00C901FB" w:rsidRDefault="00C901FB" w:rsidP="00C901FB">
      <w:pPr>
        <w:widowControl/>
        <w:autoSpaceDE/>
        <w:autoSpaceDN/>
        <w:spacing w:before="0" w:after="150"/>
        <w:ind w:firstLine="480"/>
        <w:rPr>
          <w:rFonts w:ascii="Arial" w:hAnsi="Arial" w:cs="Arial"/>
          <w:color w:val="000000"/>
          <w:sz w:val="20"/>
          <w:szCs w:val="20"/>
        </w:rPr>
      </w:pPr>
      <w:proofErr w:type="gramStart"/>
      <w:r w:rsidRPr="00C901FB">
        <w:rPr>
          <w:rFonts w:ascii="Arial" w:hAnsi="Arial" w:cs="Arial"/>
          <w:color w:val="000000"/>
          <w:sz w:val="20"/>
          <w:szCs w:val="20"/>
        </w:rPr>
        <w:t>Индикатор обим претходног коришћења ванредне финансијске подршке не сматра се континуираном променљивом.</w:t>
      </w:r>
      <w:proofErr w:type="gramEnd"/>
    </w:p>
    <w:p w:rsidR="00C901FB" w:rsidRPr="00C901FB" w:rsidRDefault="00C901FB" w:rsidP="00C901FB">
      <w:pPr>
        <w:widowControl/>
        <w:autoSpaceDE/>
        <w:autoSpaceDN/>
        <w:spacing w:before="0" w:after="0"/>
        <w:ind w:firstLine="480"/>
        <w:jc w:val="center"/>
        <w:rPr>
          <w:rFonts w:ascii="Arial" w:hAnsi="Arial" w:cs="Arial"/>
          <w:b/>
          <w:bCs/>
          <w:color w:val="000000"/>
          <w:sz w:val="20"/>
          <w:szCs w:val="20"/>
        </w:rPr>
      </w:pPr>
      <w:r w:rsidRPr="00C901FB">
        <w:rPr>
          <w:rFonts w:ascii="Arial" w:hAnsi="Arial" w:cs="Arial"/>
          <w:b/>
          <w:bCs/>
          <w:color w:val="000000"/>
          <w:sz w:val="20"/>
          <w:szCs w:val="20"/>
        </w:rPr>
        <w:t>3. Рескалирање индикатора</w:t>
      </w:r>
    </w:p>
    <w:p w:rsidR="00C901FB" w:rsidRPr="00C901FB" w:rsidRDefault="00C901FB" w:rsidP="00C901FB">
      <w:pPr>
        <w:widowControl/>
        <w:autoSpaceDE/>
        <w:autoSpaceDN/>
        <w:spacing w:before="0" w:after="0"/>
        <w:ind w:firstLine="480"/>
        <w:rPr>
          <w:rFonts w:ascii="Arial" w:hAnsi="Arial" w:cs="Arial"/>
          <w:color w:val="000000"/>
          <w:sz w:val="20"/>
          <w:szCs w:val="20"/>
        </w:rPr>
      </w:pPr>
      <w:r w:rsidRPr="00C901FB">
        <w:rPr>
          <w:rFonts w:ascii="Arial" w:hAnsi="Arial" w:cs="Arial"/>
          <w:color w:val="000000"/>
          <w:sz w:val="20"/>
          <w:szCs w:val="20"/>
        </w:rPr>
        <w:t>6. Сваки од дискретизованих индикатора (I</w:t>
      </w:r>
      <w:r w:rsidRPr="00C901FB">
        <w:rPr>
          <w:rFonts w:ascii="Arial" w:hAnsi="Arial" w:cs="Arial"/>
          <w:color w:val="000000"/>
          <w:sz w:val="20"/>
          <w:szCs w:val="20"/>
          <w:vertAlign w:val="subscript"/>
        </w:rPr>
        <w:t>ij</w:t>
      </w:r>
      <w:r w:rsidRPr="00C901FB">
        <w:rPr>
          <w:rFonts w:ascii="Arial" w:hAnsi="Arial" w:cs="Arial"/>
          <w:color w:val="000000"/>
          <w:sz w:val="20"/>
          <w:szCs w:val="20"/>
        </w:rPr>
        <w:t xml:space="preserve">) израчунат у складу са делом 2. </w:t>
      </w:r>
      <w:proofErr w:type="gramStart"/>
      <w:r w:rsidRPr="00C901FB">
        <w:rPr>
          <w:rFonts w:ascii="Arial" w:hAnsi="Arial" w:cs="Arial"/>
          <w:color w:val="000000"/>
          <w:sz w:val="20"/>
          <w:szCs w:val="20"/>
        </w:rPr>
        <w:t>овог</w:t>
      </w:r>
      <w:proofErr w:type="gramEnd"/>
      <w:r w:rsidRPr="00C901FB">
        <w:rPr>
          <w:rFonts w:ascii="Arial" w:hAnsi="Arial" w:cs="Arial"/>
          <w:color w:val="000000"/>
          <w:sz w:val="20"/>
          <w:szCs w:val="20"/>
        </w:rPr>
        <w:t xml:space="preserve"> прилога, рескалира се унутар распона 1 – 1000, применом следеће формуле:</w:t>
      </w:r>
    </w:p>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noProof/>
          <w:color w:val="000000"/>
          <w:sz w:val="20"/>
          <w:szCs w:val="20"/>
        </w:rPr>
        <w:drawing>
          <wp:inline distT="0" distB="0" distL="0" distR="0" wp14:anchorId="7960A1C6" wp14:editId="0B2B1A86">
            <wp:extent cx="5057775" cy="752475"/>
            <wp:effectExtent l="0" t="0" r="0" b="9525"/>
            <wp:docPr id="13" name="Picture 13" descr="https://slgl.pravno-informacioni-sistem.rs/api/LawAdActAttachment/slike/1038711/Fond-restrukturiranje_Page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lgl.pravno-informacioni-sistem.rs/api/LawAdActAttachment/slike/1038711/Fond-restrukturiranje_Page_0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7775" cy="752475"/>
                    </a:xfrm>
                    <a:prstGeom prst="rect">
                      <a:avLst/>
                    </a:prstGeom>
                    <a:noFill/>
                    <a:ln>
                      <a:noFill/>
                    </a:ln>
                  </pic:spPr>
                </pic:pic>
              </a:graphicData>
            </a:graphic>
          </wp:inline>
        </w:drawing>
      </w:r>
    </w:p>
    <w:p w:rsidR="00C901FB" w:rsidRPr="00C901FB" w:rsidRDefault="00C901FB" w:rsidP="00C901FB">
      <w:pPr>
        <w:widowControl/>
        <w:autoSpaceDE/>
        <w:autoSpaceDN/>
        <w:spacing w:before="0" w:after="150"/>
        <w:ind w:firstLine="480"/>
        <w:rPr>
          <w:rFonts w:ascii="Arial" w:hAnsi="Arial" w:cs="Arial"/>
          <w:color w:val="000000"/>
          <w:sz w:val="20"/>
          <w:szCs w:val="20"/>
        </w:rPr>
      </w:pPr>
      <w:proofErr w:type="gramStart"/>
      <w:r w:rsidRPr="00C901FB">
        <w:rPr>
          <w:rFonts w:ascii="Arial" w:hAnsi="Arial" w:cs="Arial"/>
          <w:color w:val="000000"/>
          <w:sz w:val="20"/>
          <w:szCs w:val="20"/>
        </w:rPr>
        <w:lastRenderedPageBreak/>
        <w:t>где</w:t>
      </w:r>
      <w:proofErr w:type="gramEnd"/>
      <w:r w:rsidRPr="00C901FB">
        <w:rPr>
          <w:rFonts w:ascii="Arial" w:hAnsi="Arial" w:cs="Arial"/>
          <w:color w:val="000000"/>
          <w:sz w:val="20"/>
          <w:szCs w:val="20"/>
        </w:rPr>
        <w:t xml:space="preserve"> су аргументи минималне и максималне функције вредности свих банака које уплаћују доприносе у Фонд за које се обрачунава индикатор.</w:t>
      </w:r>
    </w:p>
    <w:p w:rsidR="00C901FB" w:rsidRPr="00C901FB" w:rsidRDefault="00C901FB" w:rsidP="00C901FB">
      <w:pPr>
        <w:widowControl/>
        <w:autoSpaceDE/>
        <w:autoSpaceDN/>
        <w:spacing w:before="0" w:after="0"/>
        <w:ind w:firstLine="480"/>
        <w:jc w:val="center"/>
        <w:rPr>
          <w:rFonts w:ascii="Arial" w:hAnsi="Arial" w:cs="Arial"/>
          <w:b/>
          <w:bCs/>
          <w:color w:val="000000"/>
          <w:sz w:val="20"/>
          <w:szCs w:val="20"/>
        </w:rPr>
      </w:pPr>
      <w:r w:rsidRPr="00C901FB">
        <w:rPr>
          <w:rFonts w:ascii="Arial" w:hAnsi="Arial" w:cs="Arial"/>
          <w:b/>
          <w:bCs/>
          <w:color w:val="000000"/>
          <w:sz w:val="20"/>
          <w:szCs w:val="20"/>
        </w:rPr>
        <w:t>4. Укључивање одговарајућег предзнака</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7. За потребе трансформације, на појединачне индикаторе ризика примењују се следећи предзнаци: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32"/>
        <w:gridCol w:w="5115"/>
        <w:gridCol w:w="996"/>
      </w:tblGrid>
      <w:tr w:rsidR="00C901FB" w:rsidRPr="00C901FB" w:rsidTr="00A20094">
        <w:tc>
          <w:tcPr>
            <w:tcW w:w="21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Категорија ризика</w:t>
            </w:r>
          </w:p>
        </w:tc>
        <w:tc>
          <w:tcPr>
            <w:tcW w:w="2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Индикатор ризика</w:t>
            </w:r>
          </w:p>
        </w:tc>
        <w:tc>
          <w:tcPr>
            <w:tcW w:w="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Предзнак</w:t>
            </w:r>
          </w:p>
        </w:tc>
      </w:tr>
      <w:tr w:rsidR="00C901FB" w:rsidRPr="00C901FB" w:rsidTr="00A20094">
        <w:tc>
          <w:tcPr>
            <w:tcW w:w="212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Изложеност ризику</w:t>
            </w:r>
          </w:p>
        </w:tc>
        <w:tc>
          <w:tcPr>
            <w:tcW w:w="2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вишак средстава изнад МКО</w:t>
            </w:r>
          </w:p>
        </w:tc>
        <w:tc>
          <w:tcPr>
            <w:tcW w:w="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w:t>
            </w:r>
          </w:p>
        </w:tc>
      </w:tr>
      <w:tr w:rsidR="00C901FB" w:rsidRPr="00C901FB" w:rsidTr="00A20094">
        <w:tc>
          <w:tcPr>
            <w:tcW w:w="212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2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левериџ</w:t>
            </w:r>
          </w:p>
        </w:tc>
        <w:tc>
          <w:tcPr>
            <w:tcW w:w="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w:t>
            </w:r>
          </w:p>
        </w:tc>
      </w:tr>
      <w:tr w:rsidR="00C901FB" w:rsidRPr="00C901FB" w:rsidTr="00A20094">
        <w:tc>
          <w:tcPr>
            <w:tcW w:w="212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2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СЕТ1 показатељ</w:t>
            </w:r>
          </w:p>
        </w:tc>
        <w:tc>
          <w:tcPr>
            <w:tcW w:w="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w:t>
            </w:r>
          </w:p>
        </w:tc>
      </w:tr>
      <w:tr w:rsidR="00C901FB" w:rsidRPr="00C901FB" w:rsidTr="00A20094">
        <w:tc>
          <w:tcPr>
            <w:tcW w:w="212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2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TRE / укупна актива</w:t>
            </w:r>
          </w:p>
        </w:tc>
        <w:tc>
          <w:tcPr>
            <w:tcW w:w="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w:t>
            </w:r>
          </w:p>
        </w:tc>
      </w:tr>
      <w:tr w:rsidR="00C901FB" w:rsidRPr="00C901FB" w:rsidTr="00A20094">
        <w:tc>
          <w:tcPr>
            <w:tcW w:w="212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Стабилност извора финансирања</w:t>
            </w:r>
          </w:p>
        </w:tc>
        <w:tc>
          <w:tcPr>
            <w:tcW w:w="2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NSFR</w:t>
            </w:r>
          </w:p>
        </w:tc>
        <w:tc>
          <w:tcPr>
            <w:tcW w:w="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w:t>
            </w:r>
          </w:p>
        </w:tc>
      </w:tr>
      <w:tr w:rsidR="00C901FB" w:rsidRPr="00C901FB" w:rsidTr="00A20094">
        <w:tc>
          <w:tcPr>
            <w:tcW w:w="212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2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LCR</w:t>
            </w:r>
          </w:p>
        </w:tc>
        <w:tc>
          <w:tcPr>
            <w:tcW w:w="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w:t>
            </w:r>
          </w:p>
        </w:tc>
      </w:tr>
      <w:tr w:rsidR="00C901FB" w:rsidRPr="00C901FB" w:rsidTr="00A20094">
        <w:tc>
          <w:tcPr>
            <w:tcW w:w="21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Значај банке за стабилност финансијског система</w:t>
            </w:r>
          </w:p>
        </w:tc>
        <w:tc>
          <w:tcPr>
            <w:tcW w:w="2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учешће банке у међубанкарским кредитима и депозитима</w:t>
            </w:r>
          </w:p>
        </w:tc>
        <w:tc>
          <w:tcPr>
            <w:tcW w:w="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w:t>
            </w:r>
          </w:p>
        </w:tc>
      </w:tr>
      <w:tr w:rsidR="00C901FB" w:rsidRPr="00C901FB" w:rsidTr="00A20094">
        <w:tc>
          <w:tcPr>
            <w:tcW w:w="212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Додатни индикатори ризика</w:t>
            </w:r>
          </w:p>
        </w:tc>
        <w:tc>
          <w:tcPr>
            <w:tcW w:w="2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учешће портфолија трговања у укупној активи</w:t>
            </w:r>
          </w:p>
        </w:tc>
        <w:tc>
          <w:tcPr>
            <w:tcW w:w="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w:t>
            </w:r>
          </w:p>
        </w:tc>
      </w:tr>
      <w:tr w:rsidR="00C901FB" w:rsidRPr="00C901FB" w:rsidTr="00A20094">
        <w:tc>
          <w:tcPr>
            <w:tcW w:w="212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2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учешће ванбилансних изложености у укупној активи</w:t>
            </w:r>
          </w:p>
        </w:tc>
        <w:tc>
          <w:tcPr>
            <w:tcW w:w="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w:t>
            </w:r>
          </w:p>
        </w:tc>
      </w:tr>
      <w:tr w:rsidR="00C901FB" w:rsidRPr="00C901FB" w:rsidTr="00A20094">
        <w:tc>
          <w:tcPr>
            <w:tcW w:w="212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2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учешће послова са дериватима у укупној активи</w:t>
            </w:r>
          </w:p>
        </w:tc>
        <w:tc>
          <w:tcPr>
            <w:tcW w:w="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w:t>
            </w:r>
          </w:p>
        </w:tc>
      </w:tr>
      <w:tr w:rsidR="00C901FB" w:rsidRPr="00C901FB" w:rsidTr="00A20094">
        <w:tc>
          <w:tcPr>
            <w:tcW w:w="212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2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учешће бруто NPL у укупним кредитима</w:t>
            </w:r>
          </w:p>
        </w:tc>
        <w:tc>
          <w:tcPr>
            <w:tcW w:w="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w:t>
            </w:r>
          </w:p>
        </w:tc>
      </w:tr>
      <w:tr w:rsidR="00C901FB" w:rsidRPr="00C901FB" w:rsidTr="00A20094">
        <w:tc>
          <w:tcPr>
            <w:tcW w:w="212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2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учешће нето NPL у основном капиталу</w:t>
            </w:r>
          </w:p>
        </w:tc>
        <w:tc>
          <w:tcPr>
            <w:tcW w:w="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w:t>
            </w:r>
          </w:p>
        </w:tc>
      </w:tr>
      <w:tr w:rsidR="00C901FB" w:rsidRPr="00C901FB" w:rsidTr="00A20094">
        <w:tc>
          <w:tcPr>
            <w:tcW w:w="212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c>
          <w:tcPr>
            <w:tcW w:w="2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ROA (након пореза)</w:t>
            </w:r>
          </w:p>
        </w:tc>
        <w:tc>
          <w:tcPr>
            <w:tcW w:w="4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w:t>
            </w:r>
          </w:p>
        </w:tc>
      </w:tr>
    </w:tbl>
    <w:p w:rsidR="00C901FB" w:rsidRPr="00C901FB" w:rsidRDefault="00C901FB" w:rsidP="00C901FB">
      <w:pPr>
        <w:widowControl/>
        <w:autoSpaceDE/>
        <w:autoSpaceDN/>
        <w:spacing w:before="0" w:after="150"/>
        <w:ind w:firstLine="480"/>
        <w:rPr>
          <w:rFonts w:ascii="Arial" w:hAnsi="Arial" w:cs="Arial"/>
          <w:color w:val="000000"/>
          <w:sz w:val="20"/>
          <w:szCs w:val="20"/>
        </w:rPr>
      </w:pPr>
      <w:proofErr w:type="gramStart"/>
      <w:r w:rsidRPr="00C901FB">
        <w:rPr>
          <w:rFonts w:ascii="Arial" w:hAnsi="Arial" w:cs="Arial"/>
          <w:color w:val="000000"/>
          <w:sz w:val="20"/>
          <w:szCs w:val="20"/>
        </w:rPr>
        <w:t>У случају индикатора са позитивним предзнаком, више вредности тог индикатора одговарају већем степену ризичности банке.</w:t>
      </w:r>
      <w:proofErr w:type="gramEnd"/>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У случају индикатора са негативним предзнаком, више вредности индикатора одговарају мањем степену ризичности банке.</w:t>
      </w:r>
      <w:proofErr w:type="gramEnd"/>
    </w:p>
    <w:p w:rsidR="00C901FB" w:rsidRPr="00C901FB" w:rsidRDefault="00C901FB" w:rsidP="00C901FB">
      <w:pPr>
        <w:widowControl/>
        <w:autoSpaceDE/>
        <w:autoSpaceDN/>
        <w:spacing w:before="0" w:after="0"/>
        <w:ind w:firstLine="480"/>
        <w:rPr>
          <w:rFonts w:ascii="Arial" w:hAnsi="Arial" w:cs="Arial"/>
          <w:color w:val="000000"/>
          <w:sz w:val="20"/>
          <w:szCs w:val="20"/>
        </w:rPr>
      </w:pPr>
      <w:proofErr w:type="gramStart"/>
      <w:r w:rsidRPr="00C901FB">
        <w:rPr>
          <w:rFonts w:ascii="Arial" w:hAnsi="Arial" w:cs="Arial"/>
          <w:color w:val="000000"/>
          <w:sz w:val="20"/>
          <w:szCs w:val="20"/>
        </w:rPr>
        <w:t>На сваки од индикатора ризика израчунат у складу са делом 3.</w:t>
      </w:r>
      <w:proofErr w:type="gramEnd"/>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овог</w:t>
      </w:r>
      <w:proofErr w:type="gramEnd"/>
      <w:r w:rsidRPr="00C901FB">
        <w:rPr>
          <w:rFonts w:ascii="Arial" w:hAnsi="Arial" w:cs="Arial"/>
          <w:color w:val="000000"/>
          <w:sz w:val="20"/>
          <w:szCs w:val="20"/>
        </w:rPr>
        <w:t xml:space="preserve"> прилога (RI</w:t>
      </w:r>
      <w:r w:rsidRPr="00C901FB">
        <w:rPr>
          <w:rFonts w:ascii="Arial" w:hAnsi="Arial" w:cs="Arial"/>
          <w:color w:val="000000"/>
          <w:sz w:val="20"/>
          <w:szCs w:val="20"/>
          <w:vertAlign w:val="subscript"/>
        </w:rPr>
        <w:t>ij,n</w:t>
      </w:r>
      <w:r w:rsidRPr="00C901FB">
        <w:rPr>
          <w:rFonts w:ascii="Arial" w:hAnsi="Arial" w:cs="Arial"/>
          <w:color w:val="000000"/>
          <w:sz w:val="20"/>
          <w:szCs w:val="20"/>
        </w:rPr>
        <w:t>), примењује се следећа трансформација:</w:t>
      </w:r>
    </w:p>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noProof/>
          <w:color w:val="000000"/>
          <w:sz w:val="20"/>
          <w:szCs w:val="20"/>
        </w:rPr>
        <w:drawing>
          <wp:inline distT="0" distB="0" distL="0" distR="0" wp14:anchorId="0FA5483F" wp14:editId="52D149E4">
            <wp:extent cx="5057775" cy="581025"/>
            <wp:effectExtent l="0" t="0" r="9525" b="9525"/>
            <wp:docPr id="12" name="Picture 12" descr="https://slgl.pravno-informacioni-sistem.rs/api/LawAdActAttachment/slike/1038711/Fond-restrukturiranje_Page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lgl.pravno-informacioni-sistem.rs/api/LawAdActAttachment/slike/1038711/Fond-restrukturiranje_Page_0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7775" cy="581025"/>
                    </a:xfrm>
                    <a:prstGeom prst="rect">
                      <a:avLst/>
                    </a:prstGeom>
                    <a:noFill/>
                    <a:ln>
                      <a:noFill/>
                    </a:ln>
                  </pic:spPr>
                </pic:pic>
              </a:graphicData>
            </a:graphic>
          </wp:inline>
        </w:drawing>
      </w:r>
    </w:p>
    <w:p w:rsidR="00C901FB" w:rsidRPr="00C901FB" w:rsidRDefault="00C901FB" w:rsidP="00C901FB">
      <w:pPr>
        <w:widowControl/>
        <w:autoSpaceDE/>
        <w:autoSpaceDN/>
        <w:spacing w:before="0" w:after="0"/>
        <w:ind w:firstLine="480"/>
        <w:jc w:val="center"/>
        <w:rPr>
          <w:rFonts w:ascii="Arial" w:hAnsi="Arial" w:cs="Arial"/>
          <w:b/>
          <w:bCs/>
          <w:color w:val="000000"/>
          <w:sz w:val="20"/>
          <w:szCs w:val="20"/>
        </w:rPr>
      </w:pPr>
      <w:r w:rsidRPr="00C901FB">
        <w:rPr>
          <w:rFonts w:ascii="Arial" w:hAnsi="Arial" w:cs="Arial"/>
          <w:b/>
          <w:bCs/>
          <w:color w:val="000000"/>
          <w:sz w:val="20"/>
          <w:szCs w:val="20"/>
        </w:rPr>
        <w:t>5. Обрачун композитног индикатора</w:t>
      </w:r>
    </w:p>
    <w:p w:rsidR="00C901FB" w:rsidRPr="00C901FB" w:rsidRDefault="00C901FB" w:rsidP="00C901FB">
      <w:pPr>
        <w:widowControl/>
        <w:autoSpaceDE/>
        <w:autoSpaceDN/>
        <w:spacing w:before="0" w:after="0"/>
        <w:ind w:firstLine="480"/>
        <w:rPr>
          <w:rFonts w:ascii="Arial" w:hAnsi="Arial" w:cs="Arial"/>
          <w:color w:val="000000"/>
          <w:sz w:val="20"/>
          <w:szCs w:val="20"/>
        </w:rPr>
      </w:pPr>
      <w:r w:rsidRPr="00C901FB">
        <w:rPr>
          <w:rFonts w:ascii="Arial" w:hAnsi="Arial" w:cs="Arial"/>
          <w:color w:val="000000"/>
          <w:sz w:val="20"/>
          <w:szCs w:val="20"/>
        </w:rPr>
        <w:t>8. Индикатори ризика (i)</w:t>
      </w:r>
      <w:r w:rsidRPr="00C901FB">
        <w:rPr>
          <w:rFonts w:ascii="Arial" w:hAnsi="Arial" w:cs="Arial"/>
          <w:i/>
          <w:iCs/>
          <w:color w:val="000000"/>
          <w:sz w:val="20"/>
          <w:szCs w:val="20"/>
        </w:rPr>
        <w:t> </w:t>
      </w:r>
      <w:r w:rsidRPr="00C901FB">
        <w:rPr>
          <w:rFonts w:ascii="Arial" w:hAnsi="Arial" w:cs="Arial"/>
          <w:color w:val="000000"/>
          <w:sz w:val="20"/>
          <w:szCs w:val="20"/>
        </w:rPr>
        <w:t>унутар сваке категорије ризика (j) агрегирају се путем пондерисаног аритметичког просека, применом следеће формуле:</w:t>
      </w:r>
    </w:p>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noProof/>
          <w:color w:val="000000"/>
          <w:sz w:val="20"/>
          <w:szCs w:val="20"/>
        </w:rPr>
        <w:drawing>
          <wp:inline distT="0" distB="0" distL="0" distR="0" wp14:anchorId="420C81BA" wp14:editId="74D98480">
            <wp:extent cx="5057775" cy="885825"/>
            <wp:effectExtent l="0" t="0" r="9525" b="0"/>
            <wp:docPr id="11" name="Picture 11" descr="https://slgl.pravno-informacioni-sistem.rs/api/LawAdActAttachment/slike/1038711/Fond-restrukturiranje_Page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lgl.pravno-informacioni-sistem.rs/api/LawAdActAttachment/slike/1038711/Fond-restrukturiranje_Page_0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7775" cy="885825"/>
                    </a:xfrm>
                    <a:prstGeom prst="rect">
                      <a:avLst/>
                    </a:prstGeom>
                    <a:noFill/>
                    <a:ln>
                      <a:noFill/>
                    </a:ln>
                  </pic:spPr>
                </pic:pic>
              </a:graphicData>
            </a:graphic>
          </wp:inline>
        </w:drawing>
      </w:r>
    </w:p>
    <w:p w:rsidR="00C901FB" w:rsidRPr="00C901FB" w:rsidRDefault="00C901FB" w:rsidP="00C901FB">
      <w:pPr>
        <w:widowControl/>
        <w:autoSpaceDE/>
        <w:autoSpaceDN/>
        <w:spacing w:before="0" w:after="150"/>
        <w:ind w:firstLine="480"/>
        <w:rPr>
          <w:rFonts w:ascii="Arial" w:hAnsi="Arial" w:cs="Arial"/>
          <w:color w:val="000000"/>
          <w:sz w:val="20"/>
          <w:szCs w:val="20"/>
        </w:rPr>
      </w:pPr>
      <w:proofErr w:type="gramStart"/>
      <w:r w:rsidRPr="00C901FB">
        <w:rPr>
          <w:rFonts w:ascii="Arial" w:hAnsi="Arial" w:cs="Arial"/>
          <w:color w:val="000000"/>
          <w:sz w:val="20"/>
          <w:szCs w:val="20"/>
        </w:rPr>
        <w:t>где</w:t>
      </w:r>
      <w:proofErr w:type="gramEnd"/>
      <w:r w:rsidRPr="00C901FB">
        <w:rPr>
          <w:rFonts w:ascii="Arial" w:hAnsi="Arial" w:cs="Arial"/>
          <w:color w:val="000000"/>
          <w:sz w:val="20"/>
          <w:szCs w:val="20"/>
        </w:rPr>
        <w:t xml:space="preserve"> су:</w:t>
      </w:r>
    </w:p>
    <w:p w:rsidR="00C901FB" w:rsidRPr="00C901FB" w:rsidRDefault="00C901FB" w:rsidP="00C901FB">
      <w:pPr>
        <w:widowControl/>
        <w:autoSpaceDE/>
        <w:autoSpaceDN/>
        <w:spacing w:before="0" w:after="0"/>
        <w:ind w:firstLine="480"/>
        <w:rPr>
          <w:rFonts w:ascii="Arial" w:hAnsi="Arial" w:cs="Arial"/>
          <w:color w:val="000000"/>
          <w:sz w:val="20"/>
          <w:szCs w:val="20"/>
        </w:rPr>
      </w:pPr>
      <w:proofErr w:type="gramStart"/>
      <w:r w:rsidRPr="00C901FB">
        <w:rPr>
          <w:rFonts w:ascii="Arial" w:hAnsi="Arial" w:cs="Arial"/>
          <w:color w:val="000000"/>
          <w:sz w:val="20"/>
          <w:szCs w:val="20"/>
        </w:rPr>
        <w:t>w</w:t>
      </w:r>
      <w:r w:rsidRPr="00C901FB">
        <w:rPr>
          <w:rFonts w:ascii="Arial" w:hAnsi="Arial" w:cs="Arial"/>
          <w:color w:val="000000"/>
          <w:sz w:val="20"/>
          <w:szCs w:val="20"/>
          <w:vertAlign w:val="subscript"/>
        </w:rPr>
        <w:t>ij</w:t>
      </w:r>
      <w:proofErr w:type="gramEnd"/>
      <w:r w:rsidRPr="00C901FB">
        <w:rPr>
          <w:rFonts w:ascii="Arial" w:hAnsi="Arial" w:cs="Arial"/>
          <w:color w:val="000000"/>
          <w:sz w:val="20"/>
          <w:szCs w:val="20"/>
        </w:rPr>
        <w:t> – пондер значајности индикатора </w:t>
      </w:r>
      <w:r w:rsidRPr="00C901FB">
        <w:rPr>
          <w:rFonts w:ascii="Arial" w:hAnsi="Arial" w:cs="Arial"/>
          <w:i/>
          <w:iCs/>
          <w:color w:val="000000"/>
          <w:sz w:val="20"/>
          <w:szCs w:val="20"/>
        </w:rPr>
        <w:t>i</w:t>
      </w:r>
      <w:r w:rsidRPr="00C901FB">
        <w:rPr>
          <w:rFonts w:ascii="Arial" w:hAnsi="Arial" w:cs="Arial"/>
          <w:color w:val="000000"/>
          <w:sz w:val="20"/>
          <w:szCs w:val="20"/>
        </w:rPr>
        <w:t> у категорији ризика </w:t>
      </w:r>
      <w:r w:rsidRPr="00C901FB">
        <w:rPr>
          <w:rFonts w:ascii="Arial" w:hAnsi="Arial" w:cs="Arial"/>
          <w:i/>
          <w:iCs/>
          <w:color w:val="000000"/>
          <w:sz w:val="20"/>
          <w:szCs w:val="20"/>
        </w:rPr>
        <w:t>j</w:t>
      </w:r>
      <w:r w:rsidRPr="00C901FB">
        <w:rPr>
          <w:rFonts w:ascii="Arial" w:hAnsi="Arial" w:cs="Arial"/>
          <w:color w:val="000000"/>
          <w:sz w:val="20"/>
          <w:szCs w:val="20"/>
        </w:rPr>
        <w:t xml:space="preserve">, дефинисан тач. 20. </w:t>
      </w:r>
      <w:proofErr w:type="gramStart"/>
      <w:r w:rsidRPr="00C901FB">
        <w:rPr>
          <w:rFonts w:ascii="Arial" w:hAnsi="Arial" w:cs="Arial"/>
          <w:color w:val="000000"/>
          <w:sz w:val="20"/>
          <w:szCs w:val="20"/>
        </w:rPr>
        <w:t>до</w:t>
      </w:r>
      <w:proofErr w:type="gramEnd"/>
      <w:r w:rsidRPr="00C901FB">
        <w:rPr>
          <w:rFonts w:ascii="Arial" w:hAnsi="Arial" w:cs="Arial"/>
          <w:color w:val="000000"/>
          <w:sz w:val="20"/>
          <w:szCs w:val="20"/>
        </w:rPr>
        <w:t xml:space="preserve"> 23. </w:t>
      </w:r>
      <w:proofErr w:type="gramStart"/>
      <w:r w:rsidRPr="00C901FB">
        <w:rPr>
          <w:rFonts w:ascii="Arial" w:hAnsi="Arial" w:cs="Arial"/>
          <w:color w:val="000000"/>
          <w:sz w:val="20"/>
          <w:szCs w:val="20"/>
        </w:rPr>
        <w:t>ове</w:t>
      </w:r>
      <w:proofErr w:type="gramEnd"/>
      <w:r w:rsidRPr="00C901FB">
        <w:rPr>
          <w:rFonts w:ascii="Arial" w:hAnsi="Arial" w:cs="Arial"/>
          <w:color w:val="000000"/>
          <w:sz w:val="20"/>
          <w:szCs w:val="20"/>
        </w:rPr>
        <w:t xml:space="preserve"> одлуке;</w:t>
      </w:r>
    </w:p>
    <w:p w:rsidR="00C901FB" w:rsidRPr="00C901FB" w:rsidRDefault="00C901FB" w:rsidP="00C901FB">
      <w:pPr>
        <w:widowControl/>
        <w:autoSpaceDE/>
        <w:autoSpaceDN/>
        <w:spacing w:before="0" w:after="0"/>
        <w:ind w:firstLine="480"/>
        <w:rPr>
          <w:rFonts w:ascii="Arial" w:hAnsi="Arial" w:cs="Arial"/>
          <w:color w:val="000000"/>
          <w:sz w:val="20"/>
          <w:szCs w:val="20"/>
        </w:rPr>
      </w:pPr>
      <w:proofErr w:type="gramStart"/>
      <w:r w:rsidRPr="00C901FB">
        <w:rPr>
          <w:rFonts w:ascii="Arial" w:hAnsi="Arial" w:cs="Arial"/>
          <w:color w:val="000000"/>
          <w:sz w:val="20"/>
          <w:szCs w:val="20"/>
        </w:rPr>
        <w:t>N</w:t>
      </w:r>
      <w:r w:rsidRPr="00C901FB">
        <w:rPr>
          <w:rFonts w:ascii="Arial" w:hAnsi="Arial" w:cs="Arial"/>
          <w:color w:val="000000"/>
          <w:sz w:val="20"/>
          <w:szCs w:val="20"/>
          <w:vertAlign w:val="subscript"/>
        </w:rPr>
        <w:t>j</w:t>
      </w:r>
      <w:proofErr w:type="gramEnd"/>
      <w:r w:rsidRPr="00C901FB">
        <w:rPr>
          <w:rFonts w:ascii="Arial" w:hAnsi="Arial" w:cs="Arial"/>
          <w:color w:val="000000"/>
          <w:sz w:val="20"/>
          <w:szCs w:val="20"/>
        </w:rPr>
        <w:t> – број индикатора унутар категорије </w:t>
      </w:r>
      <w:r w:rsidRPr="00C901FB">
        <w:rPr>
          <w:rFonts w:ascii="Arial" w:hAnsi="Arial" w:cs="Arial"/>
          <w:i/>
          <w:iCs/>
          <w:color w:val="000000"/>
          <w:sz w:val="20"/>
          <w:szCs w:val="20"/>
        </w:rPr>
        <w:t>j</w:t>
      </w:r>
      <w:r w:rsidRPr="00C901FB">
        <w:rPr>
          <w:rFonts w:ascii="Arial" w:hAnsi="Arial" w:cs="Arial"/>
          <w:color w:val="000000"/>
          <w:sz w:val="20"/>
          <w:szCs w:val="20"/>
        </w:rPr>
        <w:t>.</w:t>
      </w:r>
    </w:p>
    <w:p w:rsidR="00C901FB" w:rsidRPr="00C901FB" w:rsidRDefault="00C901FB" w:rsidP="00C901FB">
      <w:pPr>
        <w:widowControl/>
        <w:autoSpaceDE/>
        <w:autoSpaceDN/>
        <w:spacing w:before="0" w:after="0"/>
        <w:ind w:firstLine="480"/>
        <w:rPr>
          <w:rFonts w:ascii="Arial" w:hAnsi="Arial" w:cs="Arial"/>
          <w:color w:val="000000"/>
          <w:sz w:val="20"/>
          <w:szCs w:val="20"/>
        </w:rPr>
      </w:pPr>
      <w:r w:rsidRPr="00C901FB">
        <w:rPr>
          <w:rFonts w:ascii="Arial" w:hAnsi="Arial" w:cs="Arial"/>
          <w:color w:val="000000"/>
          <w:sz w:val="20"/>
          <w:szCs w:val="20"/>
        </w:rPr>
        <w:t>9. За потребе обрачуна композитног индикатора, категорије ризика </w:t>
      </w:r>
      <w:r w:rsidRPr="00C901FB">
        <w:rPr>
          <w:rFonts w:ascii="Arial" w:hAnsi="Arial" w:cs="Arial"/>
          <w:i/>
          <w:iCs/>
          <w:color w:val="000000"/>
          <w:sz w:val="20"/>
          <w:szCs w:val="20"/>
        </w:rPr>
        <w:t>ј</w:t>
      </w:r>
      <w:r w:rsidRPr="00C901FB">
        <w:rPr>
          <w:rFonts w:ascii="Arial" w:hAnsi="Arial" w:cs="Arial"/>
          <w:color w:val="000000"/>
          <w:sz w:val="20"/>
          <w:szCs w:val="20"/>
        </w:rPr>
        <w:t> агрегирају се путем пондерисаног геометријског просека, применом следеће формуле:</w:t>
      </w:r>
    </w:p>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noProof/>
          <w:color w:val="000000"/>
          <w:sz w:val="20"/>
          <w:szCs w:val="20"/>
        </w:rPr>
        <w:drawing>
          <wp:inline distT="0" distB="0" distL="0" distR="0" wp14:anchorId="57BD0AB9" wp14:editId="0A514E86">
            <wp:extent cx="5057775" cy="371475"/>
            <wp:effectExtent l="0" t="0" r="0" b="9525"/>
            <wp:docPr id="10" name="Picture 10" descr="https://slgl.pravno-informacioni-sistem.rs/api/LawAdActAttachment/slike/1038711/Fond-restrukturiranje_Page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lgl.pravno-informacioni-sistem.rs/api/LawAdActAttachment/slike/1038711/Fond-restrukturiranje_Page_0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7775" cy="371475"/>
                    </a:xfrm>
                    <a:prstGeom prst="rect">
                      <a:avLst/>
                    </a:prstGeom>
                    <a:noFill/>
                    <a:ln>
                      <a:noFill/>
                    </a:ln>
                  </pic:spPr>
                </pic:pic>
              </a:graphicData>
            </a:graphic>
          </wp:inline>
        </w:drawing>
      </w:r>
    </w:p>
    <w:p w:rsidR="00C901FB" w:rsidRPr="00C901FB" w:rsidRDefault="00C901FB" w:rsidP="00C901FB">
      <w:pPr>
        <w:widowControl/>
        <w:autoSpaceDE/>
        <w:autoSpaceDN/>
        <w:spacing w:before="0" w:after="150"/>
        <w:ind w:firstLine="480"/>
        <w:rPr>
          <w:rFonts w:ascii="Arial" w:hAnsi="Arial" w:cs="Arial"/>
          <w:color w:val="000000"/>
          <w:sz w:val="20"/>
          <w:szCs w:val="20"/>
        </w:rPr>
      </w:pPr>
      <w:proofErr w:type="gramStart"/>
      <w:r w:rsidRPr="00C901FB">
        <w:rPr>
          <w:rFonts w:ascii="Arial" w:hAnsi="Arial" w:cs="Arial"/>
          <w:color w:val="000000"/>
          <w:sz w:val="20"/>
          <w:szCs w:val="20"/>
        </w:rPr>
        <w:t>где</w:t>
      </w:r>
      <w:proofErr w:type="gramEnd"/>
      <w:r w:rsidRPr="00C901FB">
        <w:rPr>
          <w:rFonts w:ascii="Arial" w:hAnsi="Arial" w:cs="Arial"/>
          <w:color w:val="000000"/>
          <w:sz w:val="20"/>
          <w:szCs w:val="20"/>
        </w:rPr>
        <w:t xml:space="preserve"> су:</w:t>
      </w:r>
    </w:p>
    <w:p w:rsidR="00C901FB" w:rsidRPr="00C901FB" w:rsidRDefault="00C901FB" w:rsidP="00C901FB">
      <w:pPr>
        <w:widowControl/>
        <w:autoSpaceDE/>
        <w:autoSpaceDN/>
        <w:spacing w:before="0" w:after="0"/>
        <w:ind w:firstLine="480"/>
        <w:rPr>
          <w:rFonts w:ascii="Arial" w:hAnsi="Arial" w:cs="Arial"/>
          <w:color w:val="000000"/>
          <w:sz w:val="20"/>
          <w:szCs w:val="20"/>
        </w:rPr>
      </w:pPr>
      <w:proofErr w:type="gramStart"/>
      <w:r w:rsidRPr="00C901FB">
        <w:rPr>
          <w:rFonts w:ascii="Arial" w:hAnsi="Arial" w:cs="Arial"/>
          <w:color w:val="000000"/>
          <w:sz w:val="20"/>
          <w:szCs w:val="20"/>
        </w:rPr>
        <w:t>W</w:t>
      </w:r>
      <w:r w:rsidRPr="00C901FB">
        <w:rPr>
          <w:rFonts w:ascii="Arial" w:hAnsi="Arial" w:cs="Arial"/>
          <w:color w:val="000000"/>
          <w:sz w:val="20"/>
          <w:szCs w:val="20"/>
          <w:vertAlign w:val="subscript"/>
        </w:rPr>
        <w:t>j</w:t>
      </w:r>
      <w:r w:rsidRPr="00C901FB">
        <w:rPr>
          <w:rFonts w:ascii="Arial" w:hAnsi="Arial" w:cs="Arial"/>
          <w:color w:val="000000"/>
          <w:sz w:val="20"/>
          <w:szCs w:val="20"/>
        </w:rPr>
        <w:t> – пондер значајности категорије ризика, дефинисан тачком 19.</w:t>
      </w:r>
      <w:proofErr w:type="gramEnd"/>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ове</w:t>
      </w:r>
      <w:proofErr w:type="gramEnd"/>
      <w:r w:rsidRPr="00C901FB">
        <w:rPr>
          <w:rFonts w:ascii="Arial" w:hAnsi="Arial" w:cs="Arial"/>
          <w:color w:val="000000"/>
          <w:sz w:val="20"/>
          <w:szCs w:val="20"/>
        </w:rPr>
        <w:t xml:space="preserve"> одлуке и</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J – </w:t>
      </w:r>
      <w:proofErr w:type="gramStart"/>
      <w:r w:rsidRPr="00C901FB">
        <w:rPr>
          <w:rFonts w:ascii="Arial" w:hAnsi="Arial" w:cs="Arial"/>
          <w:color w:val="000000"/>
          <w:sz w:val="20"/>
          <w:szCs w:val="20"/>
        </w:rPr>
        <w:t>број</w:t>
      </w:r>
      <w:proofErr w:type="gramEnd"/>
      <w:r w:rsidRPr="00C901FB">
        <w:rPr>
          <w:rFonts w:ascii="Arial" w:hAnsi="Arial" w:cs="Arial"/>
          <w:color w:val="000000"/>
          <w:sz w:val="20"/>
          <w:szCs w:val="20"/>
        </w:rPr>
        <w:t xml:space="preserve"> категорија ризика.</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10. Како би коначни композитни индикатор био утврђен на начин да банкама са вишим степеном ризичности одговарају више вредности, примењује се следећа трансформација:</w:t>
      </w:r>
    </w:p>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noProof/>
          <w:color w:val="000000"/>
          <w:sz w:val="20"/>
          <w:szCs w:val="20"/>
        </w:rPr>
        <w:drawing>
          <wp:inline distT="0" distB="0" distL="0" distR="0" wp14:anchorId="6C3E330F" wp14:editId="2939B21F">
            <wp:extent cx="5057775" cy="314325"/>
            <wp:effectExtent l="0" t="0" r="0" b="9525"/>
            <wp:docPr id="9" name="Picture 9" descr="https://slgl.pravno-informacioni-sistem.rs/api/LawAdActAttachment/slike/1038711/Fond-restrukturiranje_Page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lgl.pravno-informacioni-sistem.rs/api/LawAdActAttachment/slike/1038711/Fond-restrukturiranje_Page_0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7775" cy="314325"/>
                    </a:xfrm>
                    <a:prstGeom prst="rect">
                      <a:avLst/>
                    </a:prstGeom>
                    <a:noFill/>
                    <a:ln>
                      <a:noFill/>
                    </a:ln>
                  </pic:spPr>
                </pic:pic>
              </a:graphicData>
            </a:graphic>
          </wp:inline>
        </w:drawing>
      </w:r>
    </w:p>
    <w:p w:rsidR="00C901FB" w:rsidRPr="00C901FB" w:rsidRDefault="00C901FB" w:rsidP="00C901FB">
      <w:pPr>
        <w:widowControl/>
        <w:autoSpaceDE/>
        <w:autoSpaceDN/>
        <w:spacing w:before="0" w:after="0"/>
        <w:ind w:firstLine="480"/>
        <w:jc w:val="center"/>
        <w:rPr>
          <w:rFonts w:ascii="Arial" w:hAnsi="Arial" w:cs="Arial"/>
          <w:b/>
          <w:bCs/>
          <w:color w:val="000000"/>
          <w:sz w:val="20"/>
          <w:szCs w:val="20"/>
        </w:rPr>
      </w:pPr>
      <w:r w:rsidRPr="00C901FB">
        <w:rPr>
          <w:rFonts w:ascii="Arial" w:hAnsi="Arial" w:cs="Arial"/>
          <w:b/>
          <w:bCs/>
          <w:color w:val="000000"/>
          <w:sz w:val="20"/>
          <w:szCs w:val="20"/>
        </w:rPr>
        <w:t>6. Обрачун годишњих доприноса</w:t>
      </w:r>
    </w:p>
    <w:p w:rsidR="00C901FB" w:rsidRPr="00C901FB" w:rsidRDefault="00C901FB" w:rsidP="00C901FB">
      <w:pPr>
        <w:widowControl/>
        <w:autoSpaceDE/>
        <w:autoSpaceDN/>
        <w:spacing w:before="0" w:after="0"/>
        <w:ind w:firstLine="480"/>
        <w:rPr>
          <w:rFonts w:ascii="Arial" w:hAnsi="Arial" w:cs="Arial"/>
          <w:color w:val="000000"/>
          <w:sz w:val="20"/>
          <w:szCs w:val="20"/>
        </w:rPr>
      </w:pPr>
      <w:r w:rsidRPr="00C901FB">
        <w:rPr>
          <w:rFonts w:ascii="Arial" w:hAnsi="Arial" w:cs="Arial"/>
          <w:color w:val="000000"/>
          <w:sz w:val="20"/>
          <w:szCs w:val="20"/>
        </w:rPr>
        <w:t>11. Коначни композитни индикатор (FCI</w:t>
      </w:r>
      <w:r w:rsidRPr="00C901FB">
        <w:rPr>
          <w:rFonts w:ascii="Arial" w:hAnsi="Arial" w:cs="Arial"/>
          <w:color w:val="000000"/>
          <w:sz w:val="20"/>
          <w:szCs w:val="20"/>
          <w:vertAlign w:val="subscript"/>
        </w:rPr>
        <w:t>n</w:t>
      </w:r>
      <w:r w:rsidRPr="00C901FB">
        <w:rPr>
          <w:rFonts w:ascii="Arial" w:hAnsi="Arial" w:cs="Arial"/>
          <w:color w:val="000000"/>
          <w:sz w:val="20"/>
          <w:szCs w:val="20"/>
        </w:rPr>
        <w:t xml:space="preserve">), израчунат у складу са делом 5. </w:t>
      </w:r>
      <w:proofErr w:type="gramStart"/>
      <w:r w:rsidRPr="00C901FB">
        <w:rPr>
          <w:rFonts w:ascii="Arial" w:hAnsi="Arial" w:cs="Arial"/>
          <w:color w:val="000000"/>
          <w:sz w:val="20"/>
          <w:szCs w:val="20"/>
        </w:rPr>
        <w:t>овог</w:t>
      </w:r>
      <w:proofErr w:type="gramEnd"/>
      <w:r w:rsidRPr="00C901FB">
        <w:rPr>
          <w:rFonts w:ascii="Arial" w:hAnsi="Arial" w:cs="Arial"/>
          <w:color w:val="000000"/>
          <w:sz w:val="20"/>
          <w:szCs w:val="20"/>
        </w:rPr>
        <w:t xml:space="preserve"> прилога, рескалира се применом следеће формуле:</w:t>
      </w:r>
    </w:p>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noProof/>
          <w:color w:val="000000"/>
          <w:sz w:val="20"/>
          <w:szCs w:val="20"/>
        </w:rPr>
        <w:lastRenderedPageBreak/>
        <w:drawing>
          <wp:inline distT="0" distB="0" distL="0" distR="0" wp14:anchorId="257329DA" wp14:editId="4E195AD3">
            <wp:extent cx="5057775" cy="723900"/>
            <wp:effectExtent l="0" t="0" r="0" b="0"/>
            <wp:docPr id="8" name="Picture 8" descr="https://slgl.pravno-informacioni-sistem.rs/api/LawAdActAttachment/slike/1038711/Fond-restrukturiranje_Page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lgl.pravno-informacioni-sistem.rs/api/LawAdActAttachment/slike/1038711/Fond-restrukturiranje_Page_0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7775" cy="723900"/>
                    </a:xfrm>
                    <a:prstGeom prst="rect">
                      <a:avLst/>
                    </a:prstGeom>
                    <a:noFill/>
                    <a:ln>
                      <a:noFill/>
                    </a:ln>
                  </pic:spPr>
                </pic:pic>
              </a:graphicData>
            </a:graphic>
          </wp:inline>
        </w:drawing>
      </w:r>
    </w:p>
    <w:p w:rsidR="00C901FB" w:rsidRPr="00C901FB" w:rsidRDefault="00C901FB" w:rsidP="00C901FB">
      <w:pPr>
        <w:widowControl/>
        <w:autoSpaceDE/>
        <w:autoSpaceDN/>
        <w:spacing w:before="0" w:after="150"/>
        <w:ind w:firstLine="480"/>
        <w:rPr>
          <w:rFonts w:ascii="Arial" w:hAnsi="Arial" w:cs="Arial"/>
          <w:color w:val="000000"/>
          <w:sz w:val="20"/>
          <w:szCs w:val="20"/>
        </w:rPr>
      </w:pPr>
      <w:proofErr w:type="gramStart"/>
      <w:r w:rsidRPr="00C901FB">
        <w:rPr>
          <w:rFonts w:ascii="Arial" w:hAnsi="Arial" w:cs="Arial"/>
          <w:color w:val="000000"/>
          <w:sz w:val="20"/>
          <w:szCs w:val="20"/>
        </w:rPr>
        <w:t>где</w:t>
      </w:r>
      <w:proofErr w:type="gramEnd"/>
      <w:r w:rsidRPr="00C901FB">
        <w:rPr>
          <w:rFonts w:ascii="Arial" w:hAnsi="Arial" w:cs="Arial"/>
          <w:color w:val="000000"/>
          <w:sz w:val="20"/>
          <w:szCs w:val="20"/>
        </w:rPr>
        <w:t xml:space="preserve"> су аргументи минималне и максималне функције вредности свих банака које уплаћују доприносе у Фонд, за које се израчунава коначни композитни индикатор.</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12. Народна банка Србије утврђује редовни годишњи допринос за сваку банку (n), осим за банку за коју је редовни годишњи допринос утврђен у складу са тачком 25. </w:t>
      </w:r>
      <w:proofErr w:type="gramStart"/>
      <w:r w:rsidRPr="00C901FB">
        <w:rPr>
          <w:rFonts w:ascii="Arial" w:hAnsi="Arial" w:cs="Arial"/>
          <w:color w:val="000000"/>
          <w:sz w:val="20"/>
          <w:szCs w:val="20"/>
        </w:rPr>
        <w:t>став</w:t>
      </w:r>
      <w:proofErr w:type="gramEnd"/>
      <w:r w:rsidRPr="00C901FB">
        <w:rPr>
          <w:rFonts w:ascii="Arial" w:hAnsi="Arial" w:cs="Arial"/>
          <w:color w:val="000000"/>
          <w:sz w:val="20"/>
          <w:szCs w:val="20"/>
        </w:rPr>
        <w:t xml:space="preserve"> 2. </w:t>
      </w:r>
      <w:proofErr w:type="gramStart"/>
      <w:r w:rsidRPr="00C901FB">
        <w:rPr>
          <w:rFonts w:ascii="Arial" w:hAnsi="Arial" w:cs="Arial"/>
          <w:color w:val="000000"/>
          <w:sz w:val="20"/>
          <w:szCs w:val="20"/>
        </w:rPr>
        <w:t>ове</w:t>
      </w:r>
      <w:proofErr w:type="gramEnd"/>
      <w:r w:rsidRPr="00C901FB">
        <w:rPr>
          <w:rFonts w:ascii="Arial" w:hAnsi="Arial" w:cs="Arial"/>
          <w:color w:val="000000"/>
          <w:sz w:val="20"/>
          <w:szCs w:val="20"/>
        </w:rPr>
        <w:t xml:space="preserve"> одлуке и за фиксни део доприноса за банку на коју се примењује тачка 28. </w:t>
      </w:r>
      <w:proofErr w:type="gramStart"/>
      <w:r w:rsidRPr="00C901FB">
        <w:rPr>
          <w:rFonts w:ascii="Arial" w:hAnsi="Arial" w:cs="Arial"/>
          <w:color w:val="000000"/>
          <w:sz w:val="20"/>
          <w:szCs w:val="20"/>
        </w:rPr>
        <w:t>те</w:t>
      </w:r>
      <w:proofErr w:type="gramEnd"/>
      <w:r w:rsidRPr="00C901FB">
        <w:rPr>
          <w:rFonts w:ascii="Arial" w:hAnsi="Arial" w:cs="Arial"/>
          <w:color w:val="000000"/>
          <w:sz w:val="20"/>
          <w:szCs w:val="20"/>
        </w:rPr>
        <w:t xml:space="preserve"> одлуке, на следећи начин:</w:t>
      </w:r>
    </w:p>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noProof/>
          <w:color w:val="000000"/>
          <w:sz w:val="20"/>
          <w:szCs w:val="20"/>
        </w:rPr>
        <w:drawing>
          <wp:inline distT="0" distB="0" distL="0" distR="0" wp14:anchorId="3DBE2732" wp14:editId="42F27B23">
            <wp:extent cx="5057775" cy="1143000"/>
            <wp:effectExtent l="0" t="0" r="0" b="0"/>
            <wp:docPr id="1" name="Picture 1" descr="https://slgl.pravno-informacioni-sistem.rs/api/LawAdActAttachment/slike/1038711/Fond-restrukturiranje_Page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lgl.pravno-informacioni-sistem.rs/api/LawAdActAttachment/slike/1038711/Fond-restrukturiranje_Page_1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7775" cy="1143000"/>
                    </a:xfrm>
                    <a:prstGeom prst="rect">
                      <a:avLst/>
                    </a:prstGeom>
                    <a:noFill/>
                    <a:ln>
                      <a:noFill/>
                    </a:ln>
                  </pic:spPr>
                </pic:pic>
              </a:graphicData>
            </a:graphic>
          </wp:inline>
        </w:drawing>
      </w:r>
    </w:p>
    <w:p w:rsidR="00C901FB" w:rsidRPr="00C901FB" w:rsidRDefault="00C901FB" w:rsidP="00C901FB">
      <w:pPr>
        <w:widowControl/>
        <w:autoSpaceDE/>
        <w:autoSpaceDN/>
        <w:spacing w:before="0" w:after="150"/>
        <w:ind w:firstLine="480"/>
        <w:rPr>
          <w:rFonts w:ascii="Arial" w:hAnsi="Arial" w:cs="Arial"/>
          <w:color w:val="000000"/>
          <w:sz w:val="20"/>
          <w:szCs w:val="20"/>
        </w:rPr>
      </w:pPr>
      <w:proofErr w:type="gramStart"/>
      <w:r w:rsidRPr="00C901FB">
        <w:rPr>
          <w:rFonts w:ascii="Arial" w:hAnsi="Arial" w:cs="Arial"/>
          <w:color w:val="000000"/>
          <w:sz w:val="20"/>
          <w:szCs w:val="20"/>
        </w:rPr>
        <w:t>где</w:t>
      </w:r>
      <w:proofErr w:type="gramEnd"/>
      <w:r w:rsidRPr="00C901FB">
        <w:rPr>
          <w:rFonts w:ascii="Arial" w:hAnsi="Arial" w:cs="Arial"/>
          <w:color w:val="000000"/>
          <w:sz w:val="20"/>
          <w:szCs w:val="20"/>
        </w:rPr>
        <w:t xml:space="preserve"> су:</w:t>
      </w:r>
    </w:p>
    <w:p w:rsidR="00C901FB" w:rsidRPr="00C901FB" w:rsidRDefault="00C901FB" w:rsidP="00C901FB">
      <w:pPr>
        <w:widowControl/>
        <w:autoSpaceDE/>
        <w:autoSpaceDN/>
        <w:spacing w:before="0" w:after="150"/>
        <w:ind w:firstLine="480"/>
        <w:rPr>
          <w:rFonts w:ascii="Arial" w:hAnsi="Arial" w:cs="Arial"/>
          <w:color w:val="000000"/>
          <w:sz w:val="20"/>
          <w:szCs w:val="20"/>
        </w:rPr>
      </w:pPr>
      <w:proofErr w:type="gramStart"/>
      <w:r w:rsidRPr="00C901FB">
        <w:rPr>
          <w:rFonts w:ascii="Arial" w:hAnsi="Arial" w:cs="Arial"/>
          <w:color w:val="000000"/>
          <w:sz w:val="20"/>
          <w:szCs w:val="20"/>
        </w:rPr>
        <w:t>p,</w:t>
      </w:r>
      <w:proofErr w:type="gramEnd"/>
      <w:r w:rsidRPr="00C901FB">
        <w:rPr>
          <w:rFonts w:ascii="Arial" w:hAnsi="Arial" w:cs="Arial"/>
          <w:color w:val="000000"/>
          <w:sz w:val="20"/>
          <w:szCs w:val="20"/>
        </w:rPr>
        <w:t>q – индекс банака,</w:t>
      </w:r>
    </w:p>
    <w:p w:rsidR="00C901FB" w:rsidRPr="00C901FB" w:rsidRDefault="00C901FB" w:rsidP="00C901FB">
      <w:pPr>
        <w:widowControl/>
        <w:autoSpaceDE/>
        <w:autoSpaceDN/>
        <w:spacing w:before="0" w:after="150"/>
        <w:ind w:firstLine="480"/>
        <w:rPr>
          <w:rFonts w:ascii="Arial" w:hAnsi="Arial" w:cs="Arial"/>
          <w:color w:val="000000"/>
          <w:sz w:val="20"/>
          <w:szCs w:val="20"/>
        </w:rPr>
      </w:pPr>
      <w:proofErr w:type="gramStart"/>
      <w:r w:rsidRPr="00C901FB">
        <w:rPr>
          <w:rFonts w:ascii="Arial" w:hAnsi="Arial" w:cs="Arial"/>
          <w:color w:val="000000"/>
          <w:sz w:val="20"/>
          <w:szCs w:val="20"/>
        </w:rPr>
        <w:t>GCI – годишњи циљани износ из тачке 2.</w:t>
      </w:r>
      <w:proofErr w:type="gramEnd"/>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став</w:t>
      </w:r>
      <w:proofErr w:type="gramEnd"/>
      <w:r w:rsidRPr="00C901FB">
        <w:rPr>
          <w:rFonts w:ascii="Arial" w:hAnsi="Arial" w:cs="Arial"/>
          <w:color w:val="000000"/>
          <w:sz w:val="20"/>
          <w:szCs w:val="20"/>
        </w:rPr>
        <w:t xml:space="preserve"> 2. </w:t>
      </w:r>
      <w:proofErr w:type="gramStart"/>
      <w:r w:rsidRPr="00C901FB">
        <w:rPr>
          <w:rFonts w:ascii="Arial" w:hAnsi="Arial" w:cs="Arial"/>
          <w:color w:val="000000"/>
          <w:sz w:val="20"/>
          <w:szCs w:val="20"/>
        </w:rPr>
        <w:t>ове</w:t>
      </w:r>
      <w:proofErr w:type="gramEnd"/>
      <w:r w:rsidRPr="00C901FB">
        <w:rPr>
          <w:rFonts w:ascii="Arial" w:hAnsi="Arial" w:cs="Arial"/>
          <w:color w:val="000000"/>
          <w:sz w:val="20"/>
          <w:szCs w:val="20"/>
        </w:rPr>
        <w:t xml:space="preserve"> одлуке, умањен за износ годишњих доприноса утврђених у складу са тачком 25. </w:t>
      </w:r>
      <w:proofErr w:type="gramStart"/>
      <w:r w:rsidRPr="00C901FB">
        <w:rPr>
          <w:rFonts w:ascii="Arial" w:hAnsi="Arial" w:cs="Arial"/>
          <w:color w:val="000000"/>
          <w:sz w:val="20"/>
          <w:szCs w:val="20"/>
        </w:rPr>
        <w:t>став</w:t>
      </w:r>
      <w:proofErr w:type="gramEnd"/>
      <w:r w:rsidRPr="00C901FB">
        <w:rPr>
          <w:rFonts w:ascii="Arial" w:hAnsi="Arial" w:cs="Arial"/>
          <w:color w:val="000000"/>
          <w:sz w:val="20"/>
          <w:szCs w:val="20"/>
        </w:rPr>
        <w:t xml:space="preserve"> 2. </w:t>
      </w:r>
      <w:proofErr w:type="gramStart"/>
      <w:r w:rsidRPr="00C901FB">
        <w:rPr>
          <w:rFonts w:ascii="Arial" w:hAnsi="Arial" w:cs="Arial"/>
          <w:color w:val="000000"/>
          <w:sz w:val="20"/>
          <w:szCs w:val="20"/>
        </w:rPr>
        <w:t>ове</w:t>
      </w:r>
      <w:proofErr w:type="gramEnd"/>
      <w:r w:rsidRPr="00C901FB">
        <w:rPr>
          <w:rFonts w:ascii="Arial" w:hAnsi="Arial" w:cs="Arial"/>
          <w:color w:val="000000"/>
          <w:sz w:val="20"/>
          <w:szCs w:val="20"/>
        </w:rPr>
        <w:t xml:space="preserve"> одлуке и за укупан износ фиксних доприноса обрачунатих у складу са тачком 28. </w:t>
      </w:r>
      <w:proofErr w:type="gramStart"/>
      <w:r w:rsidRPr="00C901FB">
        <w:rPr>
          <w:rFonts w:ascii="Arial" w:hAnsi="Arial" w:cs="Arial"/>
          <w:color w:val="000000"/>
          <w:sz w:val="20"/>
          <w:szCs w:val="20"/>
        </w:rPr>
        <w:t>те</w:t>
      </w:r>
      <w:proofErr w:type="gramEnd"/>
      <w:r w:rsidRPr="00C901FB">
        <w:rPr>
          <w:rFonts w:ascii="Arial" w:hAnsi="Arial" w:cs="Arial"/>
          <w:color w:val="000000"/>
          <w:sz w:val="20"/>
          <w:szCs w:val="20"/>
        </w:rPr>
        <w:t xml:space="preserve"> одлуке и</w:t>
      </w:r>
    </w:p>
    <w:p w:rsidR="00C901FB" w:rsidRPr="00C901FB" w:rsidRDefault="00C901FB" w:rsidP="00C901FB">
      <w:pPr>
        <w:widowControl/>
        <w:autoSpaceDE/>
        <w:autoSpaceDN/>
        <w:spacing w:before="0" w:after="0"/>
        <w:ind w:firstLine="480"/>
        <w:rPr>
          <w:rFonts w:ascii="Arial" w:hAnsi="Arial" w:cs="Arial"/>
          <w:color w:val="000000"/>
          <w:sz w:val="20"/>
          <w:szCs w:val="20"/>
        </w:rPr>
      </w:pPr>
      <w:proofErr w:type="gramStart"/>
      <w:r w:rsidRPr="00C901FB">
        <w:rPr>
          <w:rFonts w:ascii="Arial" w:hAnsi="Arial" w:cs="Arial"/>
          <w:color w:val="000000"/>
          <w:sz w:val="20"/>
          <w:szCs w:val="20"/>
        </w:rPr>
        <w:t>B</w:t>
      </w:r>
      <w:r w:rsidRPr="00C901FB">
        <w:rPr>
          <w:rFonts w:ascii="Arial" w:hAnsi="Arial" w:cs="Arial"/>
          <w:color w:val="000000"/>
          <w:sz w:val="20"/>
          <w:szCs w:val="20"/>
          <w:vertAlign w:val="subscript"/>
        </w:rPr>
        <w:t>n</w:t>
      </w:r>
      <w:r w:rsidRPr="00C901FB">
        <w:rPr>
          <w:rFonts w:ascii="Arial" w:hAnsi="Arial" w:cs="Arial"/>
          <w:color w:val="000000"/>
          <w:sz w:val="20"/>
          <w:szCs w:val="20"/>
        </w:rPr>
        <w:t> – износ основице за годишњи допринос банке n, прилагођен у складу са тач.</w:t>
      </w:r>
      <w:proofErr w:type="gramEnd"/>
      <w:r w:rsidRPr="00C901FB">
        <w:rPr>
          <w:rFonts w:ascii="Arial" w:hAnsi="Arial" w:cs="Arial"/>
          <w:color w:val="000000"/>
          <w:sz w:val="20"/>
          <w:szCs w:val="20"/>
        </w:rPr>
        <w:t xml:space="preserve"> 6. </w:t>
      </w:r>
      <w:proofErr w:type="gramStart"/>
      <w:r w:rsidRPr="00C901FB">
        <w:rPr>
          <w:rFonts w:ascii="Arial" w:hAnsi="Arial" w:cs="Arial"/>
          <w:color w:val="000000"/>
          <w:sz w:val="20"/>
          <w:szCs w:val="20"/>
        </w:rPr>
        <w:t>до</w:t>
      </w:r>
      <w:proofErr w:type="gramEnd"/>
      <w:r w:rsidRPr="00C901FB">
        <w:rPr>
          <w:rFonts w:ascii="Arial" w:hAnsi="Arial" w:cs="Arial"/>
          <w:color w:val="000000"/>
          <w:sz w:val="20"/>
          <w:szCs w:val="20"/>
        </w:rPr>
        <w:t xml:space="preserve"> 8. </w:t>
      </w:r>
      <w:proofErr w:type="gramStart"/>
      <w:r w:rsidRPr="00C901FB">
        <w:rPr>
          <w:rFonts w:ascii="Arial" w:hAnsi="Arial" w:cs="Arial"/>
          <w:color w:val="000000"/>
          <w:sz w:val="20"/>
          <w:szCs w:val="20"/>
        </w:rPr>
        <w:t>ове</w:t>
      </w:r>
      <w:proofErr w:type="gramEnd"/>
      <w:r w:rsidRPr="00C901FB">
        <w:rPr>
          <w:rFonts w:ascii="Arial" w:hAnsi="Arial" w:cs="Arial"/>
          <w:color w:val="000000"/>
          <w:sz w:val="20"/>
          <w:szCs w:val="20"/>
        </w:rPr>
        <w:t xml:space="preserve"> одлуке, не узимајући у обзир примену тачке 28. </w:t>
      </w:r>
      <w:proofErr w:type="gramStart"/>
      <w:r w:rsidRPr="00C901FB">
        <w:rPr>
          <w:rFonts w:ascii="Arial" w:hAnsi="Arial" w:cs="Arial"/>
          <w:color w:val="000000"/>
          <w:sz w:val="20"/>
          <w:szCs w:val="20"/>
        </w:rPr>
        <w:t>ове</w:t>
      </w:r>
      <w:proofErr w:type="gramEnd"/>
      <w:r w:rsidRPr="00C901FB">
        <w:rPr>
          <w:rFonts w:ascii="Arial" w:hAnsi="Arial" w:cs="Arial"/>
          <w:color w:val="000000"/>
          <w:sz w:val="20"/>
          <w:szCs w:val="20"/>
        </w:rPr>
        <w:t xml:space="preserve"> одлуке.</w:t>
      </w:r>
    </w:p>
    <w:p w:rsidR="00C901FB" w:rsidRPr="00C901FB" w:rsidRDefault="00C901FB" w:rsidP="00C901FB">
      <w:pPr>
        <w:widowControl/>
        <w:autoSpaceDE/>
        <w:autoSpaceDN/>
        <w:spacing w:before="0" w:after="0"/>
        <w:ind w:firstLine="480"/>
        <w:jc w:val="right"/>
        <w:rPr>
          <w:rFonts w:ascii="Arial" w:hAnsi="Arial" w:cs="Arial"/>
          <w:color w:val="000000"/>
          <w:sz w:val="20"/>
          <w:szCs w:val="20"/>
        </w:rPr>
      </w:pPr>
      <w:r w:rsidRPr="00C901FB">
        <w:rPr>
          <w:rFonts w:ascii="Arial" w:hAnsi="Arial" w:cs="Arial"/>
          <w:b/>
          <w:bCs/>
          <w:color w:val="000000"/>
          <w:sz w:val="20"/>
          <w:szCs w:val="20"/>
        </w:rPr>
        <w:t>Прилог 2</w:t>
      </w:r>
    </w:p>
    <w:p w:rsidR="00C901FB" w:rsidRPr="00C901FB" w:rsidRDefault="00C901FB" w:rsidP="00C901FB">
      <w:pPr>
        <w:widowControl/>
        <w:autoSpaceDE/>
        <w:autoSpaceDN/>
        <w:spacing w:before="0" w:after="0"/>
        <w:ind w:firstLine="480"/>
        <w:jc w:val="center"/>
        <w:rPr>
          <w:rFonts w:ascii="Arial" w:hAnsi="Arial" w:cs="Arial"/>
          <w:b/>
          <w:bCs/>
          <w:color w:val="000000"/>
          <w:sz w:val="20"/>
          <w:szCs w:val="20"/>
        </w:rPr>
      </w:pPr>
      <w:r w:rsidRPr="00C901FB">
        <w:rPr>
          <w:rFonts w:ascii="Arial" w:hAnsi="Arial" w:cs="Arial"/>
          <w:b/>
          <w:bCs/>
          <w:color w:val="000000"/>
          <w:sz w:val="20"/>
          <w:szCs w:val="20"/>
        </w:rPr>
        <w:t>ВРСТЕ ДЕРИВАТА</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1. Уговори о каматним стопама су:</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једновалутни</w:t>
      </w:r>
      <w:proofErr w:type="gramEnd"/>
      <w:r w:rsidRPr="00C901FB">
        <w:rPr>
          <w:rFonts w:ascii="Arial" w:hAnsi="Arial" w:cs="Arial"/>
          <w:color w:val="000000"/>
          <w:sz w:val="20"/>
          <w:szCs w:val="20"/>
        </w:rPr>
        <w:t xml:space="preserve"> каматни свопови,</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базни</w:t>
      </w:r>
      <w:proofErr w:type="gramEnd"/>
      <w:r w:rsidRPr="00C901FB">
        <w:rPr>
          <w:rFonts w:ascii="Arial" w:hAnsi="Arial" w:cs="Arial"/>
          <w:color w:val="000000"/>
          <w:sz w:val="20"/>
          <w:szCs w:val="20"/>
        </w:rPr>
        <w:t xml:space="preserve"> свопови,</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каматни</w:t>
      </w:r>
      <w:proofErr w:type="gramEnd"/>
      <w:r w:rsidRPr="00C901FB">
        <w:rPr>
          <w:rFonts w:ascii="Arial" w:hAnsi="Arial" w:cs="Arial"/>
          <w:color w:val="000000"/>
          <w:sz w:val="20"/>
          <w:szCs w:val="20"/>
        </w:rPr>
        <w:t xml:space="preserve"> форварди,</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каматни</w:t>
      </w:r>
      <w:proofErr w:type="gramEnd"/>
      <w:r w:rsidRPr="00C901FB">
        <w:rPr>
          <w:rFonts w:ascii="Arial" w:hAnsi="Arial" w:cs="Arial"/>
          <w:color w:val="000000"/>
          <w:sz w:val="20"/>
          <w:szCs w:val="20"/>
        </w:rPr>
        <w:t xml:space="preserve"> фјучерси,</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опције</w:t>
      </w:r>
      <w:proofErr w:type="gramEnd"/>
      <w:r w:rsidRPr="00C901FB">
        <w:rPr>
          <w:rFonts w:ascii="Arial" w:hAnsi="Arial" w:cs="Arial"/>
          <w:color w:val="000000"/>
          <w:sz w:val="20"/>
          <w:szCs w:val="20"/>
        </w:rPr>
        <w:t xml:space="preserve"> на каматне стопе и</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остали</w:t>
      </w:r>
      <w:proofErr w:type="gramEnd"/>
      <w:r w:rsidRPr="00C901FB">
        <w:rPr>
          <w:rFonts w:ascii="Arial" w:hAnsi="Arial" w:cs="Arial"/>
          <w:color w:val="000000"/>
          <w:sz w:val="20"/>
          <w:szCs w:val="20"/>
        </w:rPr>
        <w:t xml:space="preserve"> слични уговори.</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2. Уговори о страним валутама и злату су:</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међувалутни</w:t>
      </w:r>
      <w:proofErr w:type="gramEnd"/>
      <w:r w:rsidRPr="00C901FB">
        <w:rPr>
          <w:rFonts w:ascii="Arial" w:hAnsi="Arial" w:cs="Arial"/>
          <w:color w:val="000000"/>
          <w:sz w:val="20"/>
          <w:szCs w:val="20"/>
        </w:rPr>
        <w:t xml:space="preserve"> каматни свопови,</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валутни</w:t>
      </w:r>
      <w:proofErr w:type="gramEnd"/>
      <w:r w:rsidRPr="00C901FB">
        <w:rPr>
          <w:rFonts w:ascii="Arial" w:hAnsi="Arial" w:cs="Arial"/>
          <w:color w:val="000000"/>
          <w:sz w:val="20"/>
          <w:szCs w:val="20"/>
        </w:rPr>
        <w:t xml:space="preserve"> форварди,</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валутни</w:t>
      </w:r>
      <w:proofErr w:type="gramEnd"/>
      <w:r w:rsidRPr="00C901FB">
        <w:rPr>
          <w:rFonts w:ascii="Arial" w:hAnsi="Arial" w:cs="Arial"/>
          <w:color w:val="000000"/>
          <w:sz w:val="20"/>
          <w:szCs w:val="20"/>
        </w:rPr>
        <w:t xml:space="preserve"> фјучерси,</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валутне</w:t>
      </w:r>
      <w:proofErr w:type="gramEnd"/>
      <w:r w:rsidRPr="00C901FB">
        <w:rPr>
          <w:rFonts w:ascii="Arial" w:hAnsi="Arial" w:cs="Arial"/>
          <w:color w:val="000000"/>
          <w:sz w:val="20"/>
          <w:szCs w:val="20"/>
        </w:rPr>
        <w:t xml:space="preserve"> опције,</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остали</w:t>
      </w:r>
      <w:proofErr w:type="gramEnd"/>
      <w:r w:rsidRPr="00C901FB">
        <w:rPr>
          <w:rFonts w:ascii="Arial" w:hAnsi="Arial" w:cs="Arial"/>
          <w:color w:val="000000"/>
          <w:sz w:val="20"/>
          <w:szCs w:val="20"/>
        </w:rPr>
        <w:t xml:space="preserve"> слични уговори,</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уговори</w:t>
      </w:r>
      <w:proofErr w:type="gramEnd"/>
      <w:r w:rsidRPr="00C901FB">
        <w:rPr>
          <w:rFonts w:ascii="Arial" w:hAnsi="Arial" w:cs="Arial"/>
          <w:color w:val="000000"/>
          <w:sz w:val="20"/>
          <w:szCs w:val="20"/>
        </w:rPr>
        <w:t xml:space="preserve"> који се односе на злато слични уговорима из алинеја од прве до пете ове тачке.</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3. Уговори чије су карактеристике сличне уговорима из тач. 1. </w:t>
      </w:r>
      <w:proofErr w:type="gramStart"/>
      <w:r w:rsidRPr="00C901FB">
        <w:rPr>
          <w:rFonts w:ascii="Arial" w:hAnsi="Arial" w:cs="Arial"/>
          <w:color w:val="000000"/>
          <w:sz w:val="20"/>
          <w:szCs w:val="20"/>
        </w:rPr>
        <w:t>и</w:t>
      </w:r>
      <w:proofErr w:type="gramEnd"/>
      <w:r w:rsidRPr="00C901FB">
        <w:rPr>
          <w:rFonts w:ascii="Arial" w:hAnsi="Arial" w:cs="Arial"/>
          <w:color w:val="000000"/>
          <w:sz w:val="20"/>
          <w:szCs w:val="20"/>
        </w:rPr>
        <w:t xml:space="preserve"> 2. </w:t>
      </w:r>
      <w:proofErr w:type="gramStart"/>
      <w:r w:rsidRPr="00C901FB">
        <w:rPr>
          <w:rFonts w:ascii="Arial" w:hAnsi="Arial" w:cs="Arial"/>
          <w:color w:val="000000"/>
          <w:sz w:val="20"/>
          <w:szCs w:val="20"/>
        </w:rPr>
        <w:t>овог</w:t>
      </w:r>
      <w:proofErr w:type="gramEnd"/>
      <w:r w:rsidRPr="00C901FB">
        <w:rPr>
          <w:rFonts w:ascii="Arial" w:hAnsi="Arial" w:cs="Arial"/>
          <w:color w:val="000000"/>
          <w:sz w:val="20"/>
          <w:szCs w:val="20"/>
        </w:rPr>
        <w:t xml:space="preserve"> прилога, а односе се на друге предмете уговора, укључујући и индексе су:</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опције, фјучерси, свопови, каматни форварди и сви други уговори о дериватима који се односе на хартије од вредности, валуте, каматне стопе или приносе, емисионе јединице или друге деривате, финансијске индексе или финансијске мере, који се могу намирити физички или у новцу,</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опције</w:t>
      </w:r>
      <w:proofErr w:type="gramEnd"/>
      <w:r w:rsidRPr="00C901FB">
        <w:rPr>
          <w:rFonts w:ascii="Arial" w:hAnsi="Arial" w:cs="Arial"/>
          <w:color w:val="000000"/>
          <w:sz w:val="20"/>
          <w:szCs w:val="20"/>
        </w:rPr>
        <w:t>, фјучерси, свопови, форварди и сви други уговори о дериватима који се односе на робу и који морају бити намирени у новцу или могу бити намирени у новцу на захтев једне од уговорних страна, осим у случају неизвршења обавеза или другог разлога за раскид уговора,</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опције, фјучерси, свопови и сви други уговори о дериватима који се односе на робу, који се могу намирити физички, под условом да су предмет трговања на регулисаном тржишту, мултилатералној или организованој трговачкој платформи, осим велепродајних енергетских производа на велико којим се тргује на организованој трговачкој платформи који се морају физички намирити,</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lastRenderedPageBreak/>
        <w:t xml:space="preserve">– </w:t>
      </w:r>
      <w:proofErr w:type="gramStart"/>
      <w:r w:rsidRPr="00C901FB">
        <w:rPr>
          <w:rFonts w:ascii="Arial" w:hAnsi="Arial" w:cs="Arial"/>
          <w:color w:val="000000"/>
          <w:sz w:val="20"/>
          <w:szCs w:val="20"/>
        </w:rPr>
        <w:t>опције</w:t>
      </w:r>
      <w:proofErr w:type="gramEnd"/>
      <w:r w:rsidRPr="00C901FB">
        <w:rPr>
          <w:rFonts w:ascii="Arial" w:hAnsi="Arial" w:cs="Arial"/>
          <w:color w:val="000000"/>
          <w:sz w:val="20"/>
          <w:szCs w:val="20"/>
        </w:rPr>
        <w:t>, фјучерси, свопови, форварди и сви други уговори о дериватима који се односе на робу и који се могу физички намирити, aко нису обухваћени алинејом трећом ове тачке и немају пословну намену, а имају обележја других изведених финансијских инструмената,</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финансијски</w:t>
      </w:r>
      <w:proofErr w:type="gramEnd"/>
      <w:r w:rsidRPr="00C901FB">
        <w:rPr>
          <w:rFonts w:ascii="Arial" w:hAnsi="Arial" w:cs="Arial"/>
          <w:color w:val="000000"/>
          <w:sz w:val="20"/>
          <w:szCs w:val="20"/>
        </w:rPr>
        <w:t xml:space="preserve"> уговори за разлике,</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опције, фјучерси, свопови, каматни форварди уговори и сви други уговори о дериватима који се односе на климатске варијабле, трошкове превоза, стопе инфлације или друге званичне економске статистичке показатеље, који морају бити намирени у новцу или могу бити намирени у новцу на захтев једне од уговорних страна, осим у случају неизвршења обавеза или другог разлога за раскид уговора, као и други уговори о дериватима који се односе на имовину, права, обавезе, индексе и мерне јединице који нису обухваћени алинејама од прве до пете ове тачке, а имају обележја других изведених финансијских инструмената, имајући у виду, између осталог, да ли се њима тргује на регулисаном тржишту, организованој или мултилатералној трговачкој платформи и</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емисионе</w:t>
      </w:r>
      <w:proofErr w:type="gramEnd"/>
      <w:r w:rsidRPr="00C901FB">
        <w:rPr>
          <w:rFonts w:ascii="Arial" w:hAnsi="Arial" w:cs="Arial"/>
          <w:color w:val="000000"/>
          <w:sz w:val="20"/>
          <w:szCs w:val="20"/>
        </w:rPr>
        <w:t xml:space="preserve"> јединице које се састоје од било којих јединица за које је утврђено да су у складу са законом којим се уређују климатске промене.</w:t>
      </w:r>
    </w:p>
    <w:p w:rsidR="00C901FB" w:rsidRPr="00C901FB" w:rsidRDefault="00C901FB" w:rsidP="00C901FB">
      <w:pPr>
        <w:widowControl/>
        <w:autoSpaceDE/>
        <w:autoSpaceDN/>
        <w:spacing w:before="0" w:after="0"/>
        <w:ind w:firstLine="480"/>
        <w:jc w:val="right"/>
        <w:rPr>
          <w:rFonts w:ascii="Arial" w:hAnsi="Arial" w:cs="Arial"/>
          <w:color w:val="000000"/>
          <w:sz w:val="20"/>
          <w:szCs w:val="20"/>
        </w:rPr>
      </w:pPr>
      <w:r w:rsidRPr="00C901FB">
        <w:rPr>
          <w:rFonts w:ascii="Arial" w:hAnsi="Arial" w:cs="Arial"/>
          <w:b/>
          <w:bCs/>
          <w:color w:val="000000"/>
          <w:sz w:val="20"/>
          <w:szCs w:val="20"/>
        </w:rPr>
        <w:t>Прилог 3</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______________________________________</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w:t>
      </w:r>
      <w:proofErr w:type="gramStart"/>
      <w:r w:rsidRPr="00C901FB">
        <w:rPr>
          <w:rFonts w:ascii="Arial" w:hAnsi="Arial" w:cs="Arial"/>
          <w:color w:val="000000"/>
          <w:sz w:val="20"/>
          <w:szCs w:val="20"/>
        </w:rPr>
        <w:t>пословно</w:t>
      </w:r>
      <w:proofErr w:type="gramEnd"/>
      <w:r w:rsidRPr="00C901FB">
        <w:rPr>
          <w:rFonts w:ascii="Arial" w:hAnsi="Arial" w:cs="Arial"/>
          <w:color w:val="000000"/>
          <w:sz w:val="20"/>
          <w:szCs w:val="20"/>
        </w:rPr>
        <w:t xml:space="preserve"> име и седиште банке)</w:t>
      </w:r>
    </w:p>
    <w:p w:rsidR="00C901FB" w:rsidRPr="00C901FB" w:rsidRDefault="00C901FB" w:rsidP="00C901FB">
      <w:pPr>
        <w:widowControl/>
        <w:autoSpaceDE/>
        <w:autoSpaceDN/>
        <w:spacing w:before="0" w:after="150"/>
        <w:ind w:firstLine="480"/>
        <w:jc w:val="right"/>
        <w:rPr>
          <w:rFonts w:ascii="Arial" w:hAnsi="Arial" w:cs="Arial"/>
          <w:color w:val="000000"/>
          <w:sz w:val="20"/>
          <w:szCs w:val="20"/>
        </w:rPr>
      </w:pPr>
      <w:r w:rsidRPr="00C901FB">
        <w:rPr>
          <w:rFonts w:ascii="Arial" w:hAnsi="Arial" w:cs="Arial"/>
          <w:color w:val="000000"/>
          <w:sz w:val="20"/>
          <w:szCs w:val="20"/>
        </w:rPr>
        <w:t>Образац OOФ</w:t>
      </w:r>
    </w:p>
    <w:p w:rsidR="00C901FB" w:rsidRPr="00C901FB" w:rsidRDefault="00C901FB" w:rsidP="00C901FB">
      <w:pPr>
        <w:widowControl/>
        <w:autoSpaceDE/>
        <w:autoSpaceDN/>
        <w:spacing w:before="330" w:after="0"/>
        <w:ind w:firstLine="480"/>
        <w:jc w:val="center"/>
        <w:rPr>
          <w:rFonts w:ascii="Arial" w:hAnsi="Arial" w:cs="Arial"/>
          <w:b/>
          <w:bCs/>
          <w:color w:val="000000"/>
          <w:sz w:val="20"/>
          <w:szCs w:val="20"/>
        </w:rPr>
      </w:pPr>
      <w:proofErr w:type="gramStart"/>
      <w:r w:rsidRPr="00C901FB">
        <w:rPr>
          <w:rFonts w:ascii="Arial" w:hAnsi="Arial" w:cs="Arial"/>
          <w:b/>
          <w:bCs/>
          <w:color w:val="000000"/>
          <w:sz w:val="20"/>
          <w:szCs w:val="20"/>
        </w:rPr>
        <w:t>ОСНОВИЦА ЗА ОБРАЧУН ГОДИШЊЕГ ДОПРИНОСА У ФОНД ЗА РЕСТРУКТУРИРАЊЕ БАНАКА</w:t>
      </w:r>
      <w:r w:rsidRPr="00C901FB">
        <w:rPr>
          <w:rFonts w:ascii="Arial" w:hAnsi="Arial" w:cs="Arial"/>
          <w:b/>
          <w:bCs/>
          <w:color w:val="000000"/>
          <w:sz w:val="20"/>
          <w:szCs w:val="20"/>
        </w:rPr>
        <w:br/>
        <w:t>са стањем на дан __________________20__.</w:t>
      </w:r>
      <w:proofErr w:type="gramEnd"/>
      <w:r w:rsidRPr="00C901FB">
        <w:rPr>
          <w:rFonts w:ascii="Arial" w:hAnsi="Arial" w:cs="Arial"/>
          <w:b/>
          <w:bCs/>
          <w:color w:val="000000"/>
          <w:sz w:val="20"/>
          <w:szCs w:val="20"/>
        </w:rPr>
        <w:t xml:space="preserve"> </w:t>
      </w:r>
      <w:proofErr w:type="gramStart"/>
      <w:r w:rsidRPr="00C901FB">
        <w:rPr>
          <w:rFonts w:ascii="Arial" w:hAnsi="Arial" w:cs="Arial"/>
          <w:b/>
          <w:bCs/>
          <w:color w:val="000000"/>
          <w:sz w:val="20"/>
          <w:szCs w:val="20"/>
        </w:rPr>
        <w:t>године</w:t>
      </w:r>
      <w:proofErr w:type="gramEnd"/>
    </w:p>
    <w:p w:rsidR="00C901FB" w:rsidRPr="00C901FB" w:rsidRDefault="00C901FB" w:rsidP="00C901FB">
      <w:pPr>
        <w:widowControl/>
        <w:autoSpaceDE/>
        <w:autoSpaceDN/>
        <w:spacing w:before="0" w:after="0"/>
        <w:ind w:firstLine="480"/>
        <w:jc w:val="right"/>
        <w:rPr>
          <w:rFonts w:ascii="Arial" w:hAnsi="Arial" w:cs="Arial"/>
          <w:color w:val="000000"/>
          <w:sz w:val="20"/>
          <w:szCs w:val="20"/>
        </w:rPr>
      </w:pPr>
      <w:r w:rsidRPr="00C901FB">
        <w:rPr>
          <w:rFonts w:ascii="Arial" w:hAnsi="Arial" w:cs="Arial"/>
          <w:i/>
          <w:iCs/>
          <w:color w:val="000000"/>
          <w:sz w:val="20"/>
          <w:szCs w:val="20"/>
        </w:rPr>
        <w:t>(</w:t>
      </w:r>
      <w:proofErr w:type="gramStart"/>
      <w:r w:rsidRPr="00C901FB">
        <w:rPr>
          <w:rFonts w:ascii="Arial" w:hAnsi="Arial" w:cs="Arial"/>
          <w:i/>
          <w:iCs/>
          <w:color w:val="000000"/>
          <w:sz w:val="20"/>
          <w:szCs w:val="20"/>
        </w:rPr>
        <w:t>у</w:t>
      </w:r>
      <w:proofErr w:type="gramEnd"/>
      <w:r w:rsidRPr="00C901FB">
        <w:rPr>
          <w:rFonts w:ascii="Arial" w:hAnsi="Arial" w:cs="Arial"/>
          <w:i/>
          <w:iCs/>
          <w:color w:val="000000"/>
          <w:sz w:val="20"/>
          <w:szCs w:val="20"/>
        </w:rPr>
        <w:t xml:space="preserve"> хиљадама динара)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1"/>
        <w:gridCol w:w="9324"/>
        <w:gridCol w:w="658"/>
      </w:tblGrid>
      <w:tr w:rsidR="00C901FB" w:rsidRPr="00C901FB" w:rsidTr="00A20094">
        <w:tc>
          <w:tcPr>
            <w:tcW w:w="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р.б.</w:t>
            </w:r>
          </w:p>
        </w:tc>
        <w:tc>
          <w:tcPr>
            <w:tcW w:w="4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Опис</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Износ</w:t>
            </w:r>
          </w:p>
        </w:tc>
      </w:tr>
      <w:tr w:rsidR="00C901FB" w:rsidRPr="00C901FB" w:rsidTr="00A20094">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1. Основица за обрачун годишњег доприноса</w:t>
            </w:r>
          </w:p>
        </w:tc>
      </w:tr>
      <w:tr w:rsidR="00C901FB" w:rsidRPr="00C901FB" w:rsidTr="00A20094">
        <w:tc>
          <w:tcPr>
            <w:tcW w:w="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1.1.</w:t>
            </w:r>
          </w:p>
        </w:tc>
        <w:tc>
          <w:tcPr>
            <w:tcW w:w="4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Укупна пасива</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1.2.</w:t>
            </w:r>
          </w:p>
        </w:tc>
        <w:tc>
          <w:tcPr>
            <w:tcW w:w="4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Капитал</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1.3.</w:t>
            </w:r>
          </w:p>
        </w:tc>
        <w:tc>
          <w:tcPr>
            <w:tcW w:w="4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Oсигурани износ депозита</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1.4.</w:t>
            </w:r>
          </w:p>
        </w:tc>
        <w:tc>
          <w:tcPr>
            <w:tcW w:w="4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Основица за обрачун годишњег доприноса пре корекције за обавезе по основу деривата</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1.5.</w:t>
            </w:r>
          </w:p>
        </w:tc>
        <w:tc>
          <w:tcPr>
            <w:tcW w:w="4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Основица за обрачун годишњег доприноса након корекције за обавезе по основу деривата</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1.6.</w:t>
            </w:r>
          </w:p>
        </w:tc>
        <w:tc>
          <w:tcPr>
            <w:tcW w:w="4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Основица за обрачун годишњег доприноса након корекције за обавезе по основу деривата и умањења за интрагрупне трансакције</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2. Метод за обрачун годишњих доприноса</w:t>
            </w:r>
          </w:p>
        </w:tc>
      </w:tr>
      <w:tr w:rsidR="00C901FB" w:rsidRPr="00C901FB" w:rsidTr="00A20094">
        <w:tc>
          <w:tcPr>
            <w:tcW w:w="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2.1.</w:t>
            </w:r>
          </w:p>
        </w:tc>
        <w:tc>
          <w:tcPr>
            <w:tcW w:w="4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Да ли банка испуњава услове за примену фиксног обрачуна годишњег доприноса?</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2.2.</w:t>
            </w:r>
          </w:p>
        </w:tc>
        <w:tc>
          <w:tcPr>
            <w:tcW w:w="4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Да ли банка испуњава услове за примену комбинованог обрачуна годишњег доприноса?</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2.3.</w:t>
            </w:r>
          </w:p>
        </w:tc>
        <w:tc>
          <w:tcPr>
            <w:tcW w:w="4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Да ли се банка определила за алтернативни обрачун обрачун годишњег доприноса по основу ризичног профила?</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3. Прилагођавање обавеза по основу деривата</w:t>
            </w:r>
          </w:p>
        </w:tc>
      </w:tr>
      <w:tr w:rsidR="00C901FB" w:rsidRPr="00C901FB" w:rsidTr="00A20094">
        <w:tc>
          <w:tcPr>
            <w:tcW w:w="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3.1.</w:t>
            </w:r>
          </w:p>
        </w:tc>
        <w:tc>
          <w:tcPr>
            <w:tcW w:w="4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Обавезе по основу уговора о дериватима (годишњи просек)</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3.2.</w:t>
            </w:r>
          </w:p>
        </w:tc>
        <w:tc>
          <w:tcPr>
            <w:tcW w:w="4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Рачуноводствена вредност обавеза по основу уговора о дериватима</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i/>
                <w:iCs/>
                <w:color w:val="000000"/>
                <w:sz w:val="20"/>
                <w:szCs w:val="20"/>
              </w:rPr>
              <w:t>3.2.1.</w:t>
            </w:r>
          </w:p>
        </w:tc>
        <w:tc>
          <w:tcPr>
            <w:tcW w:w="4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i/>
                <w:iCs/>
                <w:color w:val="000000"/>
                <w:sz w:val="20"/>
                <w:szCs w:val="20"/>
              </w:rPr>
              <w:t>од чега: евидентирано у билансу</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i/>
                <w:iCs/>
                <w:color w:val="000000"/>
                <w:sz w:val="20"/>
                <w:szCs w:val="20"/>
              </w:rPr>
              <w:t>3.2.2.</w:t>
            </w:r>
          </w:p>
        </w:tc>
        <w:tc>
          <w:tcPr>
            <w:tcW w:w="4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i/>
                <w:iCs/>
                <w:color w:val="000000"/>
                <w:sz w:val="20"/>
                <w:szCs w:val="20"/>
              </w:rPr>
              <w:t>од чега: евидентирано у ванбилансу</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3.3.</w:t>
            </w:r>
          </w:p>
        </w:tc>
        <w:tc>
          <w:tcPr>
            <w:tcW w:w="4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Обавезе по основу уговора о дериватима након примене корективног фактора</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bl>
    <w:p w:rsidR="00C901FB" w:rsidRPr="00C901FB" w:rsidRDefault="00C901FB" w:rsidP="00C901FB">
      <w:pPr>
        <w:widowControl/>
        <w:autoSpaceDE/>
        <w:autoSpaceDN/>
        <w:spacing w:before="0" w:after="150"/>
        <w:ind w:firstLine="480"/>
        <w:rPr>
          <w:rFonts w:ascii="Arial" w:hAnsi="Arial" w:cs="Arial"/>
          <w:color w:val="000000"/>
          <w:sz w:val="20"/>
          <w:szCs w:val="20"/>
        </w:rPr>
      </w:pPr>
      <w:proofErr w:type="gramStart"/>
      <w:r w:rsidRPr="00C901FB">
        <w:rPr>
          <w:rFonts w:ascii="Arial" w:hAnsi="Arial" w:cs="Arial"/>
          <w:color w:val="000000"/>
          <w:sz w:val="20"/>
          <w:szCs w:val="20"/>
        </w:rPr>
        <w:t>У ____________, __.__.20__.</w:t>
      </w:r>
      <w:proofErr w:type="gramEnd"/>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године</w:t>
      </w:r>
      <w:proofErr w:type="gramEnd"/>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Извештај сачинио/ла:</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________________________</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w:t>
      </w:r>
      <w:proofErr w:type="gramStart"/>
      <w:r w:rsidRPr="00C901FB">
        <w:rPr>
          <w:rFonts w:ascii="Arial" w:hAnsi="Arial" w:cs="Arial"/>
          <w:color w:val="000000"/>
          <w:sz w:val="20"/>
          <w:szCs w:val="20"/>
        </w:rPr>
        <w:t>име</w:t>
      </w:r>
      <w:proofErr w:type="gramEnd"/>
      <w:r w:rsidRPr="00C901FB">
        <w:rPr>
          <w:rFonts w:ascii="Arial" w:hAnsi="Arial" w:cs="Arial"/>
          <w:color w:val="000000"/>
          <w:sz w:val="20"/>
          <w:szCs w:val="20"/>
        </w:rPr>
        <w:t xml:space="preserve"> и презиме)</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________________________</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w:t>
      </w:r>
      <w:proofErr w:type="gramStart"/>
      <w:r w:rsidRPr="00C901FB">
        <w:rPr>
          <w:rFonts w:ascii="Arial" w:hAnsi="Arial" w:cs="Arial"/>
          <w:color w:val="000000"/>
          <w:sz w:val="20"/>
          <w:szCs w:val="20"/>
        </w:rPr>
        <w:t>имејл</w:t>
      </w:r>
      <w:proofErr w:type="gramEnd"/>
      <w:r w:rsidRPr="00C901FB">
        <w:rPr>
          <w:rFonts w:ascii="Arial" w:hAnsi="Arial" w:cs="Arial"/>
          <w:color w:val="000000"/>
          <w:sz w:val="20"/>
          <w:szCs w:val="20"/>
        </w:rPr>
        <w:t xml:space="preserve"> адреса)</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lastRenderedPageBreak/>
        <w:t>________________________</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w:t>
      </w:r>
      <w:proofErr w:type="gramStart"/>
      <w:r w:rsidRPr="00C901FB">
        <w:rPr>
          <w:rFonts w:ascii="Arial" w:hAnsi="Arial" w:cs="Arial"/>
          <w:color w:val="000000"/>
          <w:sz w:val="20"/>
          <w:szCs w:val="20"/>
        </w:rPr>
        <w:t>телефон</w:t>
      </w:r>
      <w:proofErr w:type="gramEnd"/>
      <w:r w:rsidRPr="00C901FB">
        <w:rPr>
          <w:rFonts w:ascii="Arial" w:hAnsi="Arial" w:cs="Arial"/>
          <w:color w:val="000000"/>
          <w:sz w:val="20"/>
          <w:szCs w:val="20"/>
        </w:rPr>
        <w:t xml:space="preserve"> за контакте)</w:t>
      </w:r>
    </w:p>
    <w:p w:rsidR="00C901FB" w:rsidRPr="00C901FB" w:rsidRDefault="00C901FB" w:rsidP="00C901FB">
      <w:pPr>
        <w:widowControl/>
        <w:autoSpaceDE/>
        <w:autoSpaceDN/>
        <w:spacing w:before="0" w:after="0"/>
        <w:ind w:firstLine="480"/>
        <w:jc w:val="right"/>
        <w:rPr>
          <w:rFonts w:ascii="Arial" w:hAnsi="Arial" w:cs="Arial"/>
          <w:color w:val="000000"/>
          <w:sz w:val="20"/>
          <w:szCs w:val="20"/>
        </w:rPr>
      </w:pPr>
      <w:r w:rsidRPr="00C901FB">
        <w:rPr>
          <w:rFonts w:ascii="Arial" w:hAnsi="Arial" w:cs="Arial"/>
          <w:b/>
          <w:bCs/>
          <w:color w:val="000000"/>
          <w:sz w:val="20"/>
          <w:szCs w:val="20"/>
        </w:rPr>
        <w:t>Прилог 3</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______________________________________</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w:t>
      </w:r>
      <w:proofErr w:type="gramStart"/>
      <w:r w:rsidRPr="00C901FB">
        <w:rPr>
          <w:rFonts w:ascii="Arial" w:hAnsi="Arial" w:cs="Arial"/>
          <w:color w:val="000000"/>
          <w:sz w:val="20"/>
          <w:szCs w:val="20"/>
        </w:rPr>
        <w:t>пословно</w:t>
      </w:r>
      <w:proofErr w:type="gramEnd"/>
      <w:r w:rsidRPr="00C901FB">
        <w:rPr>
          <w:rFonts w:ascii="Arial" w:hAnsi="Arial" w:cs="Arial"/>
          <w:color w:val="000000"/>
          <w:sz w:val="20"/>
          <w:szCs w:val="20"/>
        </w:rPr>
        <w:t xml:space="preserve"> име и седиште банке)</w:t>
      </w:r>
    </w:p>
    <w:p w:rsidR="00C901FB" w:rsidRPr="00C901FB" w:rsidRDefault="00C901FB" w:rsidP="00C901FB">
      <w:pPr>
        <w:widowControl/>
        <w:autoSpaceDE/>
        <w:autoSpaceDN/>
        <w:spacing w:before="0" w:after="150"/>
        <w:ind w:firstLine="480"/>
        <w:jc w:val="right"/>
        <w:rPr>
          <w:rFonts w:ascii="Arial" w:hAnsi="Arial" w:cs="Arial"/>
          <w:color w:val="000000"/>
          <w:sz w:val="20"/>
          <w:szCs w:val="20"/>
        </w:rPr>
      </w:pPr>
      <w:r w:rsidRPr="00C901FB">
        <w:rPr>
          <w:rFonts w:ascii="Arial" w:hAnsi="Arial" w:cs="Arial"/>
          <w:color w:val="000000"/>
          <w:sz w:val="20"/>
          <w:szCs w:val="20"/>
        </w:rPr>
        <w:t>Образац OOФ-УО</w:t>
      </w:r>
    </w:p>
    <w:p w:rsidR="00C901FB" w:rsidRPr="00C901FB" w:rsidRDefault="00C901FB" w:rsidP="00C901FB">
      <w:pPr>
        <w:widowControl/>
        <w:autoSpaceDE/>
        <w:autoSpaceDN/>
        <w:spacing w:before="330" w:after="0"/>
        <w:ind w:firstLine="480"/>
        <w:jc w:val="center"/>
        <w:rPr>
          <w:rFonts w:ascii="Arial" w:hAnsi="Arial" w:cs="Arial"/>
          <w:b/>
          <w:bCs/>
          <w:color w:val="000000"/>
          <w:sz w:val="20"/>
          <w:szCs w:val="20"/>
        </w:rPr>
      </w:pPr>
      <w:proofErr w:type="gramStart"/>
      <w:r w:rsidRPr="00C901FB">
        <w:rPr>
          <w:rFonts w:ascii="Arial" w:hAnsi="Arial" w:cs="Arial"/>
          <w:b/>
          <w:bCs/>
          <w:color w:val="000000"/>
          <w:sz w:val="20"/>
          <w:szCs w:val="20"/>
        </w:rPr>
        <w:t>ПРЕГЛЕД УМАЊЕЊА ОСНОВИЦЕ ЗА ОБРАЧУН ГОДИШЊЕГ ДОПРИНОСА У ФОНД ЗА РЕСТРУКТУРИРАЊЕ БАНАКА</w:t>
      </w:r>
      <w:r w:rsidRPr="00C901FB">
        <w:rPr>
          <w:rFonts w:ascii="Arial" w:hAnsi="Arial" w:cs="Arial"/>
          <w:b/>
          <w:bCs/>
          <w:color w:val="000000"/>
          <w:sz w:val="20"/>
          <w:szCs w:val="20"/>
        </w:rPr>
        <w:br/>
        <w:t>са стањем на дан __________________20__.</w:t>
      </w:r>
      <w:proofErr w:type="gramEnd"/>
      <w:r w:rsidRPr="00C901FB">
        <w:rPr>
          <w:rFonts w:ascii="Arial" w:hAnsi="Arial" w:cs="Arial"/>
          <w:b/>
          <w:bCs/>
          <w:color w:val="000000"/>
          <w:sz w:val="20"/>
          <w:szCs w:val="20"/>
        </w:rPr>
        <w:t xml:space="preserve"> </w:t>
      </w:r>
      <w:proofErr w:type="gramStart"/>
      <w:r w:rsidRPr="00C901FB">
        <w:rPr>
          <w:rFonts w:ascii="Arial" w:hAnsi="Arial" w:cs="Arial"/>
          <w:b/>
          <w:bCs/>
          <w:color w:val="000000"/>
          <w:sz w:val="20"/>
          <w:szCs w:val="20"/>
        </w:rPr>
        <w:t>године</w:t>
      </w:r>
      <w:proofErr w:type="gramEnd"/>
    </w:p>
    <w:p w:rsidR="00C901FB" w:rsidRPr="00C901FB" w:rsidRDefault="00C901FB" w:rsidP="00C901FB">
      <w:pPr>
        <w:widowControl/>
        <w:autoSpaceDE/>
        <w:autoSpaceDN/>
        <w:spacing w:before="0" w:after="150"/>
        <w:ind w:firstLine="480"/>
        <w:jc w:val="right"/>
        <w:rPr>
          <w:rFonts w:ascii="Arial" w:hAnsi="Arial" w:cs="Arial"/>
          <w:color w:val="000000"/>
          <w:sz w:val="20"/>
          <w:szCs w:val="20"/>
        </w:rPr>
      </w:pPr>
      <w:r w:rsidRPr="00C901FB">
        <w:rPr>
          <w:rFonts w:ascii="Arial" w:hAnsi="Arial" w:cs="Arial"/>
          <w:color w:val="000000"/>
          <w:sz w:val="20"/>
          <w:szCs w:val="20"/>
        </w:rPr>
        <w:t>(</w:t>
      </w:r>
      <w:proofErr w:type="gramStart"/>
      <w:r w:rsidRPr="00C901FB">
        <w:rPr>
          <w:rFonts w:ascii="Arial" w:hAnsi="Arial" w:cs="Arial"/>
          <w:color w:val="000000"/>
          <w:sz w:val="20"/>
          <w:szCs w:val="20"/>
        </w:rPr>
        <w:t>у</w:t>
      </w:r>
      <w:proofErr w:type="gramEnd"/>
      <w:r w:rsidRPr="00C901FB">
        <w:rPr>
          <w:rFonts w:ascii="Arial" w:hAnsi="Arial" w:cs="Arial"/>
          <w:color w:val="000000"/>
          <w:sz w:val="20"/>
          <w:szCs w:val="20"/>
        </w:rPr>
        <w:t xml:space="preserve"> хиљадама динара)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3"/>
        <w:gridCol w:w="9402"/>
        <w:gridCol w:w="698"/>
      </w:tblGrid>
      <w:tr w:rsidR="00C901FB" w:rsidRPr="00C901FB" w:rsidTr="00A20094">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р.б.</w:t>
            </w:r>
          </w:p>
        </w:tc>
        <w:tc>
          <w:tcPr>
            <w:tcW w:w="4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Опис</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Износ</w:t>
            </w:r>
          </w:p>
        </w:tc>
      </w:tr>
      <w:tr w:rsidR="00C901FB" w:rsidRPr="00C901FB" w:rsidTr="00A20094">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w:t>
            </w:r>
          </w:p>
        </w:tc>
        <w:tc>
          <w:tcPr>
            <w:tcW w:w="4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Обавезе по основу уговора о дериватима</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i/>
                <w:iCs/>
                <w:color w:val="000000"/>
                <w:sz w:val="20"/>
                <w:szCs w:val="20"/>
              </w:rPr>
              <w:t>1.1.</w:t>
            </w:r>
          </w:p>
        </w:tc>
        <w:tc>
          <w:tcPr>
            <w:tcW w:w="4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i/>
                <w:iCs/>
                <w:color w:val="000000"/>
                <w:sz w:val="20"/>
                <w:szCs w:val="20"/>
              </w:rPr>
              <w:t>од чега: квалификоване унутаргрупне обавезе по основу деривата</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i/>
                <w:iCs/>
                <w:color w:val="000000"/>
                <w:sz w:val="20"/>
                <w:szCs w:val="20"/>
              </w:rPr>
              <w:t>1.2.</w:t>
            </w:r>
          </w:p>
        </w:tc>
        <w:tc>
          <w:tcPr>
            <w:tcW w:w="4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i/>
                <w:iCs/>
                <w:color w:val="000000"/>
                <w:sz w:val="20"/>
                <w:szCs w:val="20"/>
              </w:rPr>
              <w:t>од чега: обавезе по основу деривата које нису унутаргрупне обавезе</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2.</w:t>
            </w:r>
          </w:p>
        </w:tc>
        <w:tc>
          <w:tcPr>
            <w:tcW w:w="4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Корективни фактор</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3.</w:t>
            </w:r>
          </w:p>
        </w:tc>
        <w:tc>
          <w:tcPr>
            <w:tcW w:w="4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Коригована вредност квалификованих унутаргупних обавеза по основу деривата</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w:t>
            </w:r>
          </w:p>
        </w:tc>
        <w:tc>
          <w:tcPr>
            <w:tcW w:w="4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Рачуноводствена вредност укупних квалификованих унутаргрупних обавеза</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i/>
                <w:iCs/>
                <w:color w:val="000000"/>
                <w:sz w:val="20"/>
                <w:szCs w:val="20"/>
              </w:rPr>
              <w:t>4.1.</w:t>
            </w:r>
          </w:p>
        </w:tc>
        <w:tc>
          <w:tcPr>
            <w:tcW w:w="4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i/>
                <w:iCs/>
                <w:color w:val="000000"/>
                <w:sz w:val="20"/>
                <w:szCs w:val="20"/>
              </w:rPr>
              <w:t>од чега: по основу деривата</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i/>
                <w:iCs/>
                <w:color w:val="000000"/>
                <w:sz w:val="20"/>
                <w:szCs w:val="20"/>
              </w:rPr>
              <w:t>4.2.</w:t>
            </w:r>
          </w:p>
        </w:tc>
        <w:tc>
          <w:tcPr>
            <w:tcW w:w="4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i/>
                <w:iCs/>
                <w:color w:val="000000"/>
                <w:sz w:val="20"/>
                <w:szCs w:val="20"/>
              </w:rPr>
              <w:t>од чега: остале унутаргрупне обавезе</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5.</w:t>
            </w:r>
          </w:p>
        </w:tc>
        <w:tc>
          <w:tcPr>
            <w:tcW w:w="4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Коригована вредност укупних квалификованих унтаргрупних обавеза</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6.</w:t>
            </w:r>
          </w:p>
        </w:tc>
        <w:tc>
          <w:tcPr>
            <w:tcW w:w="4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Рачуноводствена вредност укупне квалификоване унутаргрупне имовине банке</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7.</w:t>
            </w:r>
          </w:p>
        </w:tc>
        <w:tc>
          <w:tcPr>
            <w:tcW w:w="4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Коригована вредност укупне квалификоване унутаргрупне имовине</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8.</w:t>
            </w:r>
          </w:p>
        </w:tc>
        <w:tc>
          <w:tcPr>
            <w:tcW w:w="4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Укупан износ умањења имовине и обавеза по основу квалификованих унутаргрупних обавеза</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bl>
    <w:p w:rsidR="00C901FB" w:rsidRPr="00C901FB" w:rsidRDefault="00C901FB" w:rsidP="00C901FB">
      <w:pPr>
        <w:widowControl/>
        <w:autoSpaceDE/>
        <w:autoSpaceDN/>
        <w:spacing w:before="0" w:after="150"/>
        <w:ind w:firstLine="480"/>
        <w:rPr>
          <w:rFonts w:ascii="Arial" w:hAnsi="Arial" w:cs="Arial"/>
          <w:color w:val="000000"/>
          <w:sz w:val="20"/>
          <w:szCs w:val="20"/>
        </w:rPr>
      </w:pPr>
      <w:proofErr w:type="gramStart"/>
      <w:r w:rsidRPr="00C901FB">
        <w:rPr>
          <w:rFonts w:ascii="Arial" w:hAnsi="Arial" w:cs="Arial"/>
          <w:color w:val="000000"/>
          <w:sz w:val="20"/>
          <w:szCs w:val="20"/>
        </w:rPr>
        <w:t>У ____________, __.__.20__.</w:t>
      </w:r>
      <w:proofErr w:type="gramEnd"/>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године</w:t>
      </w:r>
      <w:proofErr w:type="gramEnd"/>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Извештај сачинио/ла:</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________________________</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w:t>
      </w:r>
      <w:proofErr w:type="gramStart"/>
      <w:r w:rsidRPr="00C901FB">
        <w:rPr>
          <w:rFonts w:ascii="Arial" w:hAnsi="Arial" w:cs="Arial"/>
          <w:color w:val="000000"/>
          <w:sz w:val="20"/>
          <w:szCs w:val="20"/>
        </w:rPr>
        <w:t>име</w:t>
      </w:r>
      <w:proofErr w:type="gramEnd"/>
      <w:r w:rsidRPr="00C901FB">
        <w:rPr>
          <w:rFonts w:ascii="Arial" w:hAnsi="Arial" w:cs="Arial"/>
          <w:color w:val="000000"/>
          <w:sz w:val="20"/>
          <w:szCs w:val="20"/>
        </w:rPr>
        <w:t xml:space="preserve"> и презиме)</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________________________</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w:t>
      </w:r>
      <w:proofErr w:type="gramStart"/>
      <w:r w:rsidRPr="00C901FB">
        <w:rPr>
          <w:rFonts w:ascii="Arial" w:hAnsi="Arial" w:cs="Arial"/>
          <w:color w:val="000000"/>
          <w:sz w:val="20"/>
          <w:szCs w:val="20"/>
        </w:rPr>
        <w:t>имејл</w:t>
      </w:r>
      <w:proofErr w:type="gramEnd"/>
      <w:r w:rsidRPr="00C901FB">
        <w:rPr>
          <w:rFonts w:ascii="Arial" w:hAnsi="Arial" w:cs="Arial"/>
          <w:color w:val="000000"/>
          <w:sz w:val="20"/>
          <w:szCs w:val="20"/>
        </w:rPr>
        <w:t xml:space="preserve"> адреса)</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________________________</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w:t>
      </w:r>
      <w:proofErr w:type="gramStart"/>
      <w:r w:rsidRPr="00C901FB">
        <w:rPr>
          <w:rFonts w:ascii="Arial" w:hAnsi="Arial" w:cs="Arial"/>
          <w:color w:val="000000"/>
          <w:sz w:val="20"/>
          <w:szCs w:val="20"/>
        </w:rPr>
        <w:t>телефон</w:t>
      </w:r>
      <w:proofErr w:type="gramEnd"/>
      <w:r w:rsidRPr="00C901FB">
        <w:rPr>
          <w:rFonts w:ascii="Arial" w:hAnsi="Arial" w:cs="Arial"/>
          <w:color w:val="000000"/>
          <w:sz w:val="20"/>
          <w:szCs w:val="20"/>
        </w:rPr>
        <w:t xml:space="preserve"> за контакте)</w:t>
      </w:r>
    </w:p>
    <w:p w:rsidR="00C901FB" w:rsidRPr="00C901FB" w:rsidRDefault="00C901FB" w:rsidP="00C901FB">
      <w:pPr>
        <w:widowControl/>
        <w:autoSpaceDE/>
        <w:autoSpaceDN/>
        <w:spacing w:before="0" w:after="0"/>
        <w:ind w:firstLine="480"/>
        <w:jc w:val="right"/>
        <w:rPr>
          <w:rFonts w:ascii="Arial" w:hAnsi="Arial" w:cs="Arial"/>
          <w:color w:val="000000"/>
          <w:sz w:val="20"/>
          <w:szCs w:val="20"/>
        </w:rPr>
      </w:pPr>
      <w:r w:rsidRPr="00C901FB">
        <w:rPr>
          <w:rFonts w:ascii="Arial" w:hAnsi="Arial" w:cs="Arial"/>
          <w:b/>
          <w:bCs/>
          <w:color w:val="000000"/>
          <w:sz w:val="20"/>
          <w:szCs w:val="20"/>
        </w:rPr>
        <w:t>Прилог 3</w:t>
      </w:r>
    </w:p>
    <w:p w:rsidR="00C901FB" w:rsidRPr="00C901FB" w:rsidRDefault="00C901FB" w:rsidP="00C901FB">
      <w:pPr>
        <w:widowControl/>
        <w:autoSpaceDE/>
        <w:autoSpaceDN/>
        <w:spacing w:before="0" w:after="0"/>
        <w:ind w:firstLine="480"/>
        <w:rPr>
          <w:rFonts w:ascii="Arial" w:hAnsi="Arial" w:cs="Arial"/>
          <w:color w:val="000000"/>
          <w:sz w:val="20"/>
          <w:szCs w:val="20"/>
        </w:rPr>
      </w:pPr>
      <w:r w:rsidRPr="00C901FB">
        <w:rPr>
          <w:rFonts w:ascii="Arial" w:hAnsi="Arial" w:cs="Arial"/>
          <w:color w:val="000000"/>
          <w:sz w:val="20"/>
          <w:szCs w:val="20"/>
        </w:rPr>
        <w:t>______________________________________</w:t>
      </w:r>
    </w:p>
    <w:p w:rsidR="00C901FB" w:rsidRPr="00C901FB" w:rsidRDefault="00C901FB" w:rsidP="00C901FB">
      <w:pPr>
        <w:widowControl/>
        <w:autoSpaceDE/>
        <w:autoSpaceDN/>
        <w:spacing w:before="0" w:after="0"/>
        <w:ind w:firstLine="480"/>
        <w:rPr>
          <w:rFonts w:ascii="Arial" w:hAnsi="Arial" w:cs="Arial"/>
          <w:color w:val="000000"/>
          <w:sz w:val="20"/>
          <w:szCs w:val="20"/>
        </w:rPr>
      </w:pPr>
      <w:r w:rsidRPr="00C901FB">
        <w:rPr>
          <w:rFonts w:ascii="Arial" w:hAnsi="Arial" w:cs="Arial"/>
          <w:color w:val="000000"/>
          <w:sz w:val="20"/>
          <w:szCs w:val="20"/>
        </w:rPr>
        <w:t>(</w:t>
      </w:r>
      <w:proofErr w:type="gramStart"/>
      <w:r w:rsidRPr="00C901FB">
        <w:rPr>
          <w:rFonts w:ascii="Arial" w:hAnsi="Arial" w:cs="Arial"/>
          <w:color w:val="000000"/>
          <w:sz w:val="20"/>
          <w:szCs w:val="20"/>
        </w:rPr>
        <w:t>пословно</w:t>
      </w:r>
      <w:proofErr w:type="gramEnd"/>
      <w:r w:rsidRPr="00C901FB">
        <w:rPr>
          <w:rFonts w:ascii="Arial" w:hAnsi="Arial" w:cs="Arial"/>
          <w:color w:val="000000"/>
          <w:sz w:val="20"/>
          <w:szCs w:val="20"/>
        </w:rPr>
        <w:t xml:space="preserve"> име и седиште банке)</w:t>
      </w:r>
    </w:p>
    <w:p w:rsidR="00C901FB" w:rsidRPr="00C901FB" w:rsidRDefault="00C901FB" w:rsidP="00C901FB">
      <w:pPr>
        <w:widowControl/>
        <w:autoSpaceDE/>
        <w:autoSpaceDN/>
        <w:spacing w:before="0" w:after="150"/>
        <w:ind w:firstLine="480"/>
        <w:jc w:val="right"/>
        <w:rPr>
          <w:rFonts w:ascii="Arial" w:hAnsi="Arial" w:cs="Arial"/>
          <w:color w:val="000000"/>
          <w:sz w:val="20"/>
          <w:szCs w:val="20"/>
        </w:rPr>
      </w:pPr>
      <w:r w:rsidRPr="00C901FB">
        <w:rPr>
          <w:rFonts w:ascii="Arial" w:hAnsi="Arial" w:cs="Arial"/>
          <w:color w:val="000000"/>
          <w:sz w:val="20"/>
          <w:szCs w:val="20"/>
        </w:rPr>
        <w:t>Образац РПБ</w:t>
      </w:r>
    </w:p>
    <w:p w:rsidR="00C901FB" w:rsidRPr="00C901FB" w:rsidRDefault="00C901FB" w:rsidP="00C901FB">
      <w:pPr>
        <w:widowControl/>
        <w:autoSpaceDE/>
        <w:autoSpaceDN/>
        <w:spacing w:before="330" w:after="0"/>
        <w:ind w:firstLine="480"/>
        <w:jc w:val="center"/>
        <w:rPr>
          <w:rFonts w:ascii="Arial" w:hAnsi="Arial" w:cs="Arial"/>
          <w:b/>
          <w:bCs/>
          <w:color w:val="000000"/>
          <w:sz w:val="20"/>
          <w:szCs w:val="20"/>
        </w:rPr>
      </w:pPr>
      <w:proofErr w:type="gramStart"/>
      <w:r w:rsidRPr="00C901FB">
        <w:rPr>
          <w:rFonts w:ascii="Arial" w:hAnsi="Arial" w:cs="Arial"/>
          <w:b/>
          <w:bCs/>
          <w:color w:val="000000"/>
          <w:sz w:val="20"/>
          <w:szCs w:val="20"/>
        </w:rPr>
        <w:t>ПРИЛАГОЂАВАЊЕ ДОПРИНОСА ПО ОСНОВУ РИЗИЧНОГ ПРОФИЛА БАНКЕ</w:t>
      </w:r>
      <w:r w:rsidRPr="00C901FB">
        <w:rPr>
          <w:rFonts w:ascii="Arial" w:hAnsi="Arial" w:cs="Arial"/>
          <w:b/>
          <w:bCs/>
          <w:color w:val="000000"/>
          <w:sz w:val="20"/>
          <w:szCs w:val="20"/>
        </w:rPr>
        <w:br/>
        <w:t>са стањем на дан __________________20__.</w:t>
      </w:r>
      <w:proofErr w:type="gramEnd"/>
      <w:r w:rsidRPr="00C901FB">
        <w:rPr>
          <w:rFonts w:ascii="Arial" w:hAnsi="Arial" w:cs="Arial"/>
          <w:b/>
          <w:bCs/>
          <w:color w:val="000000"/>
          <w:sz w:val="20"/>
          <w:szCs w:val="20"/>
        </w:rPr>
        <w:t xml:space="preserve"> </w:t>
      </w:r>
      <w:proofErr w:type="gramStart"/>
      <w:r w:rsidRPr="00C901FB">
        <w:rPr>
          <w:rFonts w:ascii="Arial" w:hAnsi="Arial" w:cs="Arial"/>
          <w:b/>
          <w:bCs/>
          <w:color w:val="000000"/>
          <w:sz w:val="20"/>
          <w:szCs w:val="20"/>
        </w:rPr>
        <w:t>године</w:t>
      </w:r>
      <w:proofErr w:type="gramEnd"/>
    </w:p>
    <w:p w:rsidR="00C901FB" w:rsidRPr="00C901FB" w:rsidRDefault="00C901FB" w:rsidP="00C901FB">
      <w:pPr>
        <w:widowControl/>
        <w:autoSpaceDE/>
        <w:autoSpaceDN/>
        <w:spacing w:before="0" w:after="150"/>
        <w:ind w:firstLine="480"/>
        <w:jc w:val="right"/>
        <w:rPr>
          <w:rFonts w:ascii="Arial" w:hAnsi="Arial" w:cs="Arial"/>
          <w:color w:val="000000"/>
          <w:sz w:val="20"/>
          <w:szCs w:val="20"/>
        </w:rPr>
      </w:pPr>
      <w:r w:rsidRPr="00C901FB">
        <w:rPr>
          <w:rFonts w:ascii="Arial" w:hAnsi="Arial" w:cs="Arial"/>
          <w:color w:val="000000"/>
          <w:sz w:val="20"/>
          <w:szCs w:val="20"/>
        </w:rPr>
        <w:t>(</w:t>
      </w:r>
      <w:proofErr w:type="gramStart"/>
      <w:r w:rsidRPr="00C901FB">
        <w:rPr>
          <w:rFonts w:ascii="Arial" w:hAnsi="Arial" w:cs="Arial"/>
          <w:color w:val="000000"/>
          <w:sz w:val="20"/>
          <w:szCs w:val="20"/>
        </w:rPr>
        <w:t>у</w:t>
      </w:r>
      <w:proofErr w:type="gramEnd"/>
      <w:r w:rsidRPr="00C901FB">
        <w:rPr>
          <w:rFonts w:ascii="Arial" w:hAnsi="Arial" w:cs="Arial"/>
          <w:color w:val="000000"/>
          <w:sz w:val="20"/>
          <w:szCs w:val="20"/>
        </w:rPr>
        <w:t xml:space="preserve"> хиљадама динара)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61"/>
        <w:gridCol w:w="8793"/>
        <w:gridCol w:w="989"/>
      </w:tblGrid>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р.б.</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Опис</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Износ</w:t>
            </w:r>
          </w:p>
        </w:tc>
      </w:tr>
      <w:tr w:rsidR="00C901FB" w:rsidRPr="00C901FB" w:rsidTr="00A20094">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1. Изложеност ризику</w:t>
            </w: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1.1.</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Укупни супервизорски захтев за капиталом</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1.2.</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МКОTREA</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1.3.</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МКОTEМ</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1.4.</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Укупна пасива</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lastRenderedPageBreak/>
              <w:t>1.5.</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Капитал и укупне квалификоване подобне обавезе</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1.6.</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Остале подобне обавезе</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1.7.</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Показатељ степена задужености</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1.8.</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Основни акцијски капитал</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1.9.</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Ризична актива</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1.10.</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Показатељ адекватности основног акцијског капитала</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1.11.</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Укупна актива</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1.12.</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Однос ризичне активе и укупне активе</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2. Стабилност извора финансирања</w:t>
            </w: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2.1.</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Показатељ нето стабилних извора финансирања</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2.2.</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Показатељ покрића ликвидном активом</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3. Значај банке за финансијску стабилност</w:t>
            </w: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3.1.</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Укупан износ међубанкарских кредита и депозита</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r w:rsidRPr="00C901FB">
              <w:rPr>
                <w:rFonts w:ascii="Arial" w:hAnsi="Arial" w:cs="Arial"/>
                <w:b/>
                <w:bCs/>
                <w:color w:val="000000"/>
                <w:sz w:val="20"/>
                <w:szCs w:val="20"/>
              </w:rPr>
              <w:t>4. Додатни показатељи ризика</w:t>
            </w: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4.1.</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Вредност портфолија трговања</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4.2.</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Учешће портфолија трговања у укупној активи</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4.3.</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Износ ванбилансних изложености</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4.4.</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Учешће ванбилансних изложености у укупној активи</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4.5.</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Вредност послова са дериватима</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4.6.</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Учешће послова са дериватима у укупној активи</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4.7.</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Бруто НПЛ</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4.8.</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Укупни кредити</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4.9.</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Учешће бруто НПЛ у укупним кредитима</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4.10.</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Нето НПЛ</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4.11.</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Основни капитал</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4.12.</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Учешће нето НПЛ у основном капиталу</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4.13.</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Добитак/губитак након опорезивања</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4.14.</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Просечна актива</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4.15.</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ROA (након пореза)</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r w:rsidR="00C901FB" w:rsidRPr="00C901FB" w:rsidTr="00A20094">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4.16.</w:t>
            </w:r>
          </w:p>
        </w:tc>
        <w:tc>
          <w:tcPr>
            <w:tcW w:w="41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150"/>
              <w:rPr>
                <w:rFonts w:ascii="Arial" w:hAnsi="Arial" w:cs="Arial"/>
                <w:color w:val="000000"/>
                <w:sz w:val="20"/>
                <w:szCs w:val="20"/>
              </w:rPr>
            </w:pPr>
            <w:r w:rsidRPr="00C901FB">
              <w:rPr>
                <w:rFonts w:ascii="Arial" w:hAnsi="Arial" w:cs="Arial"/>
                <w:color w:val="000000"/>
                <w:sz w:val="20"/>
                <w:szCs w:val="20"/>
              </w:rPr>
              <w:t>Обим претходног коришћења ванредне финансијске подршке</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901FB" w:rsidRPr="00C901FB" w:rsidRDefault="00C901FB" w:rsidP="00C901FB">
            <w:pPr>
              <w:widowControl/>
              <w:autoSpaceDE/>
              <w:autoSpaceDN/>
              <w:spacing w:before="0" w:after="0"/>
              <w:rPr>
                <w:rFonts w:ascii="Arial" w:hAnsi="Arial" w:cs="Arial"/>
                <w:color w:val="000000"/>
                <w:sz w:val="20"/>
                <w:szCs w:val="20"/>
              </w:rPr>
            </w:pPr>
          </w:p>
        </w:tc>
      </w:tr>
    </w:tbl>
    <w:p w:rsidR="00C901FB" w:rsidRPr="00C901FB" w:rsidRDefault="00C901FB" w:rsidP="00C901FB">
      <w:pPr>
        <w:widowControl/>
        <w:autoSpaceDE/>
        <w:autoSpaceDN/>
        <w:spacing w:before="0" w:after="150"/>
        <w:ind w:firstLine="480"/>
        <w:rPr>
          <w:rFonts w:ascii="Arial" w:hAnsi="Arial" w:cs="Arial"/>
          <w:color w:val="000000"/>
          <w:sz w:val="20"/>
          <w:szCs w:val="20"/>
        </w:rPr>
      </w:pPr>
      <w:proofErr w:type="gramStart"/>
      <w:r w:rsidRPr="00C901FB">
        <w:rPr>
          <w:rFonts w:ascii="Arial" w:hAnsi="Arial" w:cs="Arial"/>
          <w:color w:val="000000"/>
          <w:sz w:val="20"/>
          <w:szCs w:val="20"/>
        </w:rPr>
        <w:t>У ____________, __.__.20__.</w:t>
      </w:r>
      <w:proofErr w:type="gramEnd"/>
      <w:r w:rsidRPr="00C901FB">
        <w:rPr>
          <w:rFonts w:ascii="Arial" w:hAnsi="Arial" w:cs="Arial"/>
          <w:color w:val="000000"/>
          <w:sz w:val="20"/>
          <w:szCs w:val="20"/>
        </w:rPr>
        <w:t xml:space="preserve"> </w:t>
      </w:r>
      <w:proofErr w:type="gramStart"/>
      <w:r w:rsidRPr="00C901FB">
        <w:rPr>
          <w:rFonts w:ascii="Arial" w:hAnsi="Arial" w:cs="Arial"/>
          <w:color w:val="000000"/>
          <w:sz w:val="20"/>
          <w:szCs w:val="20"/>
        </w:rPr>
        <w:t>године</w:t>
      </w:r>
      <w:proofErr w:type="gramEnd"/>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Извештај сачинио/ла:</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________________________</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w:t>
      </w:r>
      <w:proofErr w:type="gramStart"/>
      <w:r w:rsidRPr="00C901FB">
        <w:rPr>
          <w:rFonts w:ascii="Arial" w:hAnsi="Arial" w:cs="Arial"/>
          <w:color w:val="000000"/>
          <w:sz w:val="20"/>
          <w:szCs w:val="20"/>
        </w:rPr>
        <w:t>име</w:t>
      </w:r>
      <w:proofErr w:type="gramEnd"/>
      <w:r w:rsidRPr="00C901FB">
        <w:rPr>
          <w:rFonts w:ascii="Arial" w:hAnsi="Arial" w:cs="Arial"/>
          <w:color w:val="000000"/>
          <w:sz w:val="20"/>
          <w:szCs w:val="20"/>
        </w:rPr>
        <w:t xml:space="preserve"> и презиме)</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________________________</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w:t>
      </w:r>
      <w:proofErr w:type="gramStart"/>
      <w:r w:rsidRPr="00C901FB">
        <w:rPr>
          <w:rFonts w:ascii="Arial" w:hAnsi="Arial" w:cs="Arial"/>
          <w:color w:val="000000"/>
          <w:sz w:val="20"/>
          <w:szCs w:val="20"/>
        </w:rPr>
        <w:t>имејл</w:t>
      </w:r>
      <w:proofErr w:type="gramEnd"/>
      <w:r w:rsidRPr="00C901FB">
        <w:rPr>
          <w:rFonts w:ascii="Arial" w:hAnsi="Arial" w:cs="Arial"/>
          <w:color w:val="000000"/>
          <w:sz w:val="20"/>
          <w:szCs w:val="20"/>
        </w:rPr>
        <w:t xml:space="preserve"> адреса)</w:t>
      </w:r>
    </w:p>
    <w:p w:rsidR="00C901FB" w:rsidRPr="00C901FB" w:rsidRDefault="00C901FB" w:rsidP="00C901FB">
      <w:pPr>
        <w:widowControl/>
        <w:autoSpaceDE/>
        <w:autoSpaceDN/>
        <w:spacing w:before="0" w:after="150"/>
        <w:ind w:firstLine="480"/>
        <w:rPr>
          <w:rFonts w:ascii="Arial" w:hAnsi="Arial" w:cs="Arial"/>
          <w:color w:val="000000"/>
          <w:sz w:val="20"/>
          <w:szCs w:val="20"/>
        </w:rPr>
      </w:pPr>
      <w:r w:rsidRPr="00C901FB">
        <w:rPr>
          <w:rFonts w:ascii="Arial" w:hAnsi="Arial" w:cs="Arial"/>
          <w:color w:val="000000"/>
          <w:sz w:val="20"/>
          <w:szCs w:val="20"/>
        </w:rPr>
        <w:t>________________________</w:t>
      </w:r>
    </w:p>
    <w:p w:rsidR="00C901FB" w:rsidRDefault="00C901FB" w:rsidP="000078E1">
      <w:pPr>
        <w:widowControl/>
        <w:autoSpaceDE/>
        <w:autoSpaceDN/>
        <w:spacing w:before="0" w:after="150"/>
        <w:ind w:firstLine="480"/>
        <w:rPr>
          <w:rFonts w:ascii="Arial" w:hAnsi="Arial" w:cs="Arial"/>
          <w:color w:val="000000"/>
          <w:sz w:val="20"/>
          <w:szCs w:val="20"/>
          <w:lang w:val="sr-Latn-RS"/>
        </w:rPr>
      </w:pPr>
      <w:r w:rsidRPr="00C901FB">
        <w:rPr>
          <w:rFonts w:ascii="Arial" w:hAnsi="Arial" w:cs="Arial"/>
          <w:color w:val="000000"/>
          <w:sz w:val="20"/>
          <w:szCs w:val="20"/>
        </w:rPr>
        <w:t>(</w:t>
      </w:r>
      <w:proofErr w:type="gramStart"/>
      <w:r w:rsidRPr="00C901FB">
        <w:rPr>
          <w:rFonts w:ascii="Arial" w:hAnsi="Arial" w:cs="Arial"/>
          <w:color w:val="000000"/>
          <w:sz w:val="20"/>
          <w:szCs w:val="20"/>
        </w:rPr>
        <w:t>телефон</w:t>
      </w:r>
      <w:proofErr w:type="gramEnd"/>
      <w:r w:rsidRPr="00C901FB">
        <w:rPr>
          <w:rFonts w:ascii="Arial" w:hAnsi="Arial" w:cs="Arial"/>
          <w:color w:val="000000"/>
          <w:sz w:val="20"/>
          <w:szCs w:val="20"/>
        </w:rPr>
        <w:t xml:space="preserve"> за контакте)</w:t>
      </w:r>
      <w:bookmarkStart w:id="1" w:name="_GoBack"/>
      <w:bookmarkEnd w:id="1"/>
    </w:p>
    <w:sectPr w:rsidR="00C901FB"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078E1"/>
    <w:rsid w:val="00053AAD"/>
    <w:rsid w:val="0008331E"/>
    <w:rsid w:val="0009034D"/>
    <w:rsid w:val="000A02E2"/>
    <w:rsid w:val="000F08AE"/>
    <w:rsid w:val="0011524A"/>
    <w:rsid w:val="00147E3F"/>
    <w:rsid w:val="001647A9"/>
    <w:rsid w:val="001A581D"/>
    <w:rsid w:val="001A690E"/>
    <w:rsid w:val="001C6B43"/>
    <w:rsid w:val="001D2D04"/>
    <w:rsid w:val="001D4FD6"/>
    <w:rsid w:val="00216E5B"/>
    <w:rsid w:val="002549E8"/>
    <w:rsid w:val="00280660"/>
    <w:rsid w:val="002970E3"/>
    <w:rsid w:val="002B25F1"/>
    <w:rsid w:val="002D2C74"/>
    <w:rsid w:val="002D5750"/>
    <w:rsid w:val="002F676D"/>
    <w:rsid w:val="002F72D6"/>
    <w:rsid w:val="003750F5"/>
    <w:rsid w:val="003836E9"/>
    <w:rsid w:val="003B0F98"/>
    <w:rsid w:val="003B15CC"/>
    <w:rsid w:val="003B6DA6"/>
    <w:rsid w:val="003F20A9"/>
    <w:rsid w:val="0041004F"/>
    <w:rsid w:val="00427B92"/>
    <w:rsid w:val="004E6290"/>
    <w:rsid w:val="00514290"/>
    <w:rsid w:val="005531CB"/>
    <w:rsid w:val="00571AB9"/>
    <w:rsid w:val="005903D8"/>
    <w:rsid w:val="00596F24"/>
    <w:rsid w:val="00596F46"/>
    <w:rsid w:val="005F2AF0"/>
    <w:rsid w:val="00606F5D"/>
    <w:rsid w:val="006111BF"/>
    <w:rsid w:val="006150AB"/>
    <w:rsid w:val="006626C5"/>
    <w:rsid w:val="00674C25"/>
    <w:rsid w:val="0067634C"/>
    <w:rsid w:val="00690B45"/>
    <w:rsid w:val="00692B43"/>
    <w:rsid w:val="006C7AC1"/>
    <w:rsid w:val="006E4306"/>
    <w:rsid w:val="006E53D9"/>
    <w:rsid w:val="006F1485"/>
    <w:rsid w:val="00715A39"/>
    <w:rsid w:val="00717C55"/>
    <w:rsid w:val="0074509E"/>
    <w:rsid w:val="007579E6"/>
    <w:rsid w:val="007A21F2"/>
    <w:rsid w:val="007A7DC1"/>
    <w:rsid w:val="007C2C3D"/>
    <w:rsid w:val="007D3278"/>
    <w:rsid w:val="007E0789"/>
    <w:rsid w:val="007E346B"/>
    <w:rsid w:val="007E52B2"/>
    <w:rsid w:val="007F3D64"/>
    <w:rsid w:val="007F655C"/>
    <w:rsid w:val="008035DA"/>
    <w:rsid w:val="00826DCD"/>
    <w:rsid w:val="00855F57"/>
    <w:rsid w:val="008F43F5"/>
    <w:rsid w:val="0098450B"/>
    <w:rsid w:val="009A1F17"/>
    <w:rsid w:val="009E17AD"/>
    <w:rsid w:val="00A20094"/>
    <w:rsid w:val="00A22277"/>
    <w:rsid w:val="00A303D8"/>
    <w:rsid w:val="00A3252E"/>
    <w:rsid w:val="00A73C32"/>
    <w:rsid w:val="00AF5B6B"/>
    <w:rsid w:val="00B003AF"/>
    <w:rsid w:val="00B3102E"/>
    <w:rsid w:val="00B34C0C"/>
    <w:rsid w:val="00B77BDD"/>
    <w:rsid w:val="00B86859"/>
    <w:rsid w:val="00BB2E57"/>
    <w:rsid w:val="00BC5930"/>
    <w:rsid w:val="00BC5B96"/>
    <w:rsid w:val="00C35BC5"/>
    <w:rsid w:val="00C81BAE"/>
    <w:rsid w:val="00C901FB"/>
    <w:rsid w:val="00C93933"/>
    <w:rsid w:val="00CE343E"/>
    <w:rsid w:val="00D04589"/>
    <w:rsid w:val="00D23D60"/>
    <w:rsid w:val="00D41C33"/>
    <w:rsid w:val="00D64667"/>
    <w:rsid w:val="00D74FA2"/>
    <w:rsid w:val="00D84128"/>
    <w:rsid w:val="00DA5FEA"/>
    <w:rsid w:val="00DA63C7"/>
    <w:rsid w:val="00DC21B7"/>
    <w:rsid w:val="00DF0304"/>
    <w:rsid w:val="00DF14DF"/>
    <w:rsid w:val="00DF7E90"/>
    <w:rsid w:val="00E5259C"/>
    <w:rsid w:val="00E621AF"/>
    <w:rsid w:val="00E75990"/>
    <w:rsid w:val="00EB6ED1"/>
    <w:rsid w:val="00ED2638"/>
    <w:rsid w:val="00F01995"/>
    <w:rsid w:val="00F13AA6"/>
    <w:rsid w:val="00F14F79"/>
    <w:rsid w:val="00F578C4"/>
    <w:rsid w:val="00F65DDB"/>
    <w:rsid w:val="00F750CE"/>
    <w:rsid w:val="00F83656"/>
    <w:rsid w:val="00F943AF"/>
    <w:rsid w:val="00FB31EE"/>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39867743">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558055610">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895316909">
      <w:bodyDiv w:val="1"/>
      <w:marLeft w:val="0"/>
      <w:marRight w:val="0"/>
      <w:marTop w:val="0"/>
      <w:marBottom w:val="0"/>
      <w:divBdr>
        <w:top w:val="none" w:sz="0" w:space="0" w:color="auto"/>
        <w:left w:val="none" w:sz="0" w:space="0" w:color="auto"/>
        <w:bottom w:val="none" w:sz="0" w:space="0" w:color="auto"/>
        <w:right w:val="none" w:sz="0" w:space="0" w:color="auto"/>
      </w:divBdr>
    </w:div>
    <w:div w:id="975987251">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22752841">
      <w:bodyDiv w:val="1"/>
      <w:marLeft w:val="0"/>
      <w:marRight w:val="0"/>
      <w:marTop w:val="0"/>
      <w:marBottom w:val="0"/>
      <w:divBdr>
        <w:top w:val="none" w:sz="0" w:space="0" w:color="auto"/>
        <w:left w:val="none" w:sz="0" w:space="0" w:color="auto"/>
        <w:bottom w:val="none" w:sz="0" w:space="0" w:color="auto"/>
        <w:right w:val="none" w:sz="0" w:space="0" w:color="auto"/>
      </w:divBdr>
      <w:divsChild>
        <w:div w:id="505362581">
          <w:marLeft w:val="0"/>
          <w:marRight w:val="0"/>
          <w:marTop w:val="0"/>
          <w:marBottom w:val="0"/>
          <w:divBdr>
            <w:top w:val="none" w:sz="0" w:space="0" w:color="auto"/>
            <w:left w:val="none" w:sz="0" w:space="0" w:color="auto"/>
            <w:bottom w:val="none" w:sz="0" w:space="0" w:color="auto"/>
            <w:right w:val="none" w:sz="0" w:space="0" w:color="auto"/>
          </w:divBdr>
          <w:divsChild>
            <w:div w:id="1758817765">
              <w:marLeft w:val="0"/>
              <w:marRight w:val="0"/>
              <w:marTop w:val="0"/>
              <w:marBottom w:val="0"/>
              <w:divBdr>
                <w:top w:val="none" w:sz="0" w:space="0" w:color="auto"/>
                <w:left w:val="none" w:sz="0" w:space="0" w:color="auto"/>
                <w:bottom w:val="none" w:sz="0" w:space="0" w:color="auto"/>
                <w:right w:val="none" w:sz="0" w:space="0" w:color="auto"/>
              </w:divBdr>
            </w:div>
          </w:divsChild>
        </w:div>
        <w:div w:id="1031413927">
          <w:marLeft w:val="0"/>
          <w:marRight w:val="0"/>
          <w:marTop w:val="0"/>
          <w:marBottom w:val="0"/>
          <w:divBdr>
            <w:top w:val="none" w:sz="0" w:space="0" w:color="auto"/>
            <w:left w:val="none" w:sz="0" w:space="0" w:color="auto"/>
            <w:bottom w:val="none" w:sz="0" w:space="0" w:color="auto"/>
            <w:right w:val="none" w:sz="0" w:space="0" w:color="auto"/>
          </w:divBdr>
          <w:divsChild>
            <w:div w:id="1147237733">
              <w:marLeft w:val="0"/>
              <w:marRight w:val="0"/>
              <w:marTop w:val="0"/>
              <w:marBottom w:val="0"/>
              <w:divBdr>
                <w:top w:val="none" w:sz="0" w:space="0" w:color="auto"/>
                <w:left w:val="none" w:sz="0" w:space="0" w:color="auto"/>
                <w:bottom w:val="none" w:sz="0" w:space="0" w:color="auto"/>
                <w:right w:val="none" w:sz="0" w:space="0" w:color="auto"/>
              </w:divBdr>
            </w:div>
          </w:divsChild>
        </w:div>
        <w:div w:id="1673485133">
          <w:marLeft w:val="0"/>
          <w:marRight w:val="0"/>
          <w:marTop w:val="0"/>
          <w:marBottom w:val="0"/>
          <w:divBdr>
            <w:top w:val="none" w:sz="0" w:space="0" w:color="auto"/>
            <w:left w:val="none" w:sz="0" w:space="0" w:color="auto"/>
            <w:bottom w:val="none" w:sz="0" w:space="0" w:color="auto"/>
            <w:right w:val="none" w:sz="0" w:space="0" w:color="auto"/>
          </w:divBdr>
          <w:divsChild>
            <w:div w:id="972515985">
              <w:marLeft w:val="0"/>
              <w:marRight w:val="0"/>
              <w:marTop w:val="0"/>
              <w:marBottom w:val="0"/>
              <w:divBdr>
                <w:top w:val="none" w:sz="0" w:space="0" w:color="auto"/>
                <w:left w:val="none" w:sz="0" w:space="0" w:color="auto"/>
                <w:bottom w:val="none" w:sz="0" w:space="0" w:color="auto"/>
                <w:right w:val="none" w:sz="0" w:space="0" w:color="auto"/>
              </w:divBdr>
            </w:div>
          </w:divsChild>
        </w:div>
        <w:div w:id="1380589152">
          <w:marLeft w:val="0"/>
          <w:marRight w:val="0"/>
          <w:marTop w:val="0"/>
          <w:marBottom w:val="0"/>
          <w:divBdr>
            <w:top w:val="none" w:sz="0" w:space="0" w:color="auto"/>
            <w:left w:val="none" w:sz="0" w:space="0" w:color="auto"/>
            <w:bottom w:val="none" w:sz="0" w:space="0" w:color="auto"/>
            <w:right w:val="none" w:sz="0" w:space="0" w:color="auto"/>
          </w:divBdr>
          <w:divsChild>
            <w:div w:id="1012300320">
              <w:marLeft w:val="0"/>
              <w:marRight w:val="0"/>
              <w:marTop w:val="0"/>
              <w:marBottom w:val="0"/>
              <w:divBdr>
                <w:top w:val="none" w:sz="0" w:space="0" w:color="auto"/>
                <w:left w:val="none" w:sz="0" w:space="0" w:color="auto"/>
                <w:bottom w:val="none" w:sz="0" w:space="0" w:color="auto"/>
                <w:right w:val="none" w:sz="0" w:space="0" w:color="auto"/>
              </w:divBdr>
            </w:div>
          </w:divsChild>
        </w:div>
        <w:div w:id="1955822675">
          <w:marLeft w:val="0"/>
          <w:marRight w:val="0"/>
          <w:marTop w:val="0"/>
          <w:marBottom w:val="0"/>
          <w:divBdr>
            <w:top w:val="none" w:sz="0" w:space="0" w:color="auto"/>
            <w:left w:val="none" w:sz="0" w:space="0" w:color="auto"/>
            <w:bottom w:val="none" w:sz="0" w:space="0" w:color="auto"/>
            <w:right w:val="none" w:sz="0" w:space="0" w:color="auto"/>
          </w:divBdr>
          <w:divsChild>
            <w:div w:id="2112704634">
              <w:marLeft w:val="0"/>
              <w:marRight w:val="0"/>
              <w:marTop w:val="0"/>
              <w:marBottom w:val="0"/>
              <w:divBdr>
                <w:top w:val="none" w:sz="0" w:space="0" w:color="auto"/>
                <w:left w:val="none" w:sz="0" w:space="0" w:color="auto"/>
                <w:bottom w:val="none" w:sz="0" w:space="0" w:color="auto"/>
                <w:right w:val="none" w:sz="0" w:space="0" w:color="auto"/>
              </w:divBdr>
            </w:div>
          </w:divsChild>
        </w:div>
        <w:div w:id="1165515611">
          <w:marLeft w:val="0"/>
          <w:marRight w:val="0"/>
          <w:marTop w:val="0"/>
          <w:marBottom w:val="0"/>
          <w:divBdr>
            <w:top w:val="none" w:sz="0" w:space="0" w:color="auto"/>
            <w:left w:val="none" w:sz="0" w:space="0" w:color="auto"/>
            <w:bottom w:val="none" w:sz="0" w:space="0" w:color="auto"/>
            <w:right w:val="none" w:sz="0" w:space="0" w:color="auto"/>
          </w:divBdr>
          <w:divsChild>
            <w:div w:id="442456242">
              <w:marLeft w:val="0"/>
              <w:marRight w:val="0"/>
              <w:marTop w:val="0"/>
              <w:marBottom w:val="0"/>
              <w:divBdr>
                <w:top w:val="none" w:sz="0" w:space="0" w:color="auto"/>
                <w:left w:val="none" w:sz="0" w:space="0" w:color="auto"/>
                <w:bottom w:val="none" w:sz="0" w:space="0" w:color="auto"/>
                <w:right w:val="none" w:sz="0" w:space="0" w:color="auto"/>
              </w:divBdr>
            </w:div>
          </w:divsChild>
        </w:div>
        <w:div w:id="376904487">
          <w:marLeft w:val="0"/>
          <w:marRight w:val="0"/>
          <w:marTop w:val="0"/>
          <w:marBottom w:val="0"/>
          <w:divBdr>
            <w:top w:val="none" w:sz="0" w:space="0" w:color="auto"/>
            <w:left w:val="none" w:sz="0" w:space="0" w:color="auto"/>
            <w:bottom w:val="none" w:sz="0" w:space="0" w:color="auto"/>
            <w:right w:val="none" w:sz="0" w:space="0" w:color="auto"/>
          </w:divBdr>
          <w:divsChild>
            <w:div w:id="1306664045">
              <w:marLeft w:val="0"/>
              <w:marRight w:val="0"/>
              <w:marTop w:val="0"/>
              <w:marBottom w:val="0"/>
              <w:divBdr>
                <w:top w:val="none" w:sz="0" w:space="0" w:color="auto"/>
                <w:left w:val="none" w:sz="0" w:space="0" w:color="auto"/>
                <w:bottom w:val="none" w:sz="0" w:space="0" w:color="auto"/>
                <w:right w:val="none" w:sz="0" w:space="0" w:color="auto"/>
              </w:divBdr>
            </w:div>
          </w:divsChild>
        </w:div>
        <w:div w:id="1152722827">
          <w:marLeft w:val="0"/>
          <w:marRight w:val="0"/>
          <w:marTop w:val="0"/>
          <w:marBottom w:val="0"/>
          <w:divBdr>
            <w:top w:val="none" w:sz="0" w:space="0" w:color="auto"/>
            <w:left w:val="none" w:sz="0" w:space="0" w:color="auto"/>
            <w:bottom w:val="none" w:sz="0" w:space="0" w:color="auto"/>
            <w:right w:val="none" w:sz="0" w:space="0" w:color="auto"/>
          </w:divBdr>
          <w:divsChild>
            <w:div w:id="769663734">
              <w:marLeft w:val="0"/>
              <w:marRight w:val="0"/>
              <w:marTop w:val="0"/>
              <w:marBottom w:val="0"/>
              <w:divBdr>
                <w:top w:val="none" w:sz="0" w:space="0" w:color="auto"/>
                <w:left w:val="none" w:sz="0" w:space="0" w:color="auto"/>
                <w:bottom w:val="none" w:sz="0" w:space="0" w:color="auto"/>
                <w:right w:val="none" w:sz="0" w:space="0" w:color="auto"/>
              </w:divBdr>
            </w:div>
          </w:divsChild>
        </w:div>
        <w:div w:id="90710849">
          <w:marLeft w:val="0"/>
          <w:marRight w:val="0"/>
          <w:marTop w:val="0"/>
          <w:marBottom w:val="0"/>
          <w:divBdr>
            <w:top w:val="none" w:sz="0" w:space="0" w:color="auto"/>
            <w:left w:val="none" w:sz="0" w:space="0" w:color="auto"/>
            <w:bottom w:val="none" w:sz="0" w:space="0" w:color="auto"/>
            <w:right w:val="none" w:sz="0" w:space="0" w:color="auto"/>
          </w:divBdr>
          <w:divsChild>
            <w:div w:id="77755217">
              <w:marLeft w:val="0"/>
              <w:marRight w:val="0"/>
              <w:marTop w:val="0"/>
              <w:marBottom w:val="0"/>
              <w:divBdr>
                <w:top w:val="none" w:sz="0" w:space="0" w:color="auto"/>
                <w:left w:val="none" w:sz="0" w:space="0" w:color="auto"/>
                <w:bottom w:val="none" w:sz="0" w:space="0" w:color="auto"/>
                <w:right w:val="none" w:sz="0" w:space="0" w:color="auto"/>
              </w:divBdr>
            </w:div>
          </w:divsChild>
        </w:div>
        <w:div w:id="1705472448">
          <w:marLeft w:val="0"/>
          <w:marRight w:val="0"/>
          <w:marTop w:val="0"/>
          <w:marBottom w:val="0"/>
          <w:divBdr>
            <w:top w:val="none" w:sz="0" w:space="0" w:color="auto"/>
            <w:left w:val="none" w:sz="0" w:space="0" w:color="auto"/>
            <w:bottom w:val="none" w:sz="0" w:space="0" w:color="auto"/>
            <w:right w:val="none" w:sz="0" w:space="0" w:color="auto"/>
          </w:divBdr>
          <w:divsChild>
            <w:div w:id="1358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7516D-8AAD-47AB-B509-BD2CA242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7</cp:revision>
  <dcterms:created xsi:type="dcterms:W3CDTF">2025-06-18T12:00:00Z</dcterms:created>
  <dcterms:modified xsi:type="dcterms:W3CDTF">2025-06-18T12:02:00Z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