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7"/>
        <w:gridCol w:w="9292"/>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09477F" w:rsidRPr="0009477F" w:rsidRDefault="003836E9" w:rsidP="0009477F">
            <w:pPr>
              <w:pStyle w:val="NASLOVBELO"/>
              <w:rPr>
                <w:color w:val="FFE599"/>
                <w:lang w:val="en-US"/>
              </w:rPr>
            </w:pPr>
            <w:r w:rsidRPr="003836E9">
              <w:rPr>
                <w:color w:val="FFE599"/>
                <w:lang w:val="sr-Cyrl-RS"/>
              </w:rPr>
              <w:t>ПРАВИЛНИК</w:t>
            </w:r>
            <w:r w:rsidR="00216E5B" w:rsidRPr="00F750CE">
              <w:rPr>
                <w:color w:val="FFE599"/>
                <w:lang w:val="sr-Cyrl-RS"/>
              </w:rPr>
              <w:t xml:space="preserve"> </w:t>
            </w:r>
          </w:p>
          <w:p w:rsidR="003B15CC" w:rsidRPr="003836E9" w:rsidRDefault="0009477F" w:rsidP="0009477F">
            <w:pPr>
              <w:spacing w:line="276" w:lineRule="auto"/>
              <w:jc w:val="center"/>
              <w:rPr>
                <w:rFonts w:ascii="Arial" w:hAnsi="Arial" w:cs="Arial"/>
                <w:b/>
                <w:bCs/>
                <w:noProof/>
                <w:color w:val="FFFFFF"/>
                <w:kern w:val="28"/>
                <w:sz w:val="24"/>
                <w:szCs w:val="24"/>
                <w:lang w:eastAsia="sr-Latn-RS"/>
              </w:rPr>
            </w:pPr>
            <w:r w:rsidRPr="0009477F">
              <w:rPr>
                <w:rFonts w:ascii="Arial" w:hAnsi="Arial" w:cs="Arial"/>
                <w:b/>
                <w:bCs/>
                <w:noProof/>
                <w:color w:val="FFFFFF"/>
                <w:kern w:val="28"/>
                <w:sz w:val="24"/>
                <w:szCs w:val="24"/>
                <w:lang w:val="sr-Cyrl-RS" w:eastAsia="sr-Latn-RS"/>
              </w:rPr>
              <w:t>О УТВРЂИВАЊУ ПРОГРАМА МОНИТОРИНГА БЕЗБЕДНОСТИ ХРАНЕ ЗА 2025. ГОДИНУ</w:t>
            </w:r>
          </w:p>
          <w:p w:rsidR="00E621AF" w:rsidRPr="00B34C0C" w:rsidRDefault="003B15CC" w:rsidP="0009477F">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w:t>
            </w:r>
            <w:r w:rsidR="0009477F">
              <w:rPr>
                <w:sz w:val="22"/>
                <w:szCs w:val="22"/>
              </w:rPr>
              <w:t>3</w:t>
            </w:r>
            <w:r w:rsidR="007F3D64" w:rsidRPr="007F3D64">
              <w:rPr>
                <w:sz w:val="22"/>
                <w:szCs w:val="22"/>
              </w:rPr>
              <w:t>/202</w:t>
            </w:r>
            <w:r w:rsidR="007F3D64">
              <w:rPr>
                <w:sz w:val="22"/>
                <w:szCs w:val="22"/>
              </w:rPr>
              <w:t>5</w:t>
            </w:r>
            <w:r w:rsidR="007F3D64" w:rsidRPr="007F3D64">
              <w:rPr>
                <w:sz w:val="22"/>
                <w:szCs w:val="22"/>
              </w:rPr>
              <w:t>)</w:t>
            </w:r>
          </w:p>
        </w:tc>
      </w:tr>
    </w:tbl>
    <w:p w:rsidR="001A7041" w:rsidRPr="001A7041" w:rsidRDefault="001A7041" w:rsidP="001A7041">
      <w:pPr>
        <w:widowControl/>
        <w:autoSpaceDE/>
        <w:autoSpaceDN/>
        <w:spacing w:before="330" w:after="0"/>
        <w:ind w:firstLine="480"/>
        <w:jc w:val="center"/>
        <w:rPr>
          <w:rFonts w:ascii="Arial" w:hAnsi="Arial" w:cs="Arial"/>
          <w:color w:val="333333"/>
          <w:sz w:val="20"/>
          <w:szCs w:val="20"/>
        </w:rPr>
      </w:pPr>
      <w:bookmarkStart w:id="0" w:name="str_1"/>
      <w:bookmarkEnd w:id="0"/>
      <w:proofErr w:type="gramStart"/>
      <w:r w:rsidRPr="001A7041">
        <w:rPr>
          <w:rFonts w:ascii="Arial" w:hAnsi="Arial" w:cs="Arial"/>
          <w:color w:val="333333"/>
          <w:sz w:val="20"/>
          <w:szCs w:val="20"/>
        </w:rPr>
        <w:t>ПРОГРАМ</w:t>
      </w:r>
      <w:r w:rsidRPr="001A7041">
        <w:rPr>
          <w:rFonts w:ascii="Arial" w:hAnsi="Arial" w:cs="Arial"/>
          <w:color w:val="333333"/>
          <w:sz w:val="20"/>
          <w:szCs w:val="20"/>
        </w:rPr>
        <w:br/>
        <w:t>МОНИТОРИНГА БЕЗБЕДНОСТИ ХРАНЕ ЗА 2025.</w:t>
      </w:r>
      <w:proofErr w:type="gramEnd"/>
      <w:r w:rsidRPr="001A7041">
        <w:rPr>
          <w:rFonts w:ascii="Arial" w:hAnsi="Arial" w:cs="Arial"/>
          <w:color w:val="333333"/>
          <w:sz w:val="20"/>
          <w:szCs w:val="20"/>
        </w:rPr>
        <w:t xml:space="preserve"> ГОДИНУ</w:t>
      </w:r>
    </w:p>
    <w:p w:rsidR="001A7041" w:rsidRPr="001A7041" w:rsidRDefault="001A7041" w:rsidP="001A7041">
      <w:pPr>
        <w:widowControl/>
        <w:autoSpaceDE/>
        <w:autoSpaceDN/>
        <w:spacing w:before="330"/>
        <w:ind w:firstLine="480"/>
        <w:jc w:val="center"/>
        <w:rPr>
          <w:rFonts w:ascii="Arial" w:hAnsi="Arial" w:cs="Arial"/>
          <w:b/>
          <w:bCs/>
          <w:color w:val="333333"/>
          <w:sz w:val="20"/>
          <w:szCs w:val="20"/>
        </w:rPr>
      </w:pPr>
      <w:r w:rsidRPr="001A7041">
        <w:rPr>
          <w:rFonts w:ascii="Arial" w:hAnsi="Arial" w:cs="Arial"/>
          <w:b/>
          <w:bCs/>
          <w:color w:val="333333"/>
          <w:sz w:val="20"/>
          <w:szCs w:val="20"/>
        </w:rPr>
        <w:t>I. Потребна средства за финансирање Програма мониторинга</w:t>
      </w:r>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За спровођење Програма мониторинга безбедности хране, средства су обезбеђена у буџету Републике Србије за 2025.</w:t>
      </w:r>
      <w:proofErr w:type="gramEnd"/>
      <w:r w:rsidRPr="001A7041">
        <w:rPr>
          <w:rFonts w:ascii="Arial" w:hAnsi="Arial" w:cs="Arial"/>
          <w:color w:val="333333"/>
          <w:sz w:val="20"/>
          <w:szCs w:val="20"/>
        </w:rPr>
        <w:t xml:space="preserve"> годину, на разделу 27 – Министарство здравља, Програм 1801 – Уређење и надзор у области здравства, Програмска активност 0003 – Санитарни надзор, економска класификација 465 – Остале дотације и трансфери, у износу од 53.300.000,00 динара, од чега за Програм мониторинга безбедности хране у износу од 26.649.234,00 динара.</w:t>
      </w:r>
    </w:p>
    <w:p w:rsidR="001A7041" w:rsidRPr="001A7041" w:rsidRDefault="001A7041" w:rsidP="001A7041">
      <w:pPr>
        <w:widowControl/>
        <w:autoSpaceDE/>
        <w:autoSpaceDN/>
        <w:spacing w:before="330"/>
        <w:ind w:firstLine="480"/>
        <w:jc w:val="center"/>
        <w:rPr>
          <w:rFonts w:ascii="Arial" w:hAnsi="Arial" w:cs="Arial"/>
          <w:b/>
          <w:bCs/>
          <w:color w:val="333333"/>
          <w:sz w:val="20"/>
          <w:szCs w:val="20"/>
        </w:rPr>
      </w:pPr>
      <w:r w:rsidRPr="001A7041">
        <w:rPr>
          <w:rFonts w:ascii="Arial" w:hAnsi="Arial" w:cs="Arial"/>
          <w:b/>
          <w:bCs/>
          <w:color w:val="333333"/>
          <w:sz w:val="20"/>
          <w:szCs w:val="20"/>
        </w:rPr>
        <w:t>II. Мере које ће се предузети у случају присуства физичких, хемијских и биолошких контаминената и других неусаглашености</w:t>
      </w:r>
    </w:p>
    <w:p w:rsidR="001A7041" w:rsidRPr="001A7041" w:rsidRDefault="001A7041" w:rsidP="001A7041">
      <w:pPr>
        <w:widowControl/>
        <w:autoSpaceDE/>
        <w:autoSpaceDN/>
        <w:spacing w:before="0" w:after="150"/>
        <w:ind w:firstLine="480"/>
        <w:rPr>
          <w:rFonts w:ascii="Arial" w:hAnsi="Arial" w:cs="Arial"/>
          <w:color w:val="333333"/>
          <w:sz w:val="20"/>
          <w:szCs w:val="20"/>
        </w:rPr>
      </w:pPr>
      <w:r w:rsidRPr="001A7041">
        <w:rPr>
          <w:rFonts w:ascii="Arial" w:hAnsi="Arial" w:cs="Arial"/>
          <w:color w:val="333333"/>
          <w:sz w:val="20"/>
          <w:szCs w:val="20"/>
        </w:rPr>
        <w:t>У случају да се утврди присуство физичких, хемијских и биолошких контаминената, односно неусаглашености са прописаним вредностима и других неусаглашености, надлежни орган спроводи и то:</w:t>
      </w:r>
    </w:p>
    <w:p w:rsidR="001A7041" w:rsidRPr="001A7041" w:rsidRDefault="001A7041" w:rsidP="001A7041">
      <w:pPr>
        <w:widowControl/>
        <w:autoSpaceDE/>
        <w:autoSpaceDN/>
        <w:spacing w:before="0" w:after="150"/>
        <w:ind w:firstLine="480"/>
        <w:rPr>
          <w:rFonts w:ascii="Arial" w:hAnsi="Arial" w:cs="Arial"/>
          <w:color w:val="333333"/>
          <w:sz w:val="20"/>
          <w:szCs w:val="20"/>
        </w:rPr>
      </w:pPr>
      <w:r w:rsidRPr="001A7041">
        <w:rPr>
          <w:rFonts w:ascii="Arial" w:hAnsi="Arial" w:cs="Arial"/>
          <w:color w:val="333333"/>
          <w:sz w:val="20"/>
          <w:szCs w:val="20"/>
        </w:rPr>
        <w:t xml:space="preserve">1) </w:t>
      </w:r>
      <w:proofErr w:type="gramStart"/>
      <w:r w:rsidRPr="001A7041">
        <w:rPr>
          <w:rFonts w:ascii="Arial" w:hAnsi="Arial" w:cs="Arial"/>
          <w:color w:val="333333"/>
          <w:sz w:val="20"/>
          <w:szCs w:val="20"/>
        </w:rPr>
        <w:t>активности</w:t>
      </w:r>
      <w:proofErr w:type="gramEnd"/>
      <w:r w:rsidRPr="001A7041">
        <w:rPr>
          <w:rFonts w:ascii="Arial" w:hAnsi="Arial" w:cs="Arial"/>
          <w:color w:val="333333"/>
          <w:sz w:val="20"/>
          <w:szCs w:val="20"/>
        </w:rPr>
        <w:t xml:space="preserve"> како би се осигурало да субјекат у пословању храном исправи недостатак, узимајући у обзир природу неусаглашености и претходне случајеве неусаглашености истог субјекта у пословању;</w:t>
      </w:r>
    </w:p>
    <w:p w:rsidR="001A7041" w:rsidRPr="001A7041" w:rsidRDefault="001A7041" w:rsidP="001A7041">
      <w:pPr>
        <w:widowControl/>
        <w:autoSpaceDE/>
        <w:autoSpaceDN/>
        <w:spacing w:before="0" w:after="150"/>
        <w:ind w:firstLine="480"/>
        <w:rPr>
          <w:rFonts w:ascii="Arial" w:hAnsi="Arial" w:cs="Arial"/>
          <w:color w:val="333333"/>
          <w:sz w:val="20"/>
          <w:szCs w:val="20"/>
        </w:rPr>
      </w:pPr>
      <w:r w:rsidRPr="001A7041">
        <w:rPr>
          <w:rFonts w:ascii="Arial" w:hAnsi="Arial" w:cs="Arial"/>
          <w:color w:val="333333"/>
          <w:sz w:val="20"/>
          <w:szCs w:val="20"/>
        </w:rPr>
        <w:t xml:space="preserve">2) </w:t>
      </w:r>
      <w:proofErr w:type="gramStart"/>
      <w:r w:rsidRPr="001A7041">
        <w:rPr>
          <w:rFonts w:ascii="Arial" w:hAnsi="Arial" w:cs="Arial"/>
          <w:color w:val="333333"/>
          <w:sz w:val="20"/>
          <w:szCs w:val="20"/>
        </w:rPr>
        <w:t>мере</w:t>
      </w:r>
      <w:proofErr w:type="gramEnd"/>
      <w:r w:rsidRPr="001A7041">
        <w:rPr>
          <w:rFonts w:ascii="Arial" w:hAnsi="Arial" w:cs="Arial"/>
          <w:color w:val="333333"/>
          <w:sz w:val="20"/>
          <w:szCs w:val="20"/>
        </w:rPr>
        <w:t>, укључујући узимање службеног узорка, за које се сматра да су потребне како би се осигурала безбедност хране или усаглашеност са прописима о храни;</w:t>
      </w:r>
    </w:p>
    <w:p w:rsidR="001A7041" w:rsidRPr="001A7041" w:rsidRDefault="001A7041" w:rsidP="001A7041">
      <w:pPr>
        <w:widowControl/>
        <w:autoSpaceDE/>
        <w:autoSpaceDN/>
        <w:spacing w:before="0" w:after="150"/>
        <w:ind w:firstLine="480"/>
        <w:rPr>
          <w:rFonts w:ascii="Arial" w:hAnsi="Arial" w:cs="Arial"/>
          <w:color w:val="333333"/>
          <w:sz w:val="20"/>
          <w:szCs w:val="20"/>
        </w:rPr>
      </w:pPr>
      <w:r w:rsidRPr="001A7041">
        <w:rPr>
          <w:rFonts w:ascii="Arial" w:hAnsi="Arial" w:cs="Arial"/>
          <w:color w:val="333333"/>
          <w:sz w:val="20"/>
          <w:szCs w:val="20"/>
        </w:rPr>
        <w:t xml:space="preserve">3) </w:t>
      </w:r>
      <w:proofErr w:type="gramStart"/>
      <w:r w:rsidRPr="001A7041">
        <w:rPr>
          <w:rFonts w:ascii="Arial" w:hAnsi="Arial" w:cs="Arial"/>
          <w:color w:val="333333"/>
          <w:sz w:val="20"/>
          <w:szCs w:val="20"/>
        </w:rPr>
        <w:t>забране</w:t>
      </w:r>
      <w:proofErr w:type="gramEnd"/>
      <w:r w:rsidRPr="001A7041">
        <w:rPr>
          <w:rFonts w:ascii="Arial" w:hAnsi="Arial" w:cs="Arial"/>
          <w:color w:val="333333"/>
          <w:sz w:val="20"/>
          <w:szCs w:val="20"/>
        </w:rPr>
        <w:t xml:space="preserve"> промета;</w:t>
      </w:r>
    </w:p>
    <w:p w:rsidR="001A7041" w:rsidRPr="001A7041" w:rsidRDefault="001A7041" w:rsidP="001A7041">
      <w:pPr>
        <w:widowControl/>
        <w:autoSpaceDE/>
        <w:autoSpaceDN/>
        <w:spacing w:before="0" w:after="150"/>
        <w:ind w:firstLine="480"/>
        <w:rPr>
          <w:rFonts w:ascii="Arial" w:hAnsi="Arial" w:cs="Arial"/>
          <w:color w:val="333333"/>
          <w:sz w:val="20"/>
          <w:szCs w:val="20"/>
        </w:rPr>
      </w:pPr>
      <w:r w:rsidRPr="001A7041">
        <w:rPr>
          <w:rFonts w:ascii="Arial" w:hAnsi="Arial" w:cs="Arial"/>
          <w:color w:val="333333"/>
          <w:sz w:val="20"/>
          <w:szCs w:val="20"/>
        </w:rPr>
        <w:t xml:space="preserve">4) </w:t>
      </w:r>
      <w:proofErr w:type="gramStart"/>
      <w:r w:rsidRPr="001A7041">
        <w:rPr>
          <w:rFonts w:ascii="Arial" w:hAnsi="Arial" w:cs="Arial"/>
          <w:color w:val="333333"/>
          <w:sz w:val="20"/>
          <w:szCs w:val="20"/>
        </w:rPr>
        <w:t>мере</w:t>
      </w:r>
      <w:proofErr w:type="gramEnd"/>
      <w:r w:rsidRPr="001A7041">
        <w:rPr>
          <w:rFonts w:ascii="Arial" w:hAnsi="Arial" w:cs="Arial"/>
          <w:color w:val="333333"/>
          <w:sz w:val="20"/>
          <w:szCs w:val="20"/>
        </w:rPr>
        <w:t xml:space="preserve"> којима се привремено забрањује употреба објекта, просторија, опреме на одређени временски период;</w:t>
      </w:r>
    </w:p>
    <w:p w:rsidR="001A7041" w:rsidRPr="001A7041" w:rsidRDefault="001A7041" w:rsidP="001A7041">
      <w:pPr>
        <w:widowControl/>
        <w:autoSpaceDE/>
        <w:autoSpaceDN/>
        <w:spacing w:before="0" w:after="150"/>
        <w:ind w:firstLine="480"/>
        <w:rPr>
          <w:rFonts w:ascii="Arial" w:hAnsi="Arial" w:cs="Arial"/>
          <w:color w:val="333333"/>
          <w:sz w:val="20"/>
          <w:szCs w:val="20"/>
        </w:rPr>
      </w:pPr>
      <w:r w:rsidRPr="001A7041">
        <w:rPr>
          <w:rFonts w:ascii="Arial" w:hAnsi="Arial" w:cs="Arial"/>
          <w:color w:val="333333"/>
          <w:sz w:val="20"/>
          <w:szCs w:val="20"/>
        </w:rPr>
        <w:t xml:space="preserve">5) </w:t>
      </w:r>
      <w:proofErr w:type="gramStart"/>
      <w:r w:rsidRPr="001A7041">
        <w:rPr>
          <w:rFonts w:ascii="Arial" w:hAnsi="Arial" w:cs="Arial"/>
          <w:color w:val="333333"/>
          <w:sz w:val="20"/>
          <w:szCs w:val="20"/>
        </w:rPr>
        <w:t>друге</w:t>
      </w:r>
      <w:proofErr w:type="gramEnd"/>
      <w:r w:rsidRPr="001A7041">
        <w:rPr>
          <w:rFonts w:ascii="Arial" w:hAnsi="Arial" w:cs="Arial"/>
          <w:color w:val="333333"/>
          <w:sz w:val="20"/>
          <w:szCs w:val="20"/>
        </w:rPr>
        <w:t xml:space="preserve"> мере и предузимају друге одговарајуће радње.</w:t>
      </w:r>
    </w:p>
    <w:p w:rsidR="001A7041" w:rsidRPr="001A7041" w:rsidRDefault="001A7041" w:rsidP="001A7041">
      <w:pPr>
        <w:widowControl/>
        <w:autoSpaceDE/>
        <w:autoSpaceDN/>
        <w:spacing w:before="330"/>
        <w:ind w:firstLine="480"/>
        <w:jc w:val="center"/>
        <w:rPr>
          <w:rFonts w:ascii="Arial" w:hAnsi="Arial" w:cs="Arial"/>
          <w:b/>
          <w:bCs/>
          <w:color w:val="333333"/>
          <w:sz w:val="20"/>
          <w:szCs w:val="20"/>
        </w:rPr>
      </w:pPr>
      <w:r w:rsidRPr="001A7041">
        <w:rPr>
          <w:rFonts w:ascii="Arial" w:hAnsi="Arial" w:cs="Arial"/>
          <w:b/>
          <w:bCs/>
          <w:color w:val="333333"/>
          <w:sz w:val="20"/>
          <w:szCs w:val="20"/>
        </w:rPr>
        <w:t>III. Структура органа и организација за спровођење програма</w:t>
      </w:r>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Програм мониторинга спроводи министарство надлежно за послове здравља преко института и завода за јавно здравље у сарадњи са санитарном инспекцијом.</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Лабораторијска испитивања из Програма мониторинга врше овлашћене лабораторије института и завода за јавно здравље.</w:t>
      </w:r>
      <w:proofErr w:type="gramEnd"/>
    </w:p>
    <w:p w:rsidR="001A7041" w:rsidRPr="001A7041" w:rsidRDefault="001A7041" w:rsidP="001A7041">
      <w:pPr>
        <w:widowControl/>
        <w:autoSpaceDE/>
        <w:autoSpaceDN/>
        <w:spacing w:before="330"/>
        <w:ind w:firstLine="480"/>
        <w:jc w:val="center"/>
        <w:rPr>
          <w:rFonts w:ascii="Arial" w:hAnsi="Arial" w:cs="Arial"/>
          <w:b/>
          <w:bCs/>
          <w:color w:val="333333"/>
          <w:sz w:val="20"/>
          <w:szCs w:val="20"/>
        </w:rPr>
      </w:pPr>
      <w:r w:rsidRPr="001A7041">
        <w:rPr>
          <w:rFonts w:ascii="Arial" w:hAnsi="Arial" w:cs="Arial"/>
          <w:b/>
          <w:bCs/>
          <w:color w:val="333333"/>
          <w:sz w:val="20"/>
          <w:szCs w:val="20"/>
        </w:rPr>
        <w:t>IV. Други параметри од значаја за спровођење Програма мониторинга</w:t>
      </w:r>
    </w:p>
    <w:p w:rsidR="001A7041" w:rsidRPr="001A7041" w:rsidRDefault="001A7041" w:rsidP="001A7041">
      <w:pPr>
        <w:widowControl/>
        <w:autoSpaceDE/>
        <w:autoSpaceDN/>
        <w:spacing w:before="330"/>
        <w:ind w:firstLine="480"/>
        <w:jc w:val="center"/>
        <w:rPr>
          <w:rFonts w:ascii="Arial" w:hAnsi="Arial" w:cs="Arial"/>
          <w:i/>
          <w:iCs/>
          <w:color w:val="333333"/>
          <w:sz w:val="20"/>
          <w:szCs w:val="20"/>
        </w:rPr>
      </w:pPr>
      <w:r w:rsidRPr="001A7041">
        <w:rPr>
          <w:rFonts w:ascii="Arial" w:hAnsi="Arial" w:cs="Arial"/>
          <w:i/>
          <w:iCs/>
          <w:color w:val="333333"/>
          <w:sz w:val="20"/>
          <w:szCs w:val="20"/>
        </w:rPr>
        <w:t>1. План мониторинга</w:t>
      </w:r>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План мониторинга којим се одређује врста анализа, врста хране која ће се анализирати, број узорака који ће се користити приликом анализе дат је у Табели 1 – План мониторинга хране за 2025.</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годину</w:t>
      </w:r>
      <w:proofErr w:type="gramEnd"/>
      <w:r w:rsidRPr="001A7041">
        <w:rPr>
          <w:rFonts w:ascii="Arial" w:hAnsi="Arial" w:cs="Arial"/>
          <w:color w:val="333333"/>
          <w:sz w:val="20"/>
          <w:szCs w:val="20"/>
        </w:rPr>
        <w:t>.</w:t>
      </w:r>
    </w:p>
    <w:p w:rsidR="001A7041" w:rsidRPr="001A7041" w:rsidRDefault="001A7041" w:rsidP="001A7041">
      <w:pPr>
        <w:widowControl/>
        <w:autoSpaceDE/>
        <w:autoSpaceDN/>
        <w:spacing w:before="0" w:after="0"/>
        <w:ind w:firstLine="480"/>
        <w:rPr>
          <w:rFonts w:ascii="Arial" w:hAnsi="Arial" w:cs="Arial"/>
          <w:color w:val="333333"/>
          <w:sz w:val="20"/>
          <w:szCs w:val="20"/>
        </w:rPr>
      </w:pPr>
      <w:proofErr w:type="gramStart"/>
      <w:r w:rsidRPr="001A7041">
        <w:rPr>
          <w:rFonts w:ascii="Arial" w:hAnsi="Arial" w:cs="Arial"/>
          <w:b/>
          <w:bCs/>
          <w:color w:val="333333"/>
          <w:sz w:val="20"/>
          <w:szCs w:val="20"/>
        </w:rPr>
        <w:t>Табела 1.</w:t>
      </w:r>
      <w:proofErr w:type="gramEnd"/>
      <w:r w:rsidRPr="001A7041">
        <w:rPr>
          <w:rFonts w:ascii="Arial" w:hAnsi="Arial" w:cs="Arial"/>
          <w:color w:val="333333"/>
          <w:sz w:val="20"/>
          <w:szCs w:val="20"/>
        </w:rPr>
        <w:t> </w:t>
      </w:r>
      <w:proofErr w:type="gramStart"/>
      <w:r w:rsidRPr="001A7041">
        <w:rPr>
          <w:rFonts w:ascii="Arial" w:hAnsi="Arial" w:cs="Arial"/>
          <w:color w:val="333333"/>
          <w:sz w:val="20"/>
          <w:szCs w:val="20"/>
        </w:rPr>
        <w:t>План мониторинга хране за 2025.</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годину</w:t>
      </w:r>
      <w:proofErr w:type="gramEnd"/>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25"/>
        <w:gridCol w:w="1323"/>
        <w:gridCol w:w="2095"/>
        <w:gridCol w:w="1239"/>
        <w:gridCol w:w="831"/>
        <w:gridCol w:w="884"/>
        <w:gridCol w:w="3262"/>
      </w:tblGrid>
      <w:tr w:rsidR="001A7041" w:rsidRPr="001A7041" w:rsidTr="001A7041">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План мониторинга хране за 2025. годину</w:t>
            </w:r>
          </w:p>
        </w:tc>
      </w:tr>
      <w:tr w:rsidR="001A7041" w:rsidRPr="001A7041" w:rsidTr="001A7041">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Институти и заводи за јавно здравље (мрежа)</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Редни број</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Предмет испитивања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Опасност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Место узорковања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Укупан број узорака</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Динамика узорковања по кварталима (К) у 2025. години</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Параметри испитивања</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1.</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 xml:space="preserve">Почетне </w:t>
            </w:r>
            <w:r w:rsidRPr="001A7041">
              <w:rPr>
                <w:rFonts w:ascii="Arial" w:hAnsi="Arial" w:cs="Arial"/>
                <w:color w:val="333333"/>
                <w:sz w:val="20"/>
                <w:szCs w:val="20"/>
              </w:rPr>
              <w:lastRenderedPageBreak/>
              <w:t>формуле за одојчад</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 xml:space="preserve">Неправилности у </w:t>
            </w:r>
            <w:r w:rsidRPr="001A7041">
              <w:rPr>
                <w:rFonts w:ascii="Arial" w:hAnsi="Arial" w:cs="Arial"/>
                <w:color w:val="333333"/>
                <w:sz w:val="20"/>
                <w:szCs w:val="20"/>
              </w:rPr>
              <w:lastRenderedPageBreak/>
              <w:t>декларацији, одступање од максимално дозвољених концентрација контаминената, садржаја глутена,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 xml:space="preserve">Промет на </w:t>
            </w:r>
            <w:r w:rsidRPr="001A7041">
              <w:rPr>
                <w:rFonts w:ascii="Arial" w:hAnsi="Arial" w:cs="Arial"/>
                <w:color w:val="333333"/>
                <w:sz w:val="20"/>
                <w:szCs w:val="20"/>
              </w:rPr>
              <w:lastRenderedPageBreak/>
              <w:t>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100</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 xml:space="preserve">Преглед декларације са </w:t>
            </w:r>
            <w:r w:rsidRPr="001A7041">
              <w:rPr>
                <w:rFonts w:ascii="Arial" w:hAnsi="Arial" w:cs="Arial"/>
                <w:color w:val="333333"/>
                <w:sz w:val="20"/>
                <w:szCs w:val="20"/>
              </w:rPr>
              <w:lastRenderedPageBreak/>
              <w:t>провером здравствене изјаве; садржај глутена; садржај олова, кадмијума, живе, арсена; садржај афлатоксина М1; Salmonella spp.; Listeria monocytogenes; Cronoobacter sakazakii</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2.</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Прелазне формуле за одојчад</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Неправилности у декларацији, одступање од максимално дозвољених концентрација контаминената, садржаја глутена,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Промет на 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84</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Преглед декларације са провером здравствене изјаве; садржај глутена; садржај олова, кадмијума, живе, арсена; садржај афлатоксина М1; Salmonella spp. Listeria monocytogenes; Cronoobacter sakazakii</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3.</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Храна за одојчад и малу децу (прерађене намирнице на бази жита, са глутеном)</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Неправилности у декларацији, одступање од максимално дозвољених концентрација контаминената,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Промет на 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84</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Преглед декларације са провером здравствене изјаве; садржај олова, кадмијума, живе, арсена; Salmonella spp.sulfitoredukujuće klostridije</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4.</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Храна за одојчад и малу децу (прерађене намирнице на бази жита, без глутена)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Неправилности у декларацији, одступање од максимално дозвољених концентрација контаминената, садржаја глутена,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Промет на 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120</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Преглед декларације са провером здравствене изјаве; садржај глутена; садржај олова, кадмијума, живе, арсена; Salmonella spp.; sulfitoredukujuće klostridije</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5.</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Храна за одојчад и малу децу (остале прерађене намиринице, са глутеном)</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Неправилности у декларацији, одступање од максимално дозвољених концентрација контаминената,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Промет на 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84</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Преглед декларације са провером здравствене изјаве; садржај олова, кадмијума, живе, арсена; Salmonella spp.Listeria monocytogenes; sulfitoredukujuće klostridije</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6.</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Храна за одојчад и малу децу (остале прерађене намиринице, без глутена)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Неправилности у декларацији, одступање од максимално дозвољених концентрација контаминената, садржаја глутена,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Промет на 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120</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Преглед декларације са провером здравствене изјаве; садржај глутена; садржај олова, кадмијума, живе, арсена; Salmonella spp; Listeria monocytogenes; sulfitoredukujuće klostridije</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7.</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 xml:space="preserve">Додаци исхрани (дијететски </w:t>
            </w:r>
            <w:r w:rsidRPr="001A7041">
              <w:rPr>
                <w:rFonts w:ascii="Arial" w:hAnsi="Arial" w:cs="Arial"/>
                <w:color w:val="333333"/>
                <w:sz w:val="20"/>
                <w:szCs w:val="20"/>
              </w:rPr>
              <w:lastRenderedPageBreak/>
              <w:t>суплементи) витаминско-минералног састава без биљних састојака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 xml:space="preserve">Неправилности у декларацији, одступање од </w:t>
            </w:r>
            <w:r w:rsidRPr="001A7041">
              <w:rPr>
                <w:rFonts w:ascii="Arial" w:hAnsi="Arial" w:cs="Arial"/>
                <w:color w:val="333333"/>
                <w:sz w:val="20"/>
                <w:szCs w:val="20"/>
              </w:rPr>
              <w:lastRenderedPageBreak/>
              <w:t>максимално дозвољених концентрација контаминената,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 xml:space="preserve">Промет на мало, укључујући </w:t>
            </w:r>
            <w:r w:rsidRPr="001A7041">
              <w:rPr>
                <w:rFonts w:ascii="Arial" w:hAnsi="Arial" w:cs="Arial"/>
                <w:color w:val="333333"/>
                <w:sz w:val="20"/>
                <w:szCs w:val="20"/>
              </w:rPr>
              <w:lastRenderedPageBreak/>
              <w:t>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170</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 xml:space="preserve">Преглед декларације са провером здравствене изјаве; садржај олова, кадмијума, живе; </w:t>
            </w:r>
            <w:r w:rsidRPr="001A7041">
              <w:rPr>
                <w:rFonts w:ascii="Arial" w:hAnsi="Arial" w:cs="Arial"/>
                <w:color w:val="333333"/>
                <w:sz w:val="20"/>
                <w:szCs w:val="20"/>
              </w:rPr>
              <w:lastRenderedPageBreak/>
              <w:t>Salmonella spp.</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8.</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Храна за особе интоларентне на глутен</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Неправилности у декларацији, одступање од максимално дозвољених концентрација контаминената, садржај глутена,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Промет на 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90</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Преглед декларације са провером здравствене изјаве; садржај глутена; садржај олова, кадмијума, живе, арсена; Salmonella spp.</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9.</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Со за исхрану људи и производњу хране</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Неправилности у декларацији, одступање од основног састава, одступање од прописаног садржаја калијум јодида/јодата, pH, одступање од максимално дозвољених концентрација контаминената</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Промет на 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123</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Преглед декларације; садржај натријум хлорида, калијум јодида/јодата; pH вредност; садржај олова, кадмијума, живе, арсена, бакра.</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10.</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Вода за пиће у оригиналној амбалажи</w:t>
            </w:r>
          </w:p>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(природна минерална вода)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Неправилности у декларацији. неодговарајућа физичко-хемијска својства, одступање од максимално дозвољених концентрација контаминената,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Промет на 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507</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r w:rsidRPr="001A7041">
              <w:rPr>
                <w:rFonts w:ascii="Arial" w:hAnsi="Arial" w:cs="Arial"/>
                <w:color w:val="333333"/>
                <w:sz w:val="20"/>
                <w:szCs w:val="20"/>
              </w:rPr>
              <w:t>Преглед декларације, способност оксидације (утрошак KMnO4), нитрати, нитрити, pH вредност, одређивање броја аеробних мезофилних бактерија, одређивање броја аеробних бактерија, одређивање броја колиформних бактерија, одређивање броја </w:t>
            </w:r>
            <w:r w:rsidRPr="001A7041">
              <w:rPr>
                <w:rFonts w:ascii="Arial" w:hAnsi="Arial" w:cs="Arial"/>
                <w:i/>
                <w:iCs/>
                <w:color w:val="333333"/>
                <w:sz w:val="20"/>
                <w:szCs w:val="20"/>
              </w:rPr>
              <w:t>Escherichia coli,</w:t>
            </w:r>
            <w:r w:rsidRPr="001A7041">
              <w:rPr>
                <w:rFonts w:ascii="Arial" w:hAnsi="Arial" w:cs="Arial"/>
                <w:color w:val="333333"/>
                <w:sz w:val="20"/>
                <w:szCs w:val="20"/>
              </w:rPr>
              <w:t> одређивање присуства и броја стрептокока фекалног порекла, одређивање броја сулфиторедукујућих клостридија, одређивање присуства и броја Pseudomonas aeruginosa</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11.</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Вода за пиће у оригиналној амбалажи (природна изворска вода)</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Неправилности у декларацији, неодговарајућа физичко-хемијска својства, одступање од максимално дозвољених концентрација контаминената,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Промет на мало, 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192</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r w:rsidRPr="001A7041">
              <w:rPr>
                <w:rFonts w:ascii="Arial" w:hAnsi="Arial" w:cs="Arial"/>
                <w:color w:val="333333"/>
                <w:sz w:val="20"/>
                <w:szCs w:val="20"/>
              </w:rPr>
              <w:t>Преглед декларације, способност оксидације (утрошак KMnO4), нитрати, нитрити, pH вредност, одређивање броја аеробних мезофилних бактерија, одређивање броја аеробних бактерија, одређивање броја колиформних бактерија, одређивање броја </w:t>
            </w:r>
            <w:r w:rsidRPr="001A7041">
              <w:rPr>
                <w:rFonts w:ascii="Arial" w:hAnsi="Arial" w:cs="Arial"/>
                <w:i/>
                <w:iCs/>
                <w:color w:val="333333"/>
                <w:sz w:val="20"/>
                <w:szCs w:val="20"/>
              </w:rPr>
              <w:t>Escherichia coli,</w:t>
            </w:r>
            <w:r w:rsidRPr="001A7041">
              <w:rPr>
                <w:rFonts w:ascii="Arial" w:hAnsi="Arial" w:cs="Arial"/>
                <w:color w:val="333333"/>
                <w:sz w:val="20"/>
                <w:szCs w:val="20"/>
              </w:rPr>
              <w:t> одређивање присуства и броја стрептокока фекалног порекла, одређивање броја сулфиторедукујућих клостридија, одређивање присуства и броја </w:t>
            </w:r>
            <w:r w:rsidRPr="001A7041">
              <w:rPr>
                <w:rFonts w:ascii="Arial" w:hAnsi="Arial" w:cs="Arial"/>
                <w:i/>
                <w:iCs/>
                <w:color w:val="333333"/>
                <w:sz w:val="20"/>
                <w:szCs w:val="20"/>
              </w:rPr>
              <w:t>Pseudomonas aeruginosa</w:t>
            </w:r>
          </w:p>
        </w:tc>
      </w:tr>
      <w:tr w:rsidR="001A7041" w:rsidRPr="001A7041" w:rsidTr="001A7041">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12.</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 xml:space="preserve">Вода за пиће у оригиналној амбалажи за </w:t>
            </w:r>
            <w:r w:rsidRPr="001A7041">
              <w:rPr>
                <w:rFonts w:ascii="Arial" w:hAnsi="Arial" w:cs="Arial"/>
                <w:color w:val="333333"/>
                <w:sz w:val="20"/>
                <w:szCs w:val="20"/>
              </w:rPr>
              <w:lastRenderedPageBreak/>
              <w:t>апарате за воду (бидони)</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 xml:space="preserve">Неправилности у декларацији, неодговарајућа физичко-хемијска </w:t>
            </w:r>
            <w:r w:rsidRPr="001A7041">
              <w:rPr>
                <w:rFonts w:ascii="Arial" w:hAnsi="Arial" w:cs="Arial"/>
                <w:color w:val="333333"/>
                <w:sz w:val="20"/>
                <w:szCs w:val="20"/>
              </w:rPr>
              <w:lastRenderedPageBreak/>
              <w:t>својства, одступање од максимално дозвољених концентрација контаминената, бисфенол А, микробиолошка неисправност</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 xml:space="preserve">Промет на мало, промет на велико, </w:t>
            </w:r>
            <w:r w:rsidRPr="001A7041">
              <w:rPr>
                <w:rFonts w:ascii="Arial" w:hAnsi="Arial" w:cs="Arial"/>
                <w:color w:val="333333"/>
                <w:sz w:val="20"/>
                <w:szCs w:val="20"/>
              </w:rPr>
              <w:lastRenderedPageBreak/>
              <w:t>укључујући и магацине готових производа произвођача</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lastRenderedPageBreak/>
              <w:t>84</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2.3</w:t>
            </w:r>
          </w:p>
        </w:tc>
        <w:tc>
          <w:tcPr>
            <w:tcW w:w="15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r w:rsidRPr="001A7041">
              <w:rPr>
                <w:rFonts w:ascii="Arial" w:hAnsi="Arial" w:cs="Arial"/>
                <w:color w:val="333333"/>
                <w:sz w:val="20"/>
                <w:szCs w:val="20"/>
              </w:rPr>
              <w:t xml:space="preserve">Преглед декларације, способност оксидације (утрошак KMnO4), нитрати, нитрити, pH вредност, одређивање садржаја бисфенола </w:t>
            </w:r>
            <w:r w:rsidRPr="001A7041">
              <w:rPr>
                <w:rFonts w:ascii="Arial" w:hAnsi="Arial" w:cs="Arial"/>
                <w:color w:val="333333"/>
                <w:sz w:val="20"/>
                <w:szCs w:val="20"/>
              </w:rPr>
              <w:lastRenderedPageBreak/>
              <w:t>А, одређивање броја аеробних мезофилних бактерија, одређивање броја аеробних бактерија, одређивање броја колиформних бактерија, одређивање броја </w:t>
            </w:r>
            <w:r w:rsidRPr="001A7041">
              <w:rPr>
                <w:rFonts w:ascii="Arial" w:hAnsi="Arial" w:cs="Arial"/>
                <w:i/>
                <w:iCs/>
                <w:color w:val="333333"/>
                <w:sz w:val="20"/>
                <w:szCs w:val="20"/>
              </w:rPr>
              <w:t>Escherichia coli,</w:t>
            </w:r>
            <w:r w:rsidRPr="001A7041">
              <w:rPr>
                <w:rFonts w:ascii="Arial" w:hAnsi="Arial" w:cs="Arial"/>
                <w:color w:val="333333"/>
                <w:sz w:val="20"/>
                <w:szCs w:val="20"/>
              </w:rPr>
              <w:t> одређивање присуства и броја стрептокока фекалног порекла, одређивање броја сулфиторедукујућих клостридија, одређивање присуства и броја </w:t>
            </w:r>
            <w:r w:rsidRPr="001A7041">
              <w:rPr>
                <w:rFonts w:ascii="Arial" w:hAnsi="Arial" w:cs="Arial"/>
                <w:i/>
                <w:iCs/>
                <w:color w:val="333333"/>
                <w:sz w:val="20"/>
                <w:szCs w:val="20"/>
              </w:rPr>
              <w:t>Pseudomonas aeruginosa</w:t>
            </w:r>
          </w:p>
        </w:tc>
      </w:tr>
    </w:tbl>
    <w:p w:rsidR="001A7041" w:rsidRPr="001A7041" w:rsidRDefault="001A7041" w:rsidP="001A7041">
      <w:pPr>
        <w:widowControl/>
        <w:autoSpaceDE/>
        <w:autoSpaceDN/>
        <w:spacing w:before="330"/>
        <w:ind w:firstLine="480"/>
        <w:jc w:val="center"/>
        <w:rPr>
          <w:rFonts w:ascii="Arial" w:hAnsi="Arial" w:cs="Arial"/>
          <w:i/>
          <w:iCs/>
          <w:color w:val="333333"/>
          <w:sz w:val="20"/>
          <w:szCs w:val="20"/>
        </w:rPr>
      </w:pPr>
      <w:r w:rsidRPr="001A7041">
        <w:rPr>
          <w:rFonts w:ascii="Arial" w:hAnsi="Arial" w:cs="Arial"/>
          <w:i/>
          <w:iCs/>
          <w:color w:val="333333"/>
          <w:sz w:val="20"/>
          <w:szCs w:val="20"/>
        </w:rPr>
        <w:lastRenderedPageBreak/>
        <w:t>2. Услови и начин узимања и чувања узорка, лабораторијске методе и начин извештавања</w:t>
      </w:r>
    </w:p>
    <w:p w:rsidR="001A7041" w:rsidRPr="001A7041" w:rsidRDefault="001A7041" w:rsidP="001A7041">
      <w:pPr>
        <w:widowControl/>
        <w:autoSpaceDE/>
        <w:autoSpaceDN/>
        <w:spacing w:before="330"/>
        <w:ind w:firstLine="480"/>
        <w:jc w:val="center"/>
        <w:rPr>
          <w:rFonts w:ascii="Arial" w:hAnsi="Arial" w:cs="Arial"/>
          <w:color w:val="333333"/>
          <w:sz w:val="20"/>
          <w:szCs w:val="20"/>
        </w:rPr>
      </w:pPr>
      <w:r w:rsidRPr="001A7041">
        <w:rPr>
          <w:rFonts w:ascii="Arial" w:hAnsi="Arial" w:cs="Arial"/>
          <w:color w:val="333333"/>
          <w:sz w:val="20"/>
          <w:szCs w:val="20"/>
        </w:rPr>
        <w:t>2.1. Одређивање броја узорака, врсте испитивања и начина извештавања</w:t>
      </w:r>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Број узорака и врсту испитивања на нивоу управног округа, одређује надлежни орган у складу са Табелом 1.</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овог</w:t>
      </w:r>
      <w:proofErr w:type="gramEnd"/>
      <w:r w:rsidRPr="001A7041">
        <w:rPr>
          <w:rFonts w:ascii="Arial" w:hAnsi="Arial" w:cs="Arial"/>
          <w:color w:val="333333"/>
          <w:sz w:val="20"/>
          <w:szCs w:val="20"/>
        </w:rPr>
        <w:t xml:space="preserve"> програма. </w:t>
      </w:r>
      <w:proofErr w:type="gramStart"/>
      <w:r w:rsidRPr="001A7041">
        <w:rPr>
          <w:rFonts w:ascii="Arial" w:hAnsi="Arial" w:cs="Arial"/>
          <w:color w:val="333333"/>
          <w:sz w:val="20"/>
          <w:szCs w:val="20"/>
        </w:rPr>
        <w:t>Извештај о спровођењу Плана мониторинга доставља се надлежном органу на кварталном нивоу у форми збирне табеле чија је садржина дата у Табели 2 – Извештај о спровођењу Плана мониторинга.</w:t>
      </w:r>
      <w:proofErr w:type="gramEnd"/>
    </w:p>
    <w:p w:rsidR="001A7041" w:rsidRPr="001A7041" w:rsidRDefault="001A7041" w:rsidP="001A7041">
      <w:pPr>
        <w:widowControl/>
        <w:autoSpaceDE/>
        <w:autoSpaceDN/>
        <w:spacing w:before="330"/>
        <w:ind w:firstLine="480"/>
        <w:jc w:val="center"/>
        <w:rPr>
          <w:rFonts w:ascii="Arial" w:hAnsi="Arial" w:cs="Arial"/>
          <w:color w:val="333333"/>
          <w:sz w:val="20"/>
          <w:szCs w:val="20"/>
        </w:rPr>
      </w:pPr>
      <w:r w:rsidRPr="001A7041">
        <w:rPr>
          <w:rFonts w:ascii="Arial" w:hAnsi="Arial" w:cs="Arial"/>
          <w:color w:val="333333"/>
          <w:sz w:val="20"/>
          <w:szCs w:val="20"/>
        </w:rPr>
        <w:t>2.2. Поступак за узимање узорака</w:t>
      </w:r>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Узимање узорака хране за потребе спровођења мониторинга обавља санитарна инспекција у сарадњи са овлашћеним лабораторијама института/завода за јавно здравље за испитивање узорака у оквиру мониторинга хране.</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Службени узорак узима се у складу са условима који су прописани у овом одељку.</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У случају да се утврди присуство микробиолошких, хемијских и биолошких опасности, спроводи се службена контрола.</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Узорци за микробиолошка испитивања узимају се асептично помоћу стерилног прибора, у стерилне посуде/стерилне кесе, водећи рачуна да не дође до контаминације узорка из околине и/или са површине амбалаже.</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Узорци за хемијска испитивања пакују се у паковања која су хемијски неутрална.</w:t>
      </w:r>
      <w:proofErr w:type="gramEnd"/>
    </w:p>
    <w:p w:rsidR="001A7041" w:rsidRPr="001A7041" w:rsidRDefault="001A7041" w:rsidP="001A7041">
      <w:pPr>
        <w:widowControl/>
        <w:autoSpaceDE/>
        <w:autoSpaceDN/>
        <w:spacing w:before="330"/>
        <w:ind w:firstLine="480"/>
        <w:jc w:val="center"/>
        <w:rPr>
          <w:rFonts w:ascii="Arial" w:hAnsi="Arial" w:cs="Arial"/>
          <w:color w:val="333333"/>
          <w:sz w:val="20"/>
          <w:szCs w:val="20"/>
        </w:rPr>
      </w:pPr>
      <w:r w:rsidRPr="001A7041">
        <w:rPr>
          <w:rFonts w:ascii="Arial" w:hAnsi="Arial" w:cs="Arial"/>
          <w:color w:val="333333"/>
          <w:sz w:val="20"/>
          <w:szCs w:val="20"/>
        </w:rPr>
        <w:t>2.3. Обележавање узорака</w:t>
      </w:r>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Храна узоркована у мониторингу се обележава одговарајућом ознаком и доставља институту/заводу за јавно здравље на анализу, уз записник о узорковању чија је садржина наведена у Табели 3 – Записник о узимању узорака хране.</w:t>
      </w:r>
      <w:proofErr w:type="gramEnd"/>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У институту/заводу за јавно здравље се приликом пријема узорка за анализе попуњава записник о пријему узорка, чија је садржина дата у Табели 4 – Попуњени записник о пријему узорка доставља се санитарном инспектору који је спровео узорковање.</w:t>
      </w:r>
      <w:proofErr w:type="gramEnd"/>
    </w:p>
    <w:p w:rsidR="001A7041" w:rsidRPr="001A7041" w:rsidRDefault="001A7041" w:rsidP="001A7041">
      <w:pPr>
        <w:widowControl/>
        <w:autoSpaceDE/>
        <w:autoSpaceDN/>
        <w:spacing w:before="330"/>
        <w:ind w:firstLine="480"/>
        <w:jc w:val="center"/>
        <w:rPr>
          <w:rFonts w:ascii="Arial" w:hAnsi="Arial" w:cs="Arial"/>
          <w:color w:val="333333"/>
          <w:sz w:val="20"/>
          <w:szCs w:val="20"/>
        </w:rPr>
      </w:pPr>
      <w:r w:rsidRPr="001A7041">
        <w:rPr>
          <w:rFonts w:ascii="Arial" w:hAnsi="Arial" w:cs="Arial"/>
          <w:color w:val="333333"/>
          <w:sz w:val="20"/>
          <w:szCs w:val="20"/>
        </w:rPr>
        <w:t>2.4. Чување и транспорт свих врста узорака</w:t>
      </w:r>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Чување и транспорт узорака до почетка лабораторијских испитивања треба да буде такав да не дође до промена интегритета узорка, контаминације узорка, промене његових сензорских карактеристика.</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Храна се након узорковања мора допремити у институт/завод за јавно здравље у периоду не дужем од 24 часа од тренутка узимања.</w:t>
      </w:r>
      <w:proofErr w:type="gramEnd"/>
      <w:r w:rsidRPr="001A7041">
        <w:rPr>
          <w:rFonts w:ascii="Arial" w:hAnsi="Arial" w:cs="Arial"/>
          <w:color w:val="333333"/>
          <w:sz w:val="20"/>
          <w:szCs w:val="20"/>
        </w:rPr>
        <w:t xml:space="preserve"> Узорци за микробилошка испитивања транспортују се на начин да транспортна посуда и/или возило за транспорт одржавају температуру хране до +4 °C, односно замрзнутих производа до -18 °C. </w:t>
      </w:r>
      <w:proofErr w:type="gramStart"/>
      <w:r w:rsidRPr="001A7041">
        <w:rPr>
          <w:rFonts w:ascii="Arial" w:hAnsi="Arial" w:cs="Arial"/>
          <w:color w:val="333333"/>
          <w:sz w:val="20"/>
          <w:szCs w:val="20"/>
        </w:rPr>
        <w:t>Узорци за хемијска испитивања се не замрзавају.</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Током транспорта и чувања незамрзнутих узорака до испитивања не сме доћи до замрзавања.</w:t>
      </w:r>
      <w:proofErr w:type="gramEnd"/>
    </w:p>
    <w:p w:rsidR="001A7041" w:rsidRPr="001A7041" w:rsidRDefault="001A7041" w:rsidP="001A7041">
      <w:pPr>
        <w:widowControl/>
        <w:autoSpaceDE/>
        <w:autoSpaceDN/>
        <w:spacing w:before="330"/>
        <w:ind w:firstLine="480"/>
        <w:jc w:val="center"/>
        <w:rPr>
          <w:rFonts w:ascii="Arial" w:hAnsi="Arial" w:cs="Arial"/>
          <w:color w:val="333333"/>
          <w:sz w:val="20"/>
          <w:szCs w:val="20"/>
        </w:rPr>
      </w:pPr>
      <w:r w:rsidRPr="001A7041">
        <w:rPr>
          <w:rFonts w:ascii="Arial" w:hAnsi="Arial" w:cs="Arial"/>
          <w:color w:val="333333"/>
          <w:sz w:val="20"/>
          <w:szCs w:val="20"/>
        </w:rPr>
        <w:t>2.5. Узорковање у промету на велико и промету на мало</w:t>
      </w:r>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Узорковање хране у промету на велико и промету на мало врши се узимањем узорка кога чини једна јединица оригинално запаковане хране или количина која је потребна за вршење одређених испитивања.</w:t>
      </w:r>
      <w:proofErr w:type="gramEnd"/>
    </w:p>
    <w:p w:rsidR="001A7041" w:rsidRPr="001A7041" w:rsidRDefault="001A7041" w:rsidP="001A7041">
      <w:pPr>
        <w:widowControl/>
        <w:autoSpaceDE/>
        <w:autoSpaceDN/>
        <w:spacing w:before="330"/>
        <w:ind w:firstLine="480"/>
        <w:jc w:val="center"/>
        <w:rPr>
          <w:rFonts w:ascii="Arial" w:hAnsi="Arial" w:cs="Arial"/>
          <w:color w:val="333333"/>
          <w:sz w:val="20"/>
          <w:szCs w:val="20"/>
        </w:rPr>
      </w:pPr>
      <w:r w:rsidRPr="001A7041">
        <w:rPr>
          <w:rFonts w:ascii="Arial" w:hAnsi="Arial" w:cs="Arial"/>
          <w:color w:val="333333"/>
          <w:sz w:val="20"/>
          <w:szCs w:val="20"/>
        </w:rPr>
        <w:t>2.6. Испитивање узорака хране</w:t>
      </w:r>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t>Испитивање узорака хране у оквиру Програма мониторинга врши се у институтима/заводима за јавно здравље.</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Резултати испитивања се достављају надлежном органу без одлагања, а најкасније до 14 дана од дана узорковања.</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У току спровођења Програма мониторинга методе које се користе за испитивање узорака морају бити акредитоване и/или валидоване у складу са захтевима прописа којим се уређује здравствена исправност/безбедност предмета опште употребе.</w:t>
      </w:r>
      <w:proofErr w:type="gramEnd"/>
    </w:p>
    <w:p w:rsidR="001A7041" w:rsidRPr="001A7041" w:rsidRDefault="001A7041" w:rsidP="001A7041">
      <w:pPr>
        <w:widowControl/>
        <w:autoSpaceDE/>
        <w:autoSpaceDN/>
        <w:spacing w:before="0" w:after="150"/>
        <w:ind w:firstLine="480"/>
        <w:rPr>
          <w:rFonts w:ascii="Arial" w:hAnsi="Arial" w:cs="Arial"/>
          <w:color w:val="333333"/>
          <w:sz w:val="20"/>
          <w:szCs w:val="20"/>
        </w:rPr>
      </w:pPr>
      <w:proofErr w:type="gramStart"/>
      <w:r w:rsidRPr="001A7041">
        <w:rPr>
          <w:rFonts w:ascii="Arial" w:hAnsi="Arial" w:cs="Arial"/>
          <w:color w:val="333333"/>
          <w:sz w:val="20"/>
          <w:szCs w:val="20"/>
        </w:rPr>
        <w:lastRenderedPageBreak/>
        <w:t>Институт за јавно здравље Србије је дужан да на основу резултата спроведеног Програма мониторинга, достави Министарству извештај о здравственој исправности хране на територији Републике Србије са стручном анализом и предлогом мера, најкасније до 31.</w:t>
      </w:r>
      <w:proofErr w:type="gramEnd"/>
      <w:r w:rsidRPr="001A7041">
        <w:rPr>
          <w:rFonts w:ascii="Arial" w:hAnsi="Arial" w:cs="Arial"/>
          <w:color w:val="333333"/>
          <w:sz w:val="20"/>
          <w:szCs w:val="20"/>
        </w:rPr>
        <w:t xml:space="preserve"> </w:t>
      </w:r>
      <w:proofErr w:type="gramStart"/>
      <w:r w:rsidRPr="001A7041">
        <w:rPr>
          <w:rFonts w:ascii="Arial" w:hAnsi="Arial" w:cs="Arial"/>
          <w:color w:val="333333"/>
          <w:sz w:val="20"/>
          <w:szCs w:val="20"/>
        </w:rPr>
        <w:t>јула</w:t>
      </w:r>
      <w:proofErr w:type="gramEnd"/>
      <w:r w:rsidRPr="001A7041">
        <w:rPr>
          <w:rFonts w:ascii="Arial" w:hAnsi="Arial" w:cs="Arial"/>
          <w:color w:val="333333"/>
          <w:sz w:val="20"/>
          <w:szCs w:val="20"/>
        </w:rPr>
        <w:t xml:space="preserve"> текуће године за првих шест месеци и до 31. </w:t>
      </w:r>
      <w:proofErr w:type="gramStart"/>
      <w:r w:rsidRPr="001A7041">
        <w:rPr>
          <w:rFonts w:ascii="Arial" w:hAnsi="Arial" w:cs="Arial"/>
          <w:color w:val="333333"/>
          <w:sz w:val="20"/>
          <w:szCs w:val="20"/>
        </w:rPr>
        <w:t>јануара</w:t>
      </w:r>
      <w:proofErr w:type="gramEnd"/>
      <w:r w:rsidRPr="001A7041">
        <w:rPr>
          <w:rFonts w:ascii="Arial" w:hAnsi="Arial" w:cs="Arial"/>
          <w:color w:val="333333"/>
          <w:sz w:val="20"/>
          <w:szCs w:val="20"/>
        </w:rPr>
        <w:t xml:space="preserve"> наредне године за претходну годину.</w:t>
      </w:r>
    </w:p>
    <w:p w:rsidR="001A7041" w:rsidRPr="001A7041" w:rsidRDefault="001A7041" w:rsidP="001A7041">
      <w:pPr>
        <w:widowControl/>
        <w:autoSpaceDE/>
        <w:autoSpaceDN/>
        <w:spacing w:before="0" w:after="150"/>
        <w:ind w:firstLine="480"/>
        <w:rPr>
          <w:rFonts w:ascii="Arial" w:hAnsi="Arial" w:cs="Arial"/>
          <w:color w:val="333333"/>
          <w:sz w:val="20"/>
          <w:szCs w:val="20"/>
        </w:rPr>
      </w:pPr>
      <w:r w:rsidRPr="001A7041">
        <w:rPr>
          <w:rFonts w:ascii="Arial" w:hAnsi="Arial" w:cs="Arial"/>
          <w:color w:val="333333"/>
          <w:sz w:val="20"/>
          <w:szCs w:val="20"/>
        </w:rPr>
        <w:t>ПРИЛОЗИ:</w:t>
      </w:r>
    </w:p>
    <w:p w:rsidR="001A7041" w:rsidRPr="001A7041" w:rsidRDefault="001A7041" w:rsidP="001A7041">
      <w:pPr>
        <w:widowControl/>
        <w:autoSpaceDE/>
        <w:autoSpaceDN/>
        <w:spacing w:before="0" w:after="0"/>
        <w:ind w:firstLine="480"/>
        <w:rPr>
          <w:rFonts w:ascii="Arial" w:hAnsi="Arial" w:cs="Arial"/>
          <w:color w:val="333333"/>
          <w:sz w:val="20"/>
          <w:szCs w:val="20"/>
        </w:rPr>
      </w:pPr>
      <w:proofErr w:type="gramStart"/>
      <w:r w:rsidRPr="001A7041">
        <w:rPr>
          <w:rFonts w:ascii="Arial" w:hAnsi="Arial" w:cs="Arial"/>
          <w:b/>
          <w:bCs/>
          <w:color w:val="333333"/>
          <w:sz w:val="20"/>
          <w:szCs w:val="20"/>
        </w:rPr>
        <w:t>Табела 2.</w:t>
      </w:r>
      <w:proofErr w:type="gramEnd"/>
      <w:r w:rsidRPr="001A7041">
        <w:rPr>
          <w:rFonts w:ascii="Arial" w:hAnsi="Arial" w:cs="Arial"/>
          <w:color w:val="333333"/>
          <w:sz w:val="20"/>
          <w:szCs w:val="20"/>
        </w:rPr>
        <w:t> Извештај о спровођењу Плана мониторинга хране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4"/>
        <w:gridCol w:w="1165"/>
        <w:gridCol w:w="1165"/>
        <w:gridCol w:w="1087"/>
        <w:gridCol w:w="1186"/>
        <w:gridCol w:w="1186"/>
        <w:gridCol w:w="1058"/>
        <w:gridCol w:w="1690"/>
        <w:gridCol w:w="1048"/>
      </w:tblGrid>
      <w:tr w:rsidR="001A7041" w:rsidRPr="001A7041" w:rsidTr="001A7041">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 xml:space="preserve">Р. </w:t>
            </w:r>
            <w:proofErr w:type="gramStart"/>
            <w:r w:rsidRPr="001A7041">
              <w:rPr>
                <w:rFonts w:ascii="Arial" w:hAnsi="Arial" w:cs="Arial"/>
                <w:color w:val="333333"/>
                <w:sz w:val="20"/>
                <w:szCs w:val="20"/>
              </w:rPr>
              <w:t>бр</w:t>
            </w:r>
            <w:proofErr w:type="gramEnd"/>
            <w:r w:rsidRPr="001A7041">
              <w:rPr>
                <w:rFonts w:ascii="Arial" w:hAnsi="Arial" w:cs="Arial"/>
                <w:color w:val="333333"/>
                <w:sz w:val="20"/>
                <w:szCs w:val="20"/>
              </w:rPr>
              <w:t>. узорка</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Датум узорковања</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Место узорковања</w:t>
            </w:r>
          </w:p>
        </w:tc>
        <w:tc>
          <w:tcPr>
            <w:tcW w:w="9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Назив и адреса субјекта у пословању храном</w:t>
            </w:r>
          </w:p>
        </w:tc>
        <w:tc>
          <w:tcPr>
            <w:tcW w:w="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Предмет испитивања (врста узорка)</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Врста испитивања (опасности)</w:t>
            </w:r>
          </w:p>
        </w:tc>
        <w:tc>
          <w:tcPr>
            <w:tcW w:w="5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Број службених узорака</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Утврђене неусаглашености</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150"/>
              <w:rPr>
                <w:rFonts w:ascii="Arial" w:hAnsi="Arial" w:cs="Arial"/>
                <w:color w:val="333333"/>
                <w:sz w:val="20"/>
                <w:szCs w:val="20"/>
              </w:rPr>
            </w:pPr>
            <w:r w:rsidRPr="001A7041">
              <w:rPr>
                <w:rFonts w:ascii="Arial" w:hAnsi="Arial" w:cs="Arial"/>
                <w:color w:val="333333"/>
                <w:sz w:val="20"/>
                <w:szCs w:val="20"/>
              </w:rPr>
              <w:t>Предузете мере</w:t>
            </w:r>
          </w:p>
        </w:tc>
      </w:tr>
      <w:tr w:rsidR="001A7041" w:rsidRPr="001A7041" w:rsidTr="001A7041">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p>
        </w:tc>
        <w:tc>
          <w:tcPr>
            <w:tcW w:w="9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p>
        </w:tc>
        <w:tc>
          <w:tcPr>
            <w:tcW w:w="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p>
        </w:tc>
        <w:tc>
          <w:tcPr>
            <w:tcW w:w="5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A7041" w:rsidRPr="001A7041" w:rsidRDefault="001A7041" w:rsidP="001A7041">
            <w:pPr>
              <w:widowControl/>
              <w:autoSpaceDE/>
              <w:autoSpaceDN/>
              <w:spacing w:before="0" w:after="0"/>
              <w:rPr>
                <w:rFonts w:ascii="Arial" w:hAnsi="Arial" w:cs="Arial"/>
                <w:color w:val="333333"/>
                <w:sz w:val="20"/>
                <w:szCs w:val="20"/>
              </w:rPr>
            </w:pPr>
          </w:p>
        </w:tc>
      </w:tr>
    </w:tbl>
    <w:p w:rsidR="001A7041" w:rsidRPr="001A7041" w:rsidRDefault="001A7041" w:rsidP="001A7041">
      <w:pPr>
        <w:widowControl/>
        <w:autoSpaceDE/>
        <w:autoSpaceDN/>
        <w:spacing w:before="0" w:after="0"/>
        <w:ind w:firstLine="480"/>
        <w:jc w:val="center"/>
        <w:rPr>
          <w:rFonts w:ascii="Arial" w:hAnsi="Arial" w:cs="Arial"/>
          <w:color w:val="333333"/>
          <w:sz w:val="20"/>
          <w:szCs w:val="20"/>
        </w:rPr>
      </w:pPr>
      <w:r w:rsidRPr="001A7041">
        <w:rPr>
          <w:rFonts w:ascii="Arial" w:hAnsi="Arial" w:cs="Arial"/>
          <w:b/>
          <w:bCs/>
          <w:noProof/>
          <w:color w:val="333333"/>
          <w:sz w:val="20"/>
          <w:szCs w:val="20"/>
        </w:rPr>
        <w:lastRenderedPageBreak/>
        <w:drawing>
          <wp:inline distT="0" distB="0" distL="0" distR="0" wp14:anchorId="689C496D" wp14:editId="4EB9D4CE">
            <wp:extent cx="5641200" cy="7920000"/>
            <wp:effectExtent l="0" t="0" r="0" b="5080"/>
            <wp:docPr id="3" name="Picture 3" descr="https://reg.pravno-informacioni-sistem.rs/api/Attachment/slike/438770/Monitoring-hrane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pravno-informacioni-sistem.rs/api/Attachment/slike/438770/Monitoring-hrane_Page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1200" cy="7920000"/>
                    </a:xfrm>
                    <a:prstGeom prst="rect">
                      <a:avLst/>
                    </a:prstGeom>
                    <a:noFill/>
                    <a:ln>
                      <a:noFill/>
                    </a:ln>
                  </pic:spPr>
                </pic:pic>
              </a:graphicData>
            </a:graphic>
          </wp:inline>
        </w:drawing>
      </w:r>
    </w:p>
    <w:p w:rsidR="001A7041" w:rsidRPr="001A7041" w:rsidRDefault="001A7041" w:rsidP="001A7041">
      <w:pPr>
        <w:widowControl/>
        <w:autoSpaceDE/>
        <w:autoSpaceDN/>
        <w:spacing w:before="0" w:after="0"/>
        <w:ind w:firstLine="480"/>
        <w:jc w:val="center"/>
        <w:rPr>
          <w:rFonts w:ascii="Arial" w:hAnsi="Arial" w:cs="Arial"/>
          <w:color w:val="333333"/>
          <w:sz w:val="20"/>
          <w:szCs w:val="20"/>
        </w:rPr>
      </w:pPr>
      <w:r w:rsidRPr="001A7041">
        <w:rPr>
          <w:rFonts w:ascii="Arial" w:hAnsi="Arial" w:cs="Arial"/>
          <w:b/>
          <w:bCs/>
          <w:noProof/>
          <w:color w:val="333333"/>
          <w:sz w:val="20"/>
          <w:szCs w:val="20"/>
        </w:rPr>
        <w:lastRenderedPageBreak/>
        <w:drawing>
          <wp:inline distT="0" distB="0" distL="0" distR="0" wp14:anchorId="4A25C67E" wp14:editId="263C9994">
            <wp:extent cx="5641200" cy="7920000"/>
            <wp:effectExtent l="0" t="0" r="0" b="0"/>
            <wp:docPr id="2" name="Picture 2" descr="https://reg.pravno-informacioni-sistem.rs/api/Attachment/slike/438770/Monitoring-hrane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g.pravno-informacioni-sistem.rs/api/Attachment/slike/438770/Monitoring-hrane_Page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1200" cy="7920000"/>
                    </a:xfrm>
                    <a:prstGeom prst="rect">
                      <a:avLst/>
                    </a:prstGeom>
                    <a:noFill/>
                    <a:ln>
                      <a:noFill/>
                    </a:ln>
                  </pic:spPr>
                </pic:pic>
              </a:graphicData>
            </a:graphic>
          </wp:inline>
        </w:drawing>
      </w:r>
    </w:p>
    <w:p w:rsidR="0009477F" w:rsidRDefault="0009477F" w:rsidP="001A7041">
      <w:pPr>
        <w:pStyle w:val="basic-paragraph"/>
        <w:spacing w:before="0" w:beforeAutospacing="0" w:after="150" w:afterAutospacing="0"/>
        <w:rPr>
          <w:rFonts w:ascii="Arial" w:hAnsi="Arial" w:cs="Arial"/>
          <w:color w:val="000000"/>
          <w:sz w:val="20"/>
          <w:szCs w:val="20"/>
          <w:lang w:val="sr-Latn-RS"/>
        </w:rPr>
      </w:pPr>
      <w:bookmarkStart w:id="1" w:name="_GoBack"/>
      <w:bookmarkEnd w:id="1"/>
    </w:p>
    <w:sectPr w:rsidR="0009477F" w:rsidSect="001A7041">
      <w:type w:val="nextColumn"/>
      <w:pgSz w:w="11906" w:h="16838" w:code="9"/>
      <w:pgMar w:top="737" w:right="856" w:bottom="85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9034D"/>
    <w:rsid w:val="0009477F"/>
    <w:rsid w:val="000A02E2"/>
    <w:rsid w:val="000F08AE"/>
    <w:rsid w:val="0011524A"/>
    <w:rsid w:val="00147E3F"/>
    <w:rsid w:val="001647A9"/>
    <w:rsid w:val="001A581D"/>
    <w:rsid w:val="001A690E"/>
    <w:rsid w:val="001A7041"/>
    <w:rsid w:val="001C6B43"/>
    <w:rsid w:val="001D2D04"/>
    <w:rsid w:val="001D4FD6"/>
    <w:rsid w:val="00203FAD"/>
    <w:rsid w:val="00216E5B"/>
    <w:rsid w:val="002549E8"/>
    <w:rsid w:val="00280660"/>
    <w:rsid w:val="002970E3"/>
    <w:rsid w:val="002B25F1"/>
    <w:rsid w:val="002D2C74"/>
    <w:rsid w:val="002D5750"/>
    <w:rsid w:val="002F676D"/>
    <w:rsid w:val="002F72D6"/>
    <w:rsid w:val="003750F5"/>
    <w:rsid w:val="003836E9"/>
    <w:rsid w:val="003B0F98"/>
    <w:rsid w:val="003B15CC"/>
    <w:rsid w:val="003B6DA6"/>
    <w:rsid w:val="003F20A9"/>
    <w:rsid w:val="0041004F"/>
    <w:rsid w:val="00427B92"/>
    <w:rsid w:val="004E6290"/>
    <w:rsid w:val="00514290"/>
    <w:rsid w:val="005531CB"/>
    <w:rsid w:val="00571AB9"/>
    <w:rsid w:val="00596F24"/>
    <w:rsid w:val="00596F46"/>
    <w:rsid w:val="005F2AF0"/>
    <w:rsid w:val="00606F5D"/>
    <w:rsid w:val="006111BF"/>
    <w:rsid w:val="006150AB"/>
    <w:rsid w:val="006626C5"/>
    <w:rsid w:val="00674C25"/>
    <w:rsid w:val="0067634C"/>
    <w:rsid w:val="00690B45"/>
    <w:rsid w:val="00692B43"/>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50F85"/>
    <w:rsid w:val="0098450B"/>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93933"/>
    <w:rsid w:val="00CA4346"/>
    <w:rsid w:val="00CE343E"/>
    <w:rsid w:val="00D04589"/>
    <w:rsid w:val="00D07D7A"/>
    <w:rsid w:val="00D23D60"/>
    <w:rsid w:val="00D41C33"/>
    <w:rsid w:val="00D64667"/>
    <w:rsid w:val="00D74FA2"/>
    <w:rsid w:val="00D84128"/>
    <w:rsid w:val="00DA5FEA"/>
    <w:rsid w:val="00DA63C7"/>
    <w:rsid w:val="00DC21B7"/>
    <w:rsid w:val="00DF0304"/>
    <w:rsid w:val="00DF14DF"/>
    <w:rsid w:val="00E5259C"/>
    <w:rsid w:val="00E621AF"/>
    <w:rsid w:val="00E75990"/>
    <w:rsid w:val="00EB6ED1"/>
    <w:rsid w:val="00ED2638"/>
    <w:rsid w:val="00F01995"/>
    <w:rsid w:val="00F14F79"/>
    <w:rsid w:val="00F55CD4"/>
    <w:rsid w:val="00F578C4"/>
    <w:rsid w:val="00F65DDB"/>
    <w:rsid w:val="00F750CE"/>
    <w:rsid w:val="00F83656"/>
    <w:rsid w:val="00F943AF"/>
    <w:rsid w:val="00FB31EE"/>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35516671">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713268715">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8670E-0F83-4FE9-8DED-0852D9D1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4</cp:revision>
  <dcterms:created xsi:type="dcterms:W3CDTF">2025-06-20T12:06:00Z</dcterms:created>
  <dcterms:modified xsi:type="dcterms:W3CDTF">2025-06-20T12:09:00Z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