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27"/>
        <w:gridCol w:w="9292"/>
      </w:tblGrid>
      <w:tr w:rsidR="00E621AF" w:rsidRPr="00B34C0C" w:rsidTr="00F04055">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5BFAC933" wp14:editId="3F058A7C">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1" w:type="pct"/>
            <w:shd w:val="clear" w:color="auto" w:fill="A41E1C"/>
            <w:vAlign w:val="center"/>
            <w:hideMark/>
          </w:tcPr>
          <w:p w:rsidR="0009477F" w:rsidRPr="0009477F" w:rsidRDefault="003836E9" w:rsidP="0009477F">
            <w:pPr>
              <w:pStyle w:val="NASLOVBELO"/>
              <w:rPr>
                <w:color w:val="FFE599"/>
                <w:lang w:val="en-US"/>
              </w:rPr>
            </w:pPr>
            <w:r w:rsidRPr="003836E9">
              <w:rPr>
                <w:color w:val="FFE599"/>
                <w:lang w:val="sr-Cyrl-RS"/>
              </w:rPr>
              <w:t>ПРАВИЛНИК</w:t>
            </w:r>
            <w:r w:rsidR="00216E5B" w:rsidRPr="00F750CE">
              <w:rPr>
                <w:color w:val="FFE599"/>
                <w:lang w:val="sr-Cyrl-RS"/>
              </w:rPr>
              <w:t xml:space="preserve"> </w:t>
            </w:r>
          </w:p>
          <w:p w:rsidR="003B15CC" w:rsidRPr="003836E9" w:rsidRDefault="00CE5951" w:rsidP="0009477F">
            <w:pPr>
              <w:spacing w:line="276" w:lineRule="auto"/>
              <w:jc w:val="center"/>
              <w:rPr>
                <w:rFonts w:ascii="Arial" w:hAnsi="Arial" w:cs="Arial"/>
                <w:b/>
                <w:bCs/>
                <w:noProof/>
                <w:color w:val="FFFFFF"/>
                <w:kern w:val="28"/>
                <w:sz w:val="24"/>
                <w:szCs w:val="24"/>
                <w:lang w:eastAsia="sr-Latn-RS"/>
              </w:rPr>
            </w:pPr>
            <w:bookmarkStart w:id="0" w:name="_GoBack"/>
            <w:r w:rsidRPr="00CE5951">
              <w:rPr>
                <w:rFonts w:ascii="Arial" w:hAnsi="Arial" w:cs="Arial"/>
                <w:b/>
                <w:bCs/>
                <w:noProof/>
                <w:color w:val="FFFFFF"/>
                <w:kern w:val="28"/>
                <w:sz w:val="24"/>
                <w:szCs w:val="24"/>
                <w:lang w:val="sr-Cyrl-RS" w:eastAsia="sr-Latn-RS"/>
              </w:rPr>
              <w:t>О УТВРЂИВАЊУ ПРОГРАМА МОНИТОРИНГА ЗДРАВСТВЕНЕ ИСПРАВНОСТИ ПРЕДМЕТА ОПШТЕ УПОТРЕБЕ ЗА 2025. ГОДИНУ</w:t>
            </w:r>
          </w:p>
          <w:bookmarkEnd w:id="0"/>
          <w:p w:rsidR="00E621AF" w:rsidRPr="00B34C0C" w:rsidRDefault="003B15CC" w:rsidP="0009477F">
            <w:pPr>
              <w:pStyle w:val="podnaslovpropisa"/>
              <w:rPr>
                <w:sz w:val="22"/>
                <w:szCs w:val="22"/>
              </w:rPr>
            </w:pPr>
            <w:r w:rsidRPr="007F3D64">
              <w:rPr>
                <w:sz w:val="22"/>
                <w:szCs w:val="22"/>
              </w:rPr>
              <w:t xml:space="preserve"> </w:t>
            </w:r>
            <w:r w:rsidR="007F3D64" w:rsidRPr="007F3D64">
              <w:rPr>
                <w:sz w:val="22"/>
                <w:szCs w:val="22"/>
              </w:rPr>
              <w:t xml:space="preserve">("Сл. гласник РС, бр. </w:t>
            </w:r>
            <w:r w:rsidR="00690B45">
              <w:rPr>
                <w:sz w:val="22"/>
                <w:szCs w:val="22"/>
              </w:rPr>
              <w:t>5</w:t>
            </w:r>
            <w:r w:rsidR="0009477F">
              <w:rPr>
                <w:sz w:val="22"/>
                <w:szCs w:val="22"/>
              </w:rPr>
              <w:t>3</w:t>
            </w:r>
            <w:r w:rsidR="007F3D64" w:rsidRPr="007F3D64">
              <w:rPr>
                <w:sz w:val="22"/>
                <w:szCs w:val="22"/>
              </w:rPr>
              <w:t>/202</w:t>
            </w:r>
            <w:r w:rsidR="007F3D64">
              <w:rPr>
                <w:sz w:val="22"/>
                <w:szCs w:val="22"/>
              </w:rPr>
              <w:t>5</w:t>
            </w:r>
            <w:r w:rsidR="007F3D64" w:rsidRPr="007F3D64">
              <w:rPr>
                <w:sz w:val="22"/>
                <w:szCs w:val="22"/>
              </w:rPr>
              <w:t>)</w:t>
            </w:r>
          </w:p>
        </w:tc>
      </w:tr>
    </w:tbl>
    <w:p w:rsidR="00F04055" w:rsidRPr="00F04055" w:rsidRDefault="00F04055" w:rsidP="00F04055">
      <w:pPr>
        <w:widowControl/>
        <w:autoSpaceDE/>
        <w:autoSpaceDN/>
        <w:spacing w:before="330" w:after="0"/>
        <w:ind w:firstLine="480"/>
        <w:jc w:val="center"/>
        <w:rPr>
          <w:rFonts w:ascii="Arial" w:hAnsi="Arial" w:cs="Arial"/>
          <w:color w:val="333333"/>
          <w:sz w:val="20"/>
          <w:szCs w:val="20"/>
        </w:rPr>
      </w:pPr>
      <w:bookmarkStart w:id="1" w:name="str_1"/>
      <w:bookmarkEnd w:id="1"/>
      <w:proofErr w:type="gramStart"/>
      <w:r w:rsidRPr="00F04055">
        <w:rPr>
          <w:rFonts w:ascii="Arial" w:hAnsi="Arial" w:cs="Arial"/>
          <w:color w:val="333333"/>
          <w:sz w:val="20"/>
          <w:szCs w:val="20"/>
        </w:rPr>
        <w:t>ПРОГРАМ</w:t>
      </w:r>
      <w:r w:rsidRPr="00F04055">
        <w:rPr>
          <w:rFonts w:ascii="Arial" w:hAnsi="Arial" w:cs="Arial"/>
          <w:color w:val="333333"/>
          <w:sz w:val="20"/>
          <w:szCs w:val="20"/>
        </w:rPr>
        <w:br/>
        <w:t>МОНИТОРИНГА ЗДРАВСТВЕНЕ ИСПРАВНОСТИ ПРЕДМЕТА ОПШТЕ УПОТРЕБЕ ЗА 2025.</w:t>
      </w:r>
      <w:proofErr w:type="gramEnd"/>
      <w:r w:rsidRPr="00F04055">
        <w:rPr>
          <w:rFonts w:ascii="Arial" w:hAnsi="Arial" w:cs="Arial"/>
          <w:color w:val="333333"/>
          <w:sz w:val="20"/>
          <w:szCs w:val="20"/>
        </w:rPr>
        <w:t xml:space="preserve"> ГОДИНУ</w:t>
      </w:r>
    </w:p>
    <w:p w:rsidR="00F04055" w:rsidRPr="00F04055" w:rsidRDefault="00F04055" w:rsidP="00F04055">
      <w:pPr>
        <w:widowControl/>
        <w:autoSpaceDE/>
        <w:autoSpaceDN/>
        <w:spacing w:before="330"/>
        <w:ind w:firstLine="480"/>
        <w:jc w:val="center"/>
        <w:rPr>
          <w:rFonts w:ascii="Arial" w:hAnsi="Arial" w:cs="Arial"/>
          <w:b/>
          <w:bCs/>
          <w:color w:val="333333"/>
          <w:sz w:val="20"/>
          <w:szCs w:val="20"/>
        </w:rPr>
      </w:pPr>
      <w:r w:rsidRPr="00F04055">
        <w:rPr>
          <w:rFonts w:ascii="Arial" w:hAnsi="Arial" w:cs="Arial"/>
          <w:b/>
          <w:bCs/>
          <w:color w:val="333333"/>
          <w:sz w:val="20"/>
          <w:szCs w:val="20"/>
        </w:rPr>
        <w:t>I. Потребна средства за финансирање Програма мониторинга</w:t>
      </w:r>
    </w:p>
    <w:p w:rsidR="00F04055" w:rsidRPr="00F04055" w:rsidRDefault="00F04055" w:rsidP="00F04055">
      <w:pPr>
        <w:widowControl/>
        <w:autoSpaceDE/>
        <w:autoSpaceDN/>
        <w:spacing w:before="0" w:after="150"/>
        <w:ind w:firstLine="480"/>
        <w:rPr>
          <w:rFonts w:ascii="Arial" w:hAnsi="Arial" w:cs="Arial"/>
          <w:color w:val="333333"/>
          <w:sz w:val="20"/>
          <w:szCs w:val="20"/>
        </w:rPr>
      </w:pPr>
      <w:proofErr w:type="gramStart"/>
      <w:r w:rsidRPr="00F04055">
        <w:rPr>
          <w:rFonts w:ascii="Arial" w:hAnsi="Arial" w:cs="Arial"/>
          <w:color w:val="333333"/>
          <w:sz w:val="20"/>
          <w:szCs w:val="20"/>
        </w:rPr>
        <w:t>За спровођење Програма мониторинга здравствене исправности предмета опште употребе, средства су обезбеђена у буџету Републике Србије за 2025.</w:t>
      </w:r>
      <w:proofErr w:type="gramEnd"/>
      <w:r w:rsidRPr="00F04055">
        <w:rPr>
          <w:rFonts w:ascii="Arial" w:hAnsi="Arial" w:cs="Arial"/>
          <w:color w:val="333333"/>
          <w:sz w:val="20"/>
          <w:szCs w:val="20"/>
        </w:rPr>
        <w:t xml:space="preserve"> годину, на разделу 27 – Министарство здравља, Програм 1801 – Уређење и надзор у области здравства, Програмска активност 0003 – Санитарни надзор, економска класификација 465 – Остале дотације и трансфери, у износу од 53.300.000,00 динара, од чега за Програм мониторинга здравствене исправности предмета опште употребе у износу од 26.648.696,00 динара.</w:t>
      </w:r>
    </w:p>
    <w:p w:rsidR="00F04055" w:rsidRPr="00F04055" w:rsidRDefault="00F04055" w:rsidP="00F04055">
      <w:pPr>
        <w:widowControl/>
        <w:autoSpaceDE/>
        <w:autoSpaceDN/>
        <w:spacing w:before="330"/>
        <w:ind w:firstLine="480"/>
        <w:jc w:val="center"/>
        <w:rPr>
          <w:rFonts w:ascii="Arial" w:hAnsi="Arial" w:cs="Arial"/>
          <w:b/>
          <w:bCs/>
          <w:color w:val="333333"/>
          <w:sz w:val="20"/>
          <w:szCs w:val="20"/>
        </w:rPr>
      </w:pPr>
      <w:r w:rsidRPr="00F04055">
        <w:rPr>
          <w:rFonts w:ascii="Arial" w:hAnsi="Arial" w:cs="Arial"/>
          <w:b/>
          <w:bCs/>
          <w:color w:val="333333"/>
          <w:sz w:val="20"/>
          <w:szCs w:val="20"/>
        </w:rPr>
        <w:t>II. Мере које ће се предузети у случају присуства физичких, хемијских и биолошких контаминената и других неусаглашености</w:t>
      </w:r>
    </w:p>
    <w:p w:rsidR="00F04055" w:rsidRPr="00F04055" w:rsidRDefault="00F04055" w:rsidP="00F04055">
      <w:pPr>
        <w:widowControl/>
        <w:autoSpaceDE/>
        <w:autoSpaceDN/>
        <w:spacing w:before="0" w:after="150"/>
        <w:ind w:firstLine="480"/>
        <w:rPr>
          <w:rFonts w:ascii="Arial" w:hAnsi="Arial" w:cs="Arial"/>
          <w:color w:val="333333"/>
          <w:sz w:val="20"/>
          <w:szCs w:val="20"/>
        </w:rPr>
      </w:pPr>
      <w:r w:rsidRPr="00F04055">
        <w:rPr>
          <w:rFonts w:ascii="Arial" w:hAnsi="Arial" w:cs="Arial"/>
          <w:color w:val="333333"/>
          <w:sz w:val="20"/>
          <w:szCs w:val="20"/>
        </w:rPr>
        <w:t>У случају да се утврди присуство физичких, хемијских и биолошких контаминената, односно неусаглашености са прописаним вредностима и других неусаглашености, надлежни орган спроводи и то:</w:t>
      </w:r>
    </w:p>
    <w:p w:rsidR="00F04055" w:rsidRPr="00F04055" w:rsidRDefault="00F04055" w:rsidP="00F04055">
      <w:pPr>
        <w:widowControl/>
        <w:autoSpaceDE/>
        <w:autoSpaceDN/>
        <w:spacing w:before="0" w:after="150"/>
        <w:ind w:firstLine="480"/>
        <w:rPr>
          <w:rFonts w:ascii="Arial" w:hAnsi="Arial" w:cs="Arial"/>
          <w:color w:val="333333"/>
          <w:sz w:val="20"/>
          <w:szCs w:val="20"/>
        </w:rPr>
      </w:pPr>
      <w:r w:rsidRPr="00F04055">
        <w:rPr>
          <w:rFonts w:ascii="Arial" w:hAnsi="Arial" w:cs="Arial"/>
          <w:color w:val="333333"/>
          <w:sz w:val="20"/>
          <w:szCs w:val="20"/>
        </w:rPr>
        <w:t xml:space="preserve">1) </w:t>
      </w:r>
      <w:proofErr w:type="gramStart"/>
      <w:r w:rsidRPr="00F04055">
        <w:rPr>
          <w:rFonts w:ascii="Arial" w:hAnsi="Arial" w:cs="Arial"/>
          <w:color w:val="333333"/>
          <w:sz w:val="20"/>
          <w:szCs w:val="20"/>
        </w:rPr>
        <w:t>активности</w:t>
      </w:r>
      <w:proofErr w:type="gramEnd"/>
      <w:r w:rsidRPr="00F04055">
        <w:rPr>
          <w:rFonts w:ascii="Arial" w:hAnsi="Arial" w:cs="Arial"/>
          <w:color w:val="333333"/>
          <w:sz w:val="20"/>
          <w:szCs w:val="20"/>
        </w:rPr>
        <w:t xml:space="preserve"> како би се осигурало да субјекат у пословању предметима опште употребе исправи недостатак, узимајући у обзир природу неусаглашености и претходне случајеве неусаглашености истог субјекта у пословању;</w:t>
      </w:r>
    </w:p>
    <w:p w:rsidR="00F04055" w:rsidRPr="00F04055" w:rsidRDefault="00F04055" w:rsidP="00F04055">
      <w:pPr>
        <w:widowControl/>
        <w:autoSpaceDE/>
        <w:autoSpaceDN/>
        <w:spacing w:before="0" w:after="150"/>
        <w:ind w:firstLine="480"/>
        <w:rPr>
          <w:rFonts w:ascii="Arial" w:hAnsi="Arial" w:cs="Arial"/>
          <w:color w:val="333333"/>
          <w:sz w:val="20"/>
          <w:szCs w:val="20"/>
        </w:rPr>
      </w:pPr>
      <w:r w:rsidRPr="00F04055">
        <w:rPr>
          <w:rFonts w:ascii="Arial" w:hAnsi="Arial" w:cs="Arial"/>
          <w:color w:val="333333"/>
          <w:sz w:val="20"/>
          <w:szCs w:val="20"/>
        </w:rPr>
        <w:t xml:space="preserve">2) </w:t>
      </w:r>
      <w:proofErr w:type="gramStart"/>
      <w:r w:rsidRPr="00F04055">
        <w:rPr>
          <w:rFonts w:ascii="Arial" w:hAnsi="Arial" w:cs="Arial"/>
          <w:color w:val="333333"/>
          <w:sz w:val="20"/>
          <w:szCs w:val="20"/>
        </w:rPr>
        <w:t>мере</w:t>
      </w:r>
      <w:proofErr w:type="gramEnd"/>
      <w:r w:rsidRPr="00F04055">
        <w:rPr>
          <w:rFonts w:ascii="Arial" w:hAnsi="Arial" w:cs="Arial"/>
          <w:color w:val="333333"/>
          <w:sz w:val="20"/>
          <w:szCs w:val="20"/>
        </w:rPr>
        <w:t>, укључујући узимање службеног узорка, за које се сматра да су потребне како би се осигурала здравствена исправност предмета опште употребе или усаглашеност са прописима о предметима опште употребе;</w:t>
      </w:r>
    </w:p>
    <w:p w:rsidR="00F04055" w:rsidRPr="00F04055" w:rsidRDefault="00F04055" w:rsidP="00F04055">
      <w:pPr>
        <w:widowControl/>
        <w:autoSpaceDE/>
        <w:autoSpaceDN/>
        <w:spacing w:before="0" w:after="150"/>
        <w:ind w:firstLine="480"/>
        <w:rPr>
          <w:rFonts w:ascii="Arial" w:hAnsi="Arial" w:cs="Arial"/>
          <w:color w:val="333333"/>
          <w:sz w:val="20"/>
          <w:szCs w:val="20"/>
        </w:rPr>
      </w:pPr>
      <w:r w:rsidRPr="00F04055">
        <w:rPr>
          <w:rFonts w:ascii="Arial" w:hAnsi="Arial" w:cs="Arial"/>
          <w:color w:val="333333"/>
          <w:sz w:val="20"/>
          <w:szCs w:val="20"/>
        </w:rPr>
        <w:t xml:space="preserve">3) </w:t>
      </w:r>
      <w:proofErr w:type="gramStart"/>
      <w:r w:rsidRPr="00F04055">
        <w:rPr>
          <w:rFonts w:ascii="Arial" w:hAnsi="Arial" w:cs="Arial"/>
          <w:color w:val="333333"/>
          <w:sz w:val="20"/>
          <w:szCs w:val="20"/>
        </w:rPr>
        <w:t>забране</w:t>
      </w:r>
      <w:proofErr w:type="gramEnd"/>
      <w:r w:rsidRPr="00F04055">
        <w:rPr>
          <w:rFonts w:ascii="Arial" w:hAnsi="Arial" w:cs="Arial"/>
          <w:color w:val="333333"/>
          <w:sz w:val="20"/>
          <w:szCs w:val="20"/>
        </w:rPr>
        <w:t xml:space="preserve"> промета;</w:t>
      </w:r>
    </w:p>
    <w:p w:rsidR="00F04055" w:rsidRPr="00F04055" w:rsidRDefault="00F04055" w:rsidP="00F04055">
      <w:pPr>
        <w:widowControl/>
        <w:autoSpaceDE/>
        <w:autoSpaceDN/>
        <w:spacing w:before="0" w:after="150"/>
        <w:ind w:firstLine="480"/>
        <w:rPr>
          <w:rFonts w:ascii="Arial" w:hAnsi="Arial" w:cs="Arial"/>
          <w:color w:val="333333"/>
          <w:sz w:val="20"/>
          <w:szCs w:val="20"/>
        </w:rPr>
      </w:pPr>
      <w:r w:rsidRPr="00F04055">
        <w:rPr>
          <w:rFonts w:ascii="Arial" w:hAnsi="Arial" w:cs="Arial"/>
          <w:color w:val="333333"/>
          <w:sz w:val="20"/>
          <w:szCs w:val="20"/>
        </w:rPr>
        <w:t xml:space="preserve">4) </w:t>
      </w:r>
      <w:proofErr w:type="gramStart"/>
      <w:r w:rsidRPr="00F04055">
        <w:rPr>
          <w:rFonts w:ascii="Arial" w:hAnsi="Arial" w:cs="Arial"/>
          <w:color w:val="333333"/>
          <w:sz w:val="20"/>
          <w:szCs w:val="20"/>
        </w:rPr>
        <w:t>мере</w:t>
      </w:r>
      <w:proofErr w:type="gramEnd"/>
      <w:r w:rsidRPr="00F04055">
        <w:rPr>
          <w:rFonts w:ascii="Arial" w:hAnsi="Arial" w:cs="Arial"/>
          <w:color w:val="333333"/>
          <w:sz w:val="20"/>
          <w:szCs w:val="20"/>
        </w:rPr>
        <w:t xml:space="preserve"> којима се привремено забрањује употреба објекта, просторија, опреме на одређени временски период;</w:t>
      </w:r>
    </w:p>
    <w:p w:rsidR="00F04055" w:rsidRPr="00F04055" w:rsidRDefault="00F04055" w:rsidP="00F04055">
      <w:pPr>
        <w:widowControl/>
        <w:autoSpaceDE/>
        <w:autoSpaceDN/>
        <w:spacing w:before="0" w:after="150"/>
        <w:ind w:firstLine="480"/>
        <w:rPr>
          <w:rFonts w:ascii="Arial" w:hAnsi="Arial" w:cs="Arial"/>
          <w:color w:val="333333"/>
          <w:sz w:val="20"/>
          <w:szCs w:val="20"/>
        </w:rPr>
      </w:pPr>
      <w:r w:rsidRPr="00F04055">
        <w:rPr>
          <w:rFonts w:ascii="Arial" w:hAnsi="Arial" w:cs="Arial"/>
          <w:color w:val="333333"/>
          <w:sz w:val="20"/>
          <w:szCs w:val="20"/>
        </w:rPr>
        <w:t xml:space="preserve">5) </w:t>
      </w:r>
      <w:proofErr w:type="gramStart"/>
      <w:r w:rsidRPr="00F04055">
        <w:rPr>
          <w:rFonts w:ascii="Arial" w:hAnsi="Arial" w:cs="Arial"/>
          <w:color w:val="333333"/>
          <w:sz w:val="20"/>
          <w:szCs w:val="20"/>
        </w:rPr>
        <w:t>друге</w:t>
      </w:r>
      <w:proofErr w:type="gramEnd"/>
      <w:r w:rsidRPr="00F04055">
        <w:rPr>
          <w:rFonts w:ascii="Arial" w:hAnsi="Arial" w:cs="Arial"/>
          <w:color w:val="333333"/>
          <w:sz w:val="20"/>
          <w:szCs w:val="20"/>
        </w:rPr>
        <w:t xml:space="preserve"> мере и предузимају друге одговарајуће радње.</w:t>
      </w:r>
    </w:p>
    <w:p w:rsidR="00F04055" w:rsidRPr="00F04055" w:rsidRDefault="00F04055" w:rsidP="00F04055">
      <w:pPr>
        <w:widowControl/>
        <w:autoSpaceDE/>
        <w:autoSpaceDN/>
        <w:spacing w:before="330"/>
        <w:ind w:firstLine="480"/>
        <w:jc w:val="center"/>
        <w:rPr>
          <w:rFonts w:ascii="Arial" w:hAnsi="Arial" w:cs="Arial"/>
          <w:b/>
          <w:bCs/>
          <w:color w:val="333333"/>
          <w:sz w:val="20"/>
          <w:szCs w:val="20"/>
        </w:rPr>
      </w:pPr>
      <w:r w:rsidRPr="00F04055">
        <w:rPr>
          <w:rFonts w:ascii="Arial" w:hAnsi="Arial" w:cs="Arial"/>
          <w:b/>
          <w:bCs/>
          <w:color w:val="333333"/>
          <w:sz w:val="20"/>
          <w:szCs w:val="20"/>
        </w:rPr>
        <w:t>III. Структура органа и организација за спровођење програма</w:t>
      </w:r>
    </w:p>
    <w:p w:rsidR="00F04055" w:rsidRPr="00F04055" w:rsidRDefault="00F04055" w:rsidP="00F04055">
      <w:pPr>
        <w:widowControl/>
        <w:autoSpaceDE/>
        <w:autoSpaceDN/>
        <w:spacing w:before="0" w:after="150"/>
        <w:ind w:firstLine="480"/>
        <w:rPr>
          <w:rFonts w:ascii="Arial" w:hAnsi="Arial" w:cs="Arial"/>
          <w:color w:val="333333"/>
          <w:sz w:val="20"/>
          <w:szCs w:val="20"/>
        </w:rPr>
      </w:pPr>
      <w:proofErr w:type="gramStart"/>
      <w:r w:rsidRPr="00F04055">
        <w:rPr>
          <w:rFonts w:ascii="Arial" w:hAnsi="Arial" w:cs="Arial"/>
          <w:color w:val="333333"/>
          <w:sz w:val="20"/>
          <w:szCs w:val="20"/>
        </w:rPr>
        <w:t>Програм мониторинга спроводи министарство надлежно за послове здравља преко института и завода за јавно здравље у сарадњи са санитарном инспекцијом.</w:t>
      </w:r>
      <w:proofErr w:type="gramEnd"/>
    </w:p>
    <w:p w:rsidR="00F04055" w:rsidRPr="00F04055" w:rsidRDefault="00F04055" w:rsidP="00F04055">
      <w:pPr>
        <w:widowControl/>
        <w:autoSpaceDE/>
        <w:autoSpaceDN/>
        <w:spacing w:before="0" w:after="150"/>
        <w:ind w:firstLine="480"/>
        <w:rPr>
          <w:rFonts w:ascii="Arial" w:hAnsi="Arial" w:cs="Arial"/>
          <w:color w:val="333333"/>
          <w:sz w:val="20"/>
          <w:szCs w:val="20"/>
        </w:rPr>
      </w:pPr>
      <w:proofErr w:type="gramStart"/>
      <w:r w:rsidRPr="00F04055">
        <w:rPr>
          <w:rFonts w:ascii="Arial" w:hAnsi="Arial" w:cs="Arial"/>
          <w:color w:val="333333"/>
          <w:sz w:val="20"/>
          <w:szCs w:val="20"/>
        </w:rPr>
        <w:t>Лабораторијска испитивања из Програма мониторинга врше овлашћене лабораторије института и завода за јавно здравље.</w:t>
      </w:r>
      <w:proofErr w:type="gramEnd"/>
    </w:p>
    <w:p w:rsidR="00F04055" w:rsidRPr="00F04055" w:rsidRDefault="00F04055" w:rsidP="00F04055">
      <w:pPr>
        <w:widowControl/>
        <w:autoSpaceDE/>
        <w:autoSpaceDN/>
        <w:spacing w:before="330"/>
        <w:ind w:firstLine="480"/>
        <w:jc w:val="center"/>
        <w:rPr>
          <w:rFonts w:ascii="Arial" w:hAnsi="Arial" w:cs="Arial"/>
          <w:b/>
          <w:bCs/>
          <w:color w:val="333333"/>
          <w:sz w:val="20"/>
          <w:szCs w:val="20"/>
        </w:rPr>
      </w:pPr>
      <w:r w:rsidRPr="00F04055">
        <w:rPr>
          <w:rFonts w:ascii="Arial" w:hAnsi="Arial" w:cs="Arial"/>
          <w:b/>
          <w:bCs/>
          <w:color w:val="333333"/>
          <w:sz w:val="20"/>
          <w:szCs w:val="20"/>
        </w:rPr>
        <w:t>IV. Други параметри од значаја за спровођење Програма мониторинга</w:t>
      </w:r>
    </w:p>
    <w:p w:rsidR="00F04055" w:rsidRPr="00F04055" w:rsidRDefault="00F04055" w:rsidP="00F04055">
      <w:pPr>
        <w:widowControl/>
        <w:autoSpaceDE/>
        <w:autoSpaceDN/>
        <w:spacing w:before="330"/>
        <w:ind w:firstLine="480"/>
        <w:jc w:val="center"/>
        <w:rPr>
          <w:rFonts w:ascii="Arial" w:hAnsi="Arial" w:cs="Arial"/>
          <w:i/>
          <w:iCs/>
          <w:color w:val="333333"/>
          <w:sz w:val="20"/>
          <w:szCs w:val="20"/>
        </w:rPr>
      </w:pPr>
      <w:r w:rsidRPr="00F04055">
        <w:rPr>
          <w:rFonts w:ascii="Arial" w:hAnsi="Arial" w:cs="Arial"/>
          <w:i/>
          <w:iCs/>
          <w:color w:val="333333"/>
          <w:sz w:val="20"/>
          <w:szCs w:val="20"/>
        </w:rPr>
        <w:t>1. План мониторинга</w:t>
      </w:r>
    </w:p>
    <w:p w:rsidR="00F04055" w:rsidRPr="00F04055" w:rsidRDefault="00F04055" w:rsidP="00F04055">
      <w:pPr>
        <w:widowControl/>
        <w:autoSpaceDE/>
        <w:autoSpaceDN/>
        <w:spacing w:before="0" w:after="150"/>
        <w:ind w:firstLine="480"/>
        <w:rPr>
          <w:rFonts w:ascii="Arial" w:hAnsi="Arial" w:cs="Arial"/>
          <w:color w:val="333333"/>
          <w:sz w:val="20"/>
          <w:szCs w:val="20"/>
        </w:rPr>
      </w:pPr>
      <w:proofErr w:type="gramStart"/>
      <w:r w:rsidRPr="00F04055">
        <w:rPr>
          <w:rFonts w:ascii="Arial" w:hAnsi="Arial" w:cs="Arial"/>
          <w:color w:val="333333"/>
          <w:sz w:val="20"/>
          <w:szCs w:val="20"/>
        </w:rPr>
        <w:t>План мониторинга којим се одређује врста анализа, врста предмета опште употребе која ће се анализирати, број узорака који ће се користити приликом анализе, дат је у Табели 1 – План мониторинга предмета опште употребе за 2025.</w:t>
      </w:r>
      <w:proofErr w:type="gramEnd"/>
      <w:r w:rsidRPr="00F04055">
        <w:rPr>
          <w:rFonts w:ascii="Arial" w:hAnsi="Arial" w:cs="Arial"/>
          <w:color w:val="333333"/>
          <w:sz w:val="20"/>
          <w:szCs w:val="20"/>
        </w:rPr>
        <w:t xml:space="preserve"> </w:t>
      </w:r>
      <w:proofErr w:type="gramStart"/>
      <w:r w:rsidRPr="00F04055">
        <w:rPr>
          <w:rFonts w:ascii="Arial" w:hAnsi="Arial" w:cs="Arial"/>
          <w:color w:val="333333"/>
          <w:sz w:val="20"/>
          <w:szCs w:val="20"/>
        </w:rPr>
        <w:t>годину</w:t>
      </w:r>
      <w:proofErr w:type="gramEnd"/>
      <w:r w:rsidRPr="00F04055">
        <w:rPr>
          <w:rFonts w:ascii="Arial" w:hAnsi="Arial" w:cs="Arial"/>
          <w:color w:val="333333"/>
          <w:sz w:val="20"/>
          <w:szCs w:val="20"/>
        </w:rPr>
        <w:t>.</w:t>
      </w:r>
    </w:p>
    <w:p w:rsidR="00F04055" w:rsidRPr="00F04055" w:rsidRDefault="00F04055" w:rsidP="00F04055">
      <w:pPr>
        <w:widowControl/>
        <w:autoSpaceDE/>
        <w:autoSpaceDN/>
        <w:spacing w:before="0" w:after="0"/>
        <w:ind w:firstLine="480"/>
        <w:rPr>
          <w:rFonts w:ascii="Arial" w:hAnsi="Arial" w:cs="Arial"/>
          <w:color w:val="333333"/>
          <w:sz w:val="20"/>
          <w:szCs w:val="20"/>
        </w:rPr>
      </w:pPr>
      <w:proofErr w:type="gramStart"/>
      <w:r w:rsidRPr="00F04055">
        <w:rPr>
          <w:rFonts w:ascii="Arial" w:hAnsi="Arial" w:cs="Arial"/>
          <w:b/>
          <w:bCs/>
          <w:color w:val="333333"/>
          <w:sz w:val="20"/>
          <w:szCs w:val="20"/>
        </w:rPr>
        <w:t>Табела 1.</w:t>
      </w:r>
      <w:proofErr w:type="gramEnd"/>
      <w:r w:rsidRPr="00F04055">
        <w:rPr>
          <w:rFonts w:ascii="Arial" w:hAnsi="Arial" w:cs="Arial"/>
          <w:b/>
          <w:bCs/>
          <w:color w:val="333333"/>
          <w:sz w:val="20"/>
          <w:szCs w:val="20"/>
        </w:rPr>
        <w:t> </w:t>
      </w:r>
      <w:proofErr w:type="gramStart"/>
      <w:r w:rsidRPr="00F04055">
        <w:rPr>
          <w:rFonts w:ascii="Arial" w:hAnsi="Arial" w:cs="Arial"/>
          <w:color w:val="333333"/>
          <w:sz w:val="20"/>
          <w:szCs w:val="20"/>
        </w:rPr>
        <w:t>План мониторинга предмета опште употребе за 2025.</w:t>
      </w:r>
      <w:proofErr w:type="gramEnd"/>
      <w:r w:rsidRPr="00F04055">
        <w:rPr>
          <w:rFonts w:ascii="Arial" w:hAnsi="Arial" w:cs="Arial"/>
          <w:color w:val="333333"/>
          <w:sz w:val="20"/>
          <w:szCs w:val="20"/>
        </w:rPr>
        <w:t xml:space="preserve"> </w:t>
      </w:r>
      <w:proofErr w:type="gramStart"/>
      <w:r w:rsidRPr="00F04055">
        <w:rPr>
          <w:rFonts w:ascii="Arial" w:hAnsi="Arial" w:cs="Arial"/>
          <w:color w:val="333333"/>
          <w:sz w:val="20"/>
          <w:szCs w:val="20"/>
        </w:rPr>
        <w:t>годину</w:t>
      </w:r>
      <w:proofErr w:type="gramEnd"/>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4"/>
        <w:gridCol w:w="2140"/>
        <w:gridCol w:w="1553"/>
        <w:gridCol w:w="1397"/>
        <w:gridCol w:w="785"/>
        <w:gridCol w:w="1165"/>
        <w:gridCol w:w="2575"/>
      </w:tblGrid>
      <w:tr w:rsidR="00F04055" w:rsidRPr="00F04055" w:rsidTr="00E6057A">
        <w:tc>
          <w:tcPr>
            <w:tcW w:w="5000" w:type="pct"/>
            <w:gridSpan w:val="7"/>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План мониторинга предмета опште употребе за 2025. годину</w:t>
            </w:r>
          </w:p>
        </w:tc>
      </w:tr>
      <w:tr w:rsidR="00F04055" w:rsidRPr="00F04055" w:rsidTr="00E6057A">
        <w:tc>
          <w:tcPr>
            <w:tcW w:w="5000" w:type="pct"/>
            <w:gridSpan w:val="7"/>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Институти и заводи за јавно здравље (мрежа)</w:t>
            </w:r>
          </w:p>
        </w:tc>
      </w:tr>
      <w:tr w:rsidR="00E6057A" w:rsidRPr="00F04055" w:rsidTr="00E6057A">
        <w:tc>
          <w:tcPr>
            <w:tcW w:w="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Редни број</w:t>
            </w:r>
          </w:p>
        </w:tc>
        <w:tc>
          <w:tcPr>
            <w:tcW w:w="9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Предмет испитивања</w:t>
            </w:r>
          </w:p>
        </w:tc>
        <w:tc>
          <w:tcPr>
            <w:tcW w:w="7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Опасност</w:t>
            </w:r>
          </w:p>
        </w:tc>
        <w:tc>
          <w:tcPr>
            <w:tcW w:w="6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Место узорковања</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Укупан број узорака</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 xml:space="preserve">Динамика узорковања по кварталима (К) у 2025. </w:t>
            </w:r>
            <w:r w:rsidRPr="00F04055">
              <w:rPr>
                <w:rFonts w:ascii="Arial" w:hAnsi="Arial" w:cs="Arial"/>
                <w:color w:val="333333"/>
                <w:sz w:val="20"/>
                <w:szCs w:val="20"/>
              </w:rPr>
              <w:lastRenderedPageBreak/>
              <w:t>години</w:t>
            </w:r>
          </w:p>
        </w:tc>
        <w:tc>
          <w:tcPr>
            <w:tcW w:w="18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lastRenderedPageBreak/>
              <w:t>Параметри испитивања</w:t>
            </w:r>
          </w:p>
        </w:tc>
      </w:tr>
      <w:tr w:rsidR="00E6057A" w:rsidRPr="00F04055" w:rsidTr="00E6057A">
        <w:tc>
          <w:tcPr>
            <w:tcW w:w="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lastRenderedPageBreak/>
              <w:t>1.</w:t>
            </w:r>
          </w:p>
        </w:tc>
        <w:tc>
          <w:tcPr>
            <w:tcW w:w="9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Играчке израђене делом или целокупно од меког полимерног материјала</w:t>
            </w:r>
          </w:p>
        </w:tc>
        <w:tc>
          <w:tcPr>
            <w:tcW w:w="7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Неправилности у декларацији, одступања од садржаја омекшивача</w:t>
            </w:r>
          </w:p>
        </w:tc>
        <w:tc>
          <w:tcPr>
            <w:tcW w:w="6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Промет, складиштење, укључујући магацине готових производа произвођача</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846</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2,3</w:t>
            </w:r>
          </w:p>
        </w:tc>
        <w:tc>
          <w:tcPr>
            <w:tcW w:w="18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Преглед декларације (назив и врста играчке, навод серије, навод серијског броја или броја модела, навод имена и адресе произвођача и увозника, навод упозорења и упутства за употребу и одржавање на српском језику, навод адекватности за узраст, навод српског знака усаглашености); садржај фталата ((DEHP (Di etil heksil ftalat),BBP (Benzil butil ftalat),DBP (Di butil ftalat), DnOP (di-n-oktil ftalat),DINP (Di izononil ftalat), DIDP (Di izodecil ftalat), DIBP (Di izobutil ftalat))</w:t>
            </w:r>
          </w:p>
        </w:tc>
      </w:tr>
      <w:tr w:rsidR="00E6057A" w:rsidRPr="00F04055" w:rsidTr="00E6057A">
        <w:tc>
          <w:tcPr>
            <w:tcW w:w="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2.</w:t>
            </w:r>
          </w:p>
        </w:tc>
        <w:tc>
          <w:tcPr>
            <w:tcW w:w="9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Играчке од тврдог полимерног материјала,намењене деци млађој од 36 месеци</w:t>
            </w:r>
          </w:p>
        </w:tc>
        <w:tc>
          <w:tcPr>
            <w:tcW w:w="7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Неправилности у декларисању, одступања у погледу захтева за физичко механичка својства</w:t>
            </w:r>
          </w:p>
        </w:tc>
        <w:tc>
          <w:tcPr>
            <w:tcW w:w="6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Промет, складиштење, укључујући магацине готових производа произвођача</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340</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2,3</w:t>
            </w:r>
          </w:p>
        </w:tc>
        <w:tc>
          <w:tcPr>
            <w:tcW w:w="18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Преглед декларације (назив и врста играчке, навод серије, навод серијског броја или броја модела, навод имена и адресе произвођача и увозника, навод упозорења и упутства за употребу и одржавање на српском језику, навод адекватности за узраст, навод српског знака усаглашености); физичка и механичка својства</w:t>
            </w:r>
          </w:p>
        </w:tc>
      </w:tr>
      <w:tr w:rsidR="00E6057A" w:rsidRPr="00F04055" w:rsidTr="00E6057A">
        <w:tc>
          <w:tcPr>
            <w:tcW w:w="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3.</w:t>
            </w:r>
          </w:p>
        </w:tc>
        <w:tc>
          <w:tcPr>
            <w:tcW w:w="9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Играчке: течност (сапуница) за прављење мехурића</w:t>
            </w:r>
          </w:p>
        </w:tc>
        <w:tc>
          <w:tcPr>
            <w:tcW w:w="7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Неправилности у декларисању, одступања у садржају хемикалија</w:t>
            </w:r>
          </w:p>
        </w:tc>
        <w:tc>
          <w:tcPr>
            <w:tcW w:w="6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Промет, складиштење, укључујући магацине готових производа произвођача</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58</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2,3</w:t>
            </w:r>
          </w:p>
        </w:tc>
        <w:tc>
          <w:tcPr>
            <w:tcW w:w="18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Преглед декларације (назив и врста играчке, навод серије, навод серијског броја или броја модела, навод имена и адресе произвођача и увозника, навод упозорења и упутства за употребу и одржавање на српском језику, навод адекватности за узраст, навод српског знака усаглашености); садржај формалдехида</w:t>
            </w:r>
          </w:p>
        </w:tc>
      </w:tr>
      <w:tr w:rsidR="00E6057A" w:rsidRPr="00F04055" w:rsidTr="00E6057A">
        <w:tc>
          <w:tcPr>
            <w:tcW w:w="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4.</w:t>
            </w:r>
          </w:p>
        </w:tc>
        <w:tc>
          <w:tcPr>
            <w:tcW w:w="9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Maтeриjaли и прeдмeти у кoнтaкту сa хрaнoм: емајлирано, керамичко, порцуланско, глинено посуђе и прибор</w:t>
            </w:r>
          </w:p>
        </w:tc>
        <w:tc>
          <w:tcPr>
            <w:tcW w:w="7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Одступања у погледу физичких карактеристика; одступања у миграцији метала</w:t>
            </w:r>
          </w:p>
        </w:tc>
        <w:tc>
          <w:tcPr>
            <w:tcW w:w="6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Промет, складиштење, укључујући магацине готових производа произвођача</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594</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2.3</w:t>
            </w:r>
          </w:p>
        </w:tc>
        <w:tc>
          <w:tcPr>
            <w:tcW w:w="18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Визуелни преглед; миграција олова; миграција кадмијума</w:t>
            </w:r>
          </w:p>
        </w:tc>
      </w:tr>
      <w:tr w:rsidR="00E6057A" w:rsidRPr="00F04055" w:rsidTr="00E6057A">
        <w:tc>
          <w:tcPr>
            <w:tcW w:w="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5.</w:t>
            </w:r>
          </w:p>
        </w:tc>
        <w:tc>
          <w:tcPr>
            <w:tcW w:w="9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Козметички производи који дуже остају на кожи</w:t>
            </w:r>
          </w:p>
        </w:tc>
        <w:tc>
          <w:tcPr>
            <w:tcW w:w="7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 xml:space="preserve">Неправилности у декларацији, одступање од садржаја </w:t>
            </w:r>
            <w:r w:rsidRPr="00F04055">
              <w:rPr>
                <w:rFonts w:ascii="Arial" w:hAnsi="Arial" w:cs="Arial"/>
                <w:color w:val="333333"/>
                <w:sz w:val="20"/>
                <w:szCs w:val="20"/>
              </w:rPr>
              <w:lastRenderedPageBreak/>
              <w:t>конзерванаса, микробиолошка неисправност</w:t>
            </w:r>
          </w:p>
        </w:tc>
        <w:tc>
          <w:tcPr>
            <w:tcW w:w="6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lastRenderedPageBreak/>
              <w:t xml:space="preserve">Промет, складиштење, укључујући магацине </w:t>
            </w:r>
            <w:r w:rsidRPr="00F04055">
              <w:rPr>
                <w:rFonts w:ascii="Arial" w:hAnsi="Arial" w:cs="Arial"/>
                <w:color w:val="333333"/>
                <w:sz w:val="20"/>
                <w:szCs w:val="20"/>
              </w:rPr>
              <w:lastRenderedPageBreak/>
              <w:t>готових производа произвођача</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lastRenderedPageBreak/>
              <w:t>190</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2,3</w:t>
            </w:r>
          </w:p>
        </w:tc>
        <w:tc>
          <w:tcPr>
            <w:tcW w:w="18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 xml:space="preserve">Преглед декларације (укључује и увид у састав у погледу супстанци чија је употреба забрањена у </w:t>
            </w:r>
            <w:r w:rsidRPr="00F04055">
              <w:rPr>
                <w:rFonts w:ascii="Arial" w:hAnsi="Arial" w:cs="Arial"/>
                <w:color w:val="333333"/>
                <w:sz w:val="20"/>
                <w:szCs w:val="20"/>
              </w:rPr>
              <w:lastRenderedPageBreak/>
              <w:t>козметичким производима и супстанци које козметички производи не смеју да садрже изузев под наведеним ограничењима и условима); садржај конзерванаса (На-бензоат, К-сорбат, феноксиетанол, метилпарабен, етилпарабен, пропилпарабен, бутилпарабен, метил-изо-тиазолинон, хлор-метил-изо-тиазолинон), формалдехид;укупан број аеробних мезофилних бактерија, укупан број квасница и плесни, Staphylococcus aureus, Pseudomonas aeruginosa, Е. coli, Candida albicans</w:t>
            </w:r>
          </w:p>
        </w:tc>
      </w:tr>
      <w:tr w:rsidR="00E6057A" w:rsidRPr="00F04055" w:rsidTr="00E6057A">
        <w:tc>
          <w:tcPr>
            <w:tcW w:w="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lastRenderedPageBreak/>
              <w:t>6.</w:t>
            </w:r>
          </w:p>
        </w:tc>
        <w:tc>
          <w:tcPr>
            <w:tcW w:w="9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Козметички производи који се после краћег времена одстрањују са коже</w:t>
            </w:r>
          </w:p>
        </w:tc>
        <w:tc>
          <w:tcPr>
            <w:tcW w:w="7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Неправилности у декларацији, одступање од садржаја конзерванаса, микробиолошка неисправност</w:t>
            </w:r>
          </w:p>
        </w:tc>
        <w:tc>
          <w:tcPr>
            <w:tcW w:w="6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Промет, складиштење, укључујући магацине готових производа произвођача</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222</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2,3</w:t>
            </w:r>
          </w:p>
        </w:tc>
        <w:tc>
          <w:tcPr>
            <w:tcW w:w="18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преглед декларације (укључује и увид у састав у погледу супстанци чија је употреба забрањена у козметичким производима и супстанци које козметички производи не смеју да садрже изузев под наведеним ограничењима и условима); садржај конзерванаса (На-бензоат, К-сорбат, феноксиетанол, метилпарабен, етилпарабен, пропилпарабен, бутилпарабен, метил-изо-тиазолинон, хлор-метил-изо-тиазолинон), формалдехид; укупан број аеробних мезофилних бактерија, укупан број квасница и плесни, Staphylococcus aureus, Pseudomonas aeruginosa, Е. coli, Candida albicans</w:t>
            </w:r>
          </w:p>
        </w:tc>
      </w:tr>
    </w:tbl>
    <w:p w:rsidR="00F04055" w:rsidRPr="00F04055" w:rsidRDefault="00F04055" w:rsidP="00F04055">
      <w:pPr>
        <w:widowControl/>
        <w:autoSpaceDE/>
        <w:autoSpaceDN/>
        <w:spacing w:before="330"/>
        <w:ind w:firstLine="480"/>
        <w:jc w:val="center"/>
        <w:rPr>
          <w:rFonts w:ascii="Arial" w:hAnsi="Arial" w:cs="Arial"/>
          <w:i/>
          <w:iCs/>
          <w:color w:val="333333"/>
          <w:sz w:val="20"/>
          <w:szCs w:val="20"/>
        </w:rPr>
      </w:pPr>
      <w:r w:rsidRPr="00F04055">
        <w:rPr>
          <w:rFonts w:ascii="Arial" w:hAnsi="Arial" w:cs="Arial"/>
          <w:i/>
          <w:iCs/>
          <w:color w:val="333333"/>
          <w:sz w:val="20"/>
          <w:szCs w:val="20"/>
        </w:rPr>
        <w:t>2. Узимање, обележавање, чување и транспорт узорка</w:t>
      </w:r>
    </w:p>
    <w:p w:rsidR="00F04055" w:rsidRPr="00F04055" w:rsidRDefault="00F04055" w:rsidP="00F04055">
      <w:pPr>
        <w:widowControl/>
        <w:autoSpaceDE/>
        <w:autoSpaceDN/>
        <w:spacing w:before="330"/>
        <w:ind w:firstLine="480"/>
        <w:jc w:val="center"/>
        <w:rPr>
          <w:rFonts w:ascii="Arial" w:hAnsi="Arial" w:cs="Arial"/>
          <w:color w:val="333333"/>
          <w:sz w:val="20"/>
          <w:szCs w:val="20"/>
        </w:rPr>
      </w:pPr>
      <w:r w:rsidRPr="00F04055">
        <w:rPr>
          <w:rFonts w:ascii="Arial" w:hAnsi="Arial" w:cs="Arial"/>
          <w:color w:val="333333"/>
          <w:sz w:val="20"/>
          <w:szCs w:val="20"/>
        </w:rPr>
        <w:t>2.1. Одређивање броја узорака, врсте испитивања и начина извештавања</w:t>
      </w:r>
    </w:p>
    <w:p w:rsidR="00F04055" w:rsidRPr="00F04055" w:rsidRDefault="00F04055" w:rsidP="00F04055">
      <w:pPr>
        <w:widowControl/>
        <w:autoSpaceDE/>
        <w:autoSpaceDN/>
        <w:spacing w:before="0" w:after="150"/>
        <w:ind w:firstLine="480"/>
        <w:rPr>
          <w:rFonts w:ascii="Arial" w:hAnsi="Arial" w:cs="Arial"/>
          <w:color w:val="333333"/>
          <w:sz w:val="20"/>
          <w:szCs w:val="20"/>
        </w:rPr>
      </w:pPr>
      <w:proofErr w:type="gramStart"/>
      <w:r w:rsidRPr="00F04055">
        <w:rPr>
          <w:rFonts w:ascii="Arial" w:hAnsi="Arial" w:cs="Arial"/>
          <w:color w:val="333333"/>
          <w:sz w:val="20"/>
          <w:szCs w:val="20"/>
        </w:rPr>
        <w:t>Број узорака и врсту испитивања на нивоу управног округа, одређује надлежни орган у складу са Табелом 1.</w:t>
      </w:r>
      <w:proofErr w:type="gramEnd"/>
      <w:r w:rsidRPr="00F04055">
        <w:rPr>
          <w:rFonts w:ascii="Arial" w:hAnsi="Arial" w:cs="Arial"/>
          <w:color w:val="333333"/>
          <w:sz w:val="20"/>
          <w:szCs w:val="20"/>
        </w:rPr>
        <w:t xml:space="preserve"> </w:t>
      </w:r>
      <w:proofErr w:type="gramStart"/>
      <w:r w:rsidRPr="00F04055">
        <w:rPr>
          <w:rFonts w:ascii="Arial" w:hAnsi="Arial" w:cs="Arial"/>
          <w:color w:val="333333"/>
          <w:sz w:val="20"/>
          <w:szCs w:val="20"/>
        </w:rPr>
        <w:t>овог</w:t>
      </w:r>
      <w:proofErr w:type="gramEnd"/>
      <w:r w:rsidRPr="00F04055">
        <w:rPr>
          <w:rFonts w:ascii="Arial" w:hAnsi="Arial" w:cs="Arial"/>
          <w:color w:val="333333"/>
          <w:sz w:val="20"/>
          <w:szCs w:val="20"/>
        </w:rPr>
        <w:t xml:space="preserve"> програма. </w:t>
      </w:r>
      <w:proofErr w:type="gramStart"/>
      <w:r w:rsidRPr="00F04055">
        <w:rPr>
          <w:rFonts w:ascii="Arial" w:hAnsi="Arial" w:cs="Arial"/>
          <w:color w:val="333333"/>
          <w:sz w:val="20"/>
          <w:szCs w:val="20"/>
        </w:rPr>
        <w:t>Извештај о спровођењу Плана мониторинга доставља се надлежном органу на кварталном нивоу у форми збирне табеле чија је садржина дата у Табели 2 – Извештај о спровођењу Плана мониторинга предмета опште употребе.</w:t>
      </w:r>
      <w:proofErr w:type="gramEnd"/>
    </w:p>
    <w:p w:rsidR="00F04055" w:rsidRPr="00F04055" w:rsidRDefault="00F04055" w:rsidP="00F04055">
      <w:pPr>
        <w:widowControl/>
        <w:autoSpaceDE/>
        <w:autoSpaceDN/>
        <w:spacing w:before="330"/>
        <w:ind w:firstLine="480"/>
        <w:jc w:val="center"/>
        <w:rPr>
          <w:rFonts w:ascii="Arial" w:hAnsi="Arial" w:cs="Arial"/>
          <w:color w:val="333333"/>
          <w:sz w:val="20"/>
          <w:szCs w:val="20"/>
        </w:rPr>
      </w:pPr>
      <w:r w:rsidRPr="00F04055">
        <w:rPr>
          <w:rFonts w:ascii="Arial" w:hAnsi="Arial" w:cs="Arial"/>
          <w:color w:val="333333"/>
          <w:sz w:val="20"/>
          <w:szCs w:val="20"/>
        </w:rPr>
        <w:t>2.2. Узимање узорака</w:t>
      </w:r>
    </w:p>
    <w:p w:rsidR="00F04055" w:rsidRPr="00F04055" w:rsidRDefault="00F04055" w:rsidP="00F04055">
      <w:pPr>
        <w:widowControl/>
        <w:autoSpaceDE/>
        <w:autoSpaceDN/>
        <w:spacing w:before="0" w:after="150"/>
        <w:ind w:firstLine="480"/>
        <w:rPr>
          <w:rFonts w:ascii="Arial" w:hAnsi="Arial" w:cs="Arial"/>
          <w:color w:val="333333"/>
          <w:sz w:val="20"/>
          <w:szCs w:val="20"/>
        </w:rPr>
      </w:pPr>
      <w:proofErr w:type="gramStart"/>
      <w:r w:rsidRPr="00F04055">
        <w:rPr>
          <w:rFonts w:ascii="Arial" w:hAnsi="Arial" w:cs="Arial"/>
          <w:color w:val="333333"/>
          <w:sz w:val="20"/>
          <w:szCs w:val="20"/>
        </w:rPr>
        <w:t xml:space="preserve">Узимање узорака предмета опште употребе за потребе спровођења мониторинга обавља санитарна инспекција у сарадњи са овлашћеним лабораторијама института/завода за јавно здравље за испитивање </w:t>
      </w:r>
      <w:r w:rsidRPr="00F04055">
        <w:rPr>
          <w:rFonts w:ascii="Arial" w:hAnsi="Arial" w:cs="Arial"/>
          <w:color w:val="333333"/>
          <w:sz w:val="20"/>
          <w:szCs w:val="20"/>
        </w:rPr>
        <w:lastRenderedPageBreak/>
        <w:t>узорака у оквиру мониторинга предмета опште употребе.</w:t>
      </w:r>
      <w:proofErr w:type="gramEnd"/>
      <w:r w:rsidRPr="00F04055">
        <w:rPr>
          <w:rFonts w:ascii="Arial" w:hAnsi="Arial" w:cs="Arial"/>
          <w:color w:val="333333"/>
          <w:sz w:val="20"/>
          <w:szCs w:val="20"/>
        </w:rPr>
        <w:t xml:space="preserve"> </w:t>
      </w:r>
      <w:proofErr w:type="gramStart"/>
      <w:r w:rsidRPr="00F04055">
        <w:rPr>
          <w:rFonts w:ascii="Arial" w:hAnsi="Arial" w:cs="Arial"/>
          <w:color w:val="333333"/>
          <w:sz w:val="20"/>
          <w:szCs w:val="20"/>
        </w:rPr>
        <w:t>Службени узорак узима се у складу са условима који су прописани у овом одељку.</w:t>
      </w:r>
      <w:proofErr w:type="gramEnd"/>
      <w:r w:rsidRPr="00F04055">
        <w:rPr>
          <w:rFonts w:ascii="Arial" w:hAnsi="Arial" w:cs="Arial"/>
          <w:color w:val="333333"/>
          <w:sz w:val="20"/>
          <w:szCs w:val="20"/>
        </w:rPr>
        <w:t xml:space="preserve"> </w:t>
      </w:r>
      <w:proofErr w:type="gramStart"/>
      <w:r w:rsidRPr="00F04055">
        <w:rPr>
          <w:rFonts w:ascii="Arial" w:hAnsi="Arial" w:cs="Arial"/>
          <w:color w:val="333333"/>
          <w:sz w:val="20"/>
          <w:szCs w:val="20"/>
        </w:rPr>
        <w:t>У случају да се утврди присуство микробиолошких, хемијских и биолошких опасности, спроводи се службена контрола.</w:t>
      </w:r>
      <w:proofErr w:type="gramEnd"/>
      <w:r w:rsidRPr="00F04055">
        <w:rPr>
          <w:rFonts w:ascii="Arial" w:hAnsi="Arial" w:cs="Arial"/>
          <w:color w:val="333333"/>
          <w:sz w:val="20"/>
          <w:szCs w:val="20"/>
        </w:rPr>
        <w:t xml:space="preserve"> </w:t>
      </w:r>
      <w:proofErr w:type="gramStart"/>
      <w:r w:rsidRPr="00F04055">
        <w:rPr>
          <w:rFonts w:ascii="Arial" w:hAnsi="Arial" w:cs="Arial"/>
          <w:color w:val="333333"/>
          <w:sz w:val="20"/>
          <w:szCs w:val="20"/>
        </w:rPr>
        <w:t>Узорци за микробиолошка испитивања узимају се асептично помоћу стерилног прибора, у стерилне посуде/стерилне кесе, водећи рачуна да не дође до контаминације узорка из околине и/или са површине амбалаже.</w:t>
      </w:r>
      <w:proofErr w:type="gramEnd"/>
      <w:r w:rsidRPr="00F04055">
        <w:rPr>
          <w:rFonts w:ascii="Arial" w:hAnsi="Arial" w:cs="Arial"/>
          <w:color w:val="333333"/>
          <w:sz w:val="20"/>
          <w:szCs w:val="20"/>
        </w:rPr>
        <w:t xml:space="preserve"> </w:t>
      </w:r>
      <w:proofErr w:type="gramStart"/>
      <w:r w:rsidRPr="00F04055">
        <w:rPr>
          <w:rFonts w:ascii="Arial" w:hAnsi="Arial" w:cs="Arial"/>
          <w:color w:val="333333"/>
          <w:sz w:val="20"/>
          <w:szCs w:val="20"/>
        </w:rPr>
        <w:t>Узорци за хемијска испитивања пакују се у паковања која су хемијски неутрална.</w:t>
      </w:r>
      <w:proofErr w:type="gramEnd"/>
    </w:p>
    <w:p w:rsidR="00F04055" w:rsidRPr="00F04055" w:rsidRDefault="00F04055" w:rsidP="00F04055">
      <w:pPr>
        <w:widowControl/>
        <w:autoSpaceDE/>
        <w:autoSpaceDN/>
        <w:spacing w:before="330"/>
        <w:ind w:firstLine="480"/>
        <w:jc w:val="center"/>
        <w:rPr>
          <w:rFonts w:ascii="Arial" w:hAnsi="Arial" w:cs="Arial"/>
          <w:color w:val="333333"/>
          <w:sz w:val="20"/>
          <w:szCs w:val="20"/>
        </w:rPr>
      </w:pPr>
      <w:r w:rsidRPr="00F04055">
        <w:rPr>
          <w:rFonts w:ascii="Arial" w:hAnsi="Arial" w:cs="Arial"/>
          <w:color w:val="333333"/>
          <w:sz w:val="20"/>
          <w:szCs w:val="20"/>
        </w:rPr>
        <w:t>2.3. Обележавање узорака</w:t>
      </w:r>
    </w:p>
    <w:p w:rsidR="00F04055" w:rsidRPr="00F04055" w:rsidRDefault="00F04055" w:rsidP="00F04055">
      <w:pPr>
        <w:widowControl/>
        <w:autoSpaceDE/>
        <w:autoSpaceDN/>
        <w:spacing w:before="0" w:after="150"/>
        <w:ind w:firstLine="480"/>
        <w:rPr>
          <w:rFonts w:ascii="Arial" w:hAnsi="Arial" w:cs="Arial"/>
          <w:color w:val="333333"/>
          <w:sz w:val="20"/>
          <w:szCs w:val="20"/>
        </w:rPr>
      </w:pPr>
      <w:proofErr w:type="gramStart"/>
      <w:r w:rsidRPr="00F04055">
        <w:rPr>
          <w:rFonts w:ascii="Arial" w:hAnsi="Arial" w:cs="Arial"/>
          <w:color w:val="333333"/>
          <w:sz w:val="20"/>
          <w:szCs w:val="20"/>
        </w:rPr>
        <w:t>Предмети опште употребе узорковани у мониторингу се обележавају одговарајућом ознаком и достављају институту/заводу за јавно здравље на анализу, уз Записник, чија је садржина дата у Табели 3 – Записник о узимању узорака предмета опште употребе.</w:t>
      </w:r>
      <w:proofErr w:type="gramEnd"/>
    </w:p>
    <w:p w:rsidR="00F04055" w:rsidRPr="00F04055" w:rsidRDefault="00F04055" w:rsidP="00F04055">
      <w:pPr>
        <w:widowControl/>
        <w:autoSpaceDE/>
        <w:autoSpaceDN/>
        <w:spacing w:before="0" w:after="150"/>
        <w:ind w:firstLine="480"/>
        <w:rPr>
          <w:rFonts w:ascii="Arial" w:hAnsi="Arial" w:cs="Arial"/>
          <w:color w:val="333333"/>
          <w:sz w:val="20"/>
          <w:szCs w:val="20"/>
        </w:rPr>
      </w:pPr>
      <w:proofErr w:type="gramStart"/>
      <w:r w:rsidRPr="00F04055">
        <w:rPr>
          <w:rFonts w:ascii="Arial" w:hAnsi="Arial" w:cs="Arial"/>
          <w:color w:val="333333"/>
          <w:sz w:val="20"/>
          <w:szCs w:val="20"/>
        </w:rPr>
        <w:t>У институту/заводу за јавно здравље се приликом пријема узорка на анализе попуњава записник о пријему узорка, чија је садржина дата у Табели 4 – Попуњени записник о пријему узорка доставља се санитарном инспектору који је спровео узорковање.</w:t>
      </w:r>
      <w:proofErr w:type="gramEnd"/>
    </w:p>
    <w:p w:rsidR="00F04055" w:rsidRPr="00F04055" w:rsidRDefault="00F04055" w:rsidP="00F04055">
      <w:pPr>
        <w:widowControl/>
        <w:autoSpaceDE/>
        <w:autoSpaceDN/>
        <w:spacing w:before="330"/>
        <w:ind w:firstLine="480"/>
        <w:jc w:val="center"/>
        <w:rPr>
          <w:rFonts w:ascii="Arial" w:hAnsi="Arial" w:cs="Arial"/>
          <w:color w:val="333333"/>
          <w:sz w:val="20"/>
          <w:szCs w:val="20"/>
        </w:rPr>
      </w:pPr>
      <w:r w:rsidRPr="00F04055">
        <w:rPr>
          <w:rFonts w:ascii="Arial" w:hAnsi="Arial" w:cs="Arial"/>
          <w:color w:val="333333"/>
          <w:sz w:val="20"/>
          <w:szCs w:val="20"/>
        </w:rPr>
        <w:t>2.4. Чување и транспорт свих врста узорака</w:t>
      </w:r>
    </w:p>
    <w:p w:rsidR="00F04055" w:rsidRPr="00F04055" w:rsidRDefault="00F04055" w:rsidP="00F04055">
      <w:pPr>
        <w:widowControl/>
        <w:autoSpaceDE/>
        <w:autoSpaceDN/>
        <w:spacing w:before="0" w:after="150"/>
        <w:ind w:firstLine="480"/>
        <w:rPr>
          <w:rFonts w:ascii="Arial" w:hAnsi="Arial" w:cs="Arial"/>
          <w:color w:val="333333"/>
          <w:sz w:val="20"/>
          <w:szCs w:val="20"/>
        </w:rPr>
      </w:pPr>
      <w:proofErr w:type="gramStart"/>
      <w:r w:rsidRPr="00F04055">
        <w:rPr>
          <w:rFonts w:ascii="Arial" w:hAnsi="Arial" w:cs="Arial"/>
          <w:color w:val="333333"/>
          <w:sz w:val="20"/>
          <w:szCs w:val="20"/>
        </w:rPr>
        <w:t>Чување и транспорт узорака до почетка лабораторијских испитивања треба да буде такав да не дође до промена интегритета узорка, контаминације узорка, промене његових сензорских карактеристика.</w:t>
      </w:r>
      <w:proofErr w:type="gramEnd"/>
      <w:r w:rsidRPr="00F04055">
        <w:rPr>
          <w:rFonts w:ascii="Arial" w:hAnsi="Arial" w:cs="Arial"/>
          <w:color w:val="333333"/>
          <w:sz w:val="20"/>
          <w:szCs w:val="20"/>
        </w:rPr>
        <w:t xml:space="preserve"> </w:t>
      </w:r>
      <w:proofErr w:type="gramStart"/>
      <w:r w:rsidRPr="00F04055">
        <w:rPr>
          <w:rFonts w:ascii="Arial" w:hAnsi="Arial" w:cs="Arial"/>
          <w:color w:val="333333"/>
          <w:sz w:val="20"/>
          <w:szCs w:val="20"/>
        </w:rPr>
        <w:t>Узорци за микробилошка испитивања транспортују се на начин да транспортна посуда и/или возило за транспорт одржавају температуру до +4°C.</w:t>
      </w:r>
      <w:proofErr w:type="gramEnd"/>
      <w:r w:rsidRPr="00F04055">
        <w:rPr>
          <w:rFonts w:ascii="Arial" w:hAnsi="Arial" w:cs="Arial"/>
          <w:color w:val="333333"/>
          <w:sz w:val="20"/>
          <w:szCs w:val="20"/>
        </w:rPr>
        <w:t xml:space="preserve"> </w:t>
      </w:r>
      <w:proofErr w:type="gramStart"/>
      <w:r w:rsidRPr="00F04055">
        <w:rPr>
          <w:rFonts w:ascii="Arial" w:hAnsi="Arial" w:cs="Arial"/>
          <w:color w:val="333333"/>
          <w:sz w:val="20"/>
          <w:szCs w:val="20"/>
        </w:rPr>
        <w:t>Транспорт и чување узорака до почетка испитивања у лабораторији спроводи се у складу са добром лабораторијском праксом.</w:t>
      </w:r>
      <w:proofErr w:type="gramEnd"/>
    </w:p>
    <w:p w:rsidR="00F04055" w:rsidRPr="00F04055" w:rsidRDefault="00F04055" w:rsidP="00F04055">
      <w:pPr>
        <w:widowControl/>
        <w:autoSpaceDE/>
        <w:autoSpaceDN/>
        <w:spacing w:before="330"/>
        <w:ind w:firstLine="480"/>
        <w:jc w:val="center"/>
        <w:rPr>
          <w:rFonts w:ascii="Arial" w:hAnsi="Arial" w:cs="Arial"/>
          <w:color w:val="333333"/>
          <w:sz w:val="20"/>
          <w:szCs w:val="20"/>
        </w:rPr>
      </w:pPr>
      <w:r w:rsidRPr="00F04055">
        <w:rPr>
          <w:rFonts w:ascii="Arial" w:hAnsi="Arial" w:cs="Arial"/>
          <w:color w:val="333333"/>
          <w:sz w:val="20"/>
          <w:szCs w:val="20"/>
        </w:rPr>
        <w:t>2.5. Узорковање у промету, укључујући магацине готових производа произвођача</w:t>
      </w:r>
    </w:p>
    <w:p w:rsidR="00F04055" w:rsidRPr="00F04055" w:rsidRDefault="00F04055" w:rsidP="00F04055">
      <w:pPr>
        <w:widowControl/>
        <w:autoSpaceDE/>
        <w:autoSpaceDN/>
        <w:spacing w:before="0" w:after="150"/>
        <w:ind w:firstLine="480"/>
        <w:rPr>
          <w:rFonts w:ascii="Arial" w:hAnsi="Arial" w:cs="Arial"/>
          <w:color w:val="333333"/>
          <w:sz w:val="20"/>
          <w:szCs w:val="20"/>
        </w:rPr>
      </w:pPr>
      <w:proofErr w:type="gramStart"/>
      <w:r w:rsidRPr="00F04055">
        <w:rPr>
          <w:rFonts w:ascii="Arial" w:hAnsi="Arial" w:cs="Arial"/>
          <w:color w:val="333333"/>
          <w:sz w:val="20"/>
          <w:szCs w:val="20"/>
        </w:rPr>
        <w:t>Узорковање предмета опште употребе у промету, укључујући магацине готових производа произвођача врши се узимањем узорка кога чини једна јединица оригинално запакованог предмета опште употребе или количина која је потребна за вршење одређених испитивања.</w:t>
      </w:r>
      <w:proofErr w:type="gramEnd"/>
    </w:p>
    <w:p w:rsidR="00F04055" w:rsidRPr="00F04055" w:rsidRDefault="00F04055" w:rsidP="00F04055">
      <w:pPr>
        <w:widowControl/>
        <w:autoSpaceDE/>
        <w:autoSpaceDN/>
        <w:spacing w:before="330"/>
        <w:ind w:firstLine="480"/>
        <w:jc w:val="center"/>
        <w:rPr>
          <w:rFonts w:ascii="Arial" w:hAnsi="Arial" w:cs="Arial"/>
          <w:i/>
          <w:iCs/>
          <w:color w:val="333333"/>
          <w:sz w:val="20"/>
          <w:szCs w:val="20"/>
        </w:rPr>
      </w:pPr>
      <w:r w:rsidRPr="00F04055">
        <w:rPr>
          <w:rFonts w:ascii="Arial" w:hAnsi="Arial" w:cs="Arial"/>
          <w:i/>
          <w:iCs/>
          <w:color w:val="333333"/>
          <w:sz w:val="20"/>
          <w:szCs w:val="20"/>
        </w:rPr>
        <w:t>3. Испитивање узорака предмета опште употребе</w:t>
      </w:r>
    </w:p>
    <w:p w:rsidR="00F04055" w:rsidRPr="00F04055" w:rsidRDefault="00F04055" w:rsidP="00F04055">
      <w:pPr>
        <w:widowControl/>
        <w:autoSpaceDE/>
        <w:autoSpaceDN/>
        <w:spacing w:before="0" w:after="150"/>
        <w:ind w:firstLine="480"/>
        <w:rPr>
          <w:rFonts w:ascii="Arial" w:hAnsi="Arial" w:cs="Arial"/>
          <w:color w:val="333333"/>
          <w:sz w:val="20"/>
          <w:szCs w:val="20"/>
        </w:rPr>
      </w:pPr>
      <w:proofErr w:type="gramStart"/>
      <w:r w:rsidRPr="00F04055">
        <w:rPr>
          <w:rFonts w:ascii="Arial" w:hAnsi="Arial" w:cs="Arial"/>
          <w:color w:val="333333"/>
          <w:sz w:val="20"/>
          <w:szCs w:val="20"/>
        </w:rPr>
        <w:t>Испитивање узорака предмета опште употребе у оквиру Програма мониторинга врши се у институтима/заводима за јавно здравље.</w:t>
      </w:r>
      <w:proofErr w:type="gramEnd"/>
      <w:r w:rsidRPr="00F04055">
        <w:rPr>
          <w:rFonts w:ascii="Arial" w:hAnsi="Arial" w:cs="Arial"/>
          <w:color w:val="333333"/>
          <w:sz w:val="20"/>
          <w:szCs w:val="20"/>
        </w:rPr>
        <w:t xml:space="preserve"> </w:t>
      </w:r>
      <w:proofErr w:type="gramStart"/>
      <w:r w:rsidRPr="00F04055">
        <w:rPr>
          <w:rFonts w:ascii="Arial" w:hAnsi="Arial" w:cs="Arial"/>
          <w:color w:val="333333"/>
          <w:sz w:val="20"/>
          <w:szCs w:val="20"/>
        </w:rPr>
        <w:t>Резултати испитивања се достављају надлежном органу без одлагања, а најкасније до 14 дана од дана узорковања.</w:t>
      </w:r>
      <w:proofErr w:type="gramEnd"/>
      <w:r w:rsidRPr="00F04055">
        <w:rPr>
          <w:rFonts w:ascii="Arial" w:hAnsi="Arial" w:cs="Arial"/>
          <w:color w:val="333333"/>
          <w:sz w:val="20"/>
          <w:szCs w:val="20"/>
        </w:rPr>
        <w:t xml:space="preserve"> </w:t>
      </w:r>
      <w:proofErr w:type="gramStart"/>
      <w:r w:rsidRPr="00F04055">
        <w:rPr>
          <w:rFonts w:ascii="Arial" w:hAnsi="Arial" w:cs="Arial"/>
          <w:color w:val="333333"/>
          <w:sz w:val="20"/>
          <w:szCs w:val="20"/>
        </w:rPr>
        <w:t>У току спровођења Програма мониторинга методе које се користе за испитивање узорака морају бити акредитоване и/или валидоване у складу са захтевима прописа којим се уређује здравствена исправност/безбедност предмета опште употребе.</w:t>
      </w:r>
      <w:proofErr w:type="gramEnd"/>
    </w:p>
    <w:p w:rsidR="00F04055" w:rsidRPr="00F04055" w:rsidRDefault="00F04055" w:rsidP="00F04055">
      <w:pPr>
        <w:widowControl/>
        <w:autoSpaceDE/>
        <w:autoSpaceDN/>
        <w:spacing w:before="330"/>
        <w:ind w:firstLine="480"/>
        <w:jc w:val="center"/>
        <w:rPr>
          <w:rFonts w:ascii="Arial" w:hAnsi="Arial" w:cs="Arial"/>
          <w:i/>
          <w:iCs/>
          <w:color w:val="333333"/>
          <w:sz w:val="20"/>
          <w:szCs w:val="20"/>
        </w:rPr>
      </w:pPr>
      <w:r w:rsidRPr="00F04055">
        <w:rPr>
          <w:rFonts w:ascii="Arial" w:hAnsi="Arial" w:cs="Arial"/>
          <w:i/>
          <w:iCs/>
          <w:color w:val="333333"/>
          <w:sz w:val="20"/>
          <w:szCs w:val="20"/>
        </w:rPr>
        <w:t>4. Начин извештавања</w:t>
      </w:r>
    </w:p>
    <w:p w:rsidR="00F04055" w:rsidRPr="00F04055" w:rsidRDefault="00F04055" w:rsidP="00F04055">
      <w:pPr>
        <w:widowControl/>
        <w:autoSpaceDE/>
        <w:autoSpaceDN/>
        <w:spacing w:before="0" w:after="150"/>
        <w:ind w:firstLine="480"/>
        <w:rPr>
          <w:rFonts w:ascii="Arial" w:hAnsi="Arial" w:cs="Arial"/>
          <w:color w:val="333333"/>
          <w:sz w:val="20"/>
          <w:szCs w:val="20"/>
        </w:rPr>
      </w:pPr>
      <w:proofErr w:type="gramStart"/>
      <w:r w:rsidRPr="00F04055">
        <w:rPr>
          <w:rFonts w:ascii="Arial" w:hAnsi="Arial" w:cs="Arial"/>
          <w:color w:val="333333"/>
          <w:sz w:val="20"/>
          <w:szCs w:val="20"/>
        </w:rPr>
        <w:t>Институт за јавно здравље Србије је дужан да на основу резултата спроведеног Програма мониторинга, достави Министарству извештај о здравственој исправности предмета опште употребе на територији Републике Србије са стручном анализом и предлогом мера, најкасније до 31.</w:t>
      </w:r>
      <w:proofErr w:type="gramEnd"/>
      <w:r w:rsidRPr="00F04055">
        <w:rPr>
          <w:rFonts w:ascii="Arial" w:hAnsi="Arial" w:cs="Arial"/>
          <w:color w:val="333333"/>
          <w:sz w:val="20"/>
          <w:szCs w:val="20"/>
        </w:rPr>
        <w:t xml:space="preserve"> </w:t>
      </w:r>
      <w:proofErr w:type="gramStart"/>
      <w:r w:rsidRPr="00F04055">
        <w:rPr>
          <w:rFonts w:ascii="Arial" w:hAnsi="Arial" w:cs="Arial"/>
          <w:color w:val="333333"/>
          <w:sz w:val="20"/>
          <w:szCs w:val="20"/>
        </w:rPr>
        <w:t>јула</w:t>
      </w:r>
      <w:proofErr w:type="gramEnd"/>
      <w:r w:rsidRPr="00F04055">
        <w:rPr>
          <w:rFonts w:ascii="Arial" w:hAnsi="Arial" w:cs="Arial"/>
          <w:color w:val="333333"/>
          <w:sz w:val="20"/>
          <w:szCs w:val="20"/>
        </w:rPr>
        <w:t xml:space="preserve"> текуће године за првих шест месеци и до 31. </w:t>
      </w:r>
      <w:proofErr w:type="gramStart"/>
      <w:r w:rsidRPr="00F04055">
        <w:rPr>
          <w:rFonts w:ascii="Arial" w:hAnsi="Arial" w:cs="Arial"/>
          <w:color w:val="333333"/>
          <w:sz w:val="20"/>
          <w:szCs w:val="20"/>
        </w:rPr>
        <w:t>јануара</w:t>
      </w:r>
      <w:proofErr w:type="gramEnd"/>
      <w:r w:rsidRPr="00F04055">
        <w:rPr>
          <w:rFonts w:ascii="Arial" w:hAnsi="Arial" w:cs="Arial"/>
          <w:color w:val="333333"/>
          <w:sz w:val="20"/>
          <w:szCs w:val="20"/>
        </w:rPr>
        <w:t xml:space="preserve"> наредне године за претходну годину.</w:t>
      </w:r>
    </w:p>
    <w:p w:rsidR="00F04055" w:rsidRPr="00F04055" w:rsidRDefault="00F04055" w:rsidP="00F04055">
      <w:pPr>
        <w:widowControl/>
        <w:autoSpaceDE/>
        <w:autoSpaceDN/>
        <w:spacing w:before="0" w:after="150"/>
        <w:ind w:firstLine="480"/>
        <w:rPr>
          <w:rFonts w:ascii="Arial" w:hAnsi="Arial" w:cs="Arial"/>
          <w:color w:val="333333"/>
          <w:sz w:val="20"/>
          <w:szCs w:val="20"/>
        </w:rPr>
      </w:pPr>
      <w:r w:rsidRPr="00F04055">
        <w:rPr>
          <w:rFonts w:ascii="Arial" w:hAnsi="Arial" w:cs="Arial"/>
          <w:color w:val="333333"/>
          <w:sz w:val="20"/>
          <w:szCs w:val="20"/>
        </w:rPr>
        <w:t>ПРИЛОЗИ:</w:t>
      </w:r>
    </w:p>
    <w:p w:rsidR="00F04055" w:rsidRPr="00F04055" w:rsidRDefault="00F04055" w:rsidP="00F04055">
      <w:pPr>
        <w:widowControl/>
        <w:autoSpaceDE/>
        <w:autoSpaceDN/>
        <w:spacing w:before="0" w:after="0"/>
        <w:ind w:firstLine="480"/>
        <w:rPr>
          <w:rFonts w:ascii="Arial" w:hAnsi="Arial" w:cs="Arial"/>
          <w:color w:val="333333"/>
          <w:sz w:val="20"/>
          <w:szCs w:val="20"/>
        </w:rPr>
      </w:pPr>
      <w:proofErr w:type="gramStart"/>
      <w:r w:rsidRPr="00F04055">
        <w:rPr>
          <w:rFonts w:ascii="Arial" w:hAnsi="Arial" w:cs="Arial"/>
          <w:b/>
          <w:bCs/>
          <w:color w:val="333333"/>
          <w:sz w:val="20"/>
          <w:szCs w:val="20"/>
        </w:rPr>
        <w:t>Табела 2.</w:t>
      </w:r>
      <w:proofErr w:type="gramEnd"/>
      <w:r w:rsidRPr="00F04055">
        <w:rPr>
          <w:rFonts w:ascii="Arial" w:hAnsi="Arial" w:cs="Arial"/>
          <w:b/>
          <w:bCs/>
          <w:color w:val="333333"/>
          <w:sz w:val="20"/>
          <w:szCs w:val="20"/>
        </w:rPr>
        <w:t> </w:t>
      </w:r>
      <w:r w:rsidRPr="00F04055">
        <w:rPr>
          <w:rFonts w:ascii="Arial" w:hAnsi="Arial" w:cs="Arial"/>
          <w:color w:val="333333"/>
          <w:sz w:val="20"/>
          <w:szCs w:val="20"/>
        </w:rPr>
        <w:t>Извештај о спровођењу Плана мониторинга предмета опште употребе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4"/>
        <w:gridCol w:w="1165"/>
        <w:gridCol w:w="1165"/>
        <w:gridCol w:w="1087"/>
        <w:gridCol w:w="1186"/>
        <w:gridCol w:w="1186"/>
        <w:gridCol w:w="1058"/>
        <w:gridCol w:w="1690"/>
        <w:gridCol w:w="1048"/>
      </w:tblGrid>
      <w:tr w:rsidR="00E6057A" w:rsidRPr="00F04055" w:rsidTr="00E6057A">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 xml:space="preserve">Р. </w:t>
            </w:r>
            <w:proofErr w:type="gramStart"/>
            <w:r w:rsidRPr="00F04055">
              <w:rPr>
                <w:rFonts w:ascii="Arial" w:hAnsi="Arial" w:cs="Arial"/>
                <w:color w:val="333333"/>
                <w:sz w:val="20"/>
                <w:szCs w:val="20"/>
              </w:rPr>
              <w:t>бр</w:t>
            </w:r>
            <w:proofErr w:type="gramEnd"/>
            <w:r w:rsidRPr="00F04055">
              <w:rPr>
                <w:rFonts w:ascii="Arial" w:hAnsi="Arial" w:cs="Arial"/>
                <w:color w:val="333333"/>
                <w:sz w:val="20"/>
                <w:szCs w:val="20"/>
              </w:rPr>
              <w:t>. узорка</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Датум узорковања</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Место узорковања</w:t>
            </w:r>
          </w:p>
        </w:tc>
        <w:tc>
          <w:tcPr>
            <w:tcW w:w="9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Назив и адреса субјекта у пословању храном</w:t>
            </w:r>
          </w:p>
        </w:tc>
        <w:tc>
          <w:tcPr>
            <w:tcW w:w="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Предмет испитивања (врста узорка)</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Врста испитивања (опасности)</w:t>
            </w:r>
          </w:p>
        </w:tc>
        <w:tc>
          <w:tcPr>
            <w:tcW w:w="5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Број службених узорака</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Утврђене неусаглашености</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150"/>
              <w:rPr>
                <w:rFonts w:ascii="Arial" w:hAnsi="Arial" w:cs="Arial"/>
                <w:color w:val="333333"/>
                <w:sz w:val="20"/>
                <w:szCs w:val="20"/>
              </w:rPr>
            </w:pPr>
            <w:r w:rsidRPr="00F04055">
              <w:rPr>
                <w:rFonts w:ascii="Arial" w:hAnsi="Arial" w:cs="Arial"/>
                <w:color w:val="333333"/>
                <w:sz w:val="20"/>
                <w:szCs w:val="20"/>
              </w:rPr>
              <w:t>Предузете мере</w:t>
            </w:r>
          </w:p>
        </w:tc>
      </w:tr>
      <w:tr w:rsidR="00E6057A" w:rsidRPr="00F04055" w:rsidTr="00E6057A">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0"/>
              <w:rPr>
                <w:rFonts w:ascii="Arial" w:hAnsi="Arial" w:cs="Arial"/>
                <w:color w:val="333333"/>
                <w:sz w:val="20"/>
                <w:szCs w:val="20"/>
              </w:rPr>
            </w:pP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0"/>
              <w:rPr>
                <w:rFonts w:ascii="Arial" w:hAnsi="Arial" w:cs="Arial"/>
                <w:color w:val="333333"/>
                <w:sz w:val="20"/>
                <w:szCs w:val="20"/>
              </w:rPr>
            </w:pP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0"/>
              <w:rPr>
                <w:rFonts w:ascii="Arial" w:hAnsi="Arial" w:cs="Arial"/>
                <w:color w:val="333333"/>
                <w:sz w:val="20"/>
                <w:szCs w:val="20"/>
              </w:rPr>
            </w:pPr>
          </w:p>
        </w:tc>
        <w:tc>
          <w:tcPr>
            <w:tcW w:w="9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0"/>
              <w:rPr>
                <w:rFonts w:ascii="Arial" w:hAnsi="Arial" w:cs="Arial"/>
                <w:color w:val="333333"/>
                <w:sz w:val="20"/>
                <w:szCs w:val="20"/>
              </w:rPr>
            </w:pPr>
          </w:p>
        </w:tc>
        <w:tc>
          <w:tcPr>
            <w:tcW w:w="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0"/>
              <w:rPr>
                <w:rFonts w:ascii="Arial" w:hAnsi="Arial" w:cs="Arial"/>
                <w:color w:val="333333"/>
                <w:sz w:val="20"/>
                <w:szCs w:val="20"/>
              </w:rPr>
            </w:pP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0"/>
              <w:rPr>
                <w:rFonts w:ascii="Arial" w:hAnsi="Arial" w:cs="Arial"/>
                <w:color w:val="333333"/>
                <w:sz w:val="20"/>
                <w:szCs w:val="20"/>
              </w:rPr>
            </w:pPr>
          </w:p>
        </w:tc>
        <w:tc>
          <w:tcPr>
            <w:tcW w:w="5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0"/>
              <w:rPr>
                <w:rFonts w:ascii="Arial" w:hAnsi="Arial" w:cs="Arial"/>
                <w:color w:val="333333"/>
                <w:sz w:val="20"/>
                <w:szCs w:val="20"/>
              </w:rPr>
            </w:pP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0"/>
              <w:rPr>
                <w:rFonts w:ascii="Arial" w:hAnsi="Arial" w:cs="Arial"/>
                <w:color w:val="333333"/>
                <w:sz w:val="20"/>
                <w:szCs w:val="20"/>
              </w:rPr>
            </w:pP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04055" w:rsidRPr="00F04055" w:rsidRDefault="00F04055" w:rsidP="00F04055">
            <w:pPr>
              <w:widowControl/>
              <w:autoSpaceDE/>
              <w:autoSpaceDN/>
              <w:spacing w:before="0" w:after="0"/>
              <w:rPr>
                <w:rFonts w:ascii="Arial" w:hAnsi="Arial" w:cs="Arial"/>
                <w:color w:val="333333"/>
                <w:sz w:val="20"/>
                <w:szCs w:val="20"/>
              </w:rPr>
            </w:pPr>
          </w:p>
        </w:tc>
      </w:tr>
    </w:tbl>
    <w:p w:rsidR="00F04055" w:rsidRPr="00F04055" w:rsidRDefault="00F04055" w:rsidP="00E6057A">
      <w:pPr>
        <w:widowControl/>
        <w:autoSpaceDE/>
        <w:autoSpaceDN/>
        <w:spacing w:before="0" w:after="150"/>
        <w:ind w:firstLine="480"/>
        <w:jc w:val="center"/>
        <w:rPr>
          <w:rFonts w:ascii="Arial" w:hAnsi="Arial" w:cs="Arial"/>
          <w:color w:val="333333"/>
          <w:sz w:val="20"/>
          <w:szCs w:val="20"/>
        </w:rPr>
      </w:pPr>
      <w:r w:rsidRPr="00F04055">
        <w:rPr>
          <w:rFonts w:ascii="Arial" w:hAnsi="Arial" w:cs="Arial"/>
          <w:noProof/>
          <w:color w:val="333333"/>
          <w:sz w:val="20"/>
          <w:szCs w:val="20"/>
        </w:rPr>
        <w:lastRenderedPageBreak/>
        <w:drawing>
          <wp:inline distT="0" distB="0" distL="0" distR="0" wp14:anchorId="4F6F8A02" wp14:editId="050E5A1A">
            <wp:extent cx="5896800" cy="8280000"/>
            <wp:effectExtent l="0" t="0" r="0" b="0"/>
            <wp:docPr id="4" name="Picture 4" descr="https://reg.pravno-informacioni-sistem.rs/api/Attachment/slike/438768/Monitoring-POU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g.pravno-informacioni-sistem.rs/api/Attachment/slike/438768/Monitoring-POU_Page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6800" cy="8280000"/>
                    </a:xfrm>
                    <a:prstGeom prst="rect">
                      <a:avLst/>
                    </a:prstGeom>
                    <a:noFill/>
                    <a:ln>
                      <a:noFill/>
                    </a:ln>
                  </pic:spPr>
                </pic:pic>
              </a:graphicData>
            </a:graphic>
          </wp:inline>
        </w:drawing>
      </w:r>
    </w:p>
    <w:p w:rsidR="00F04055" w:rsidRPr="00F04055" w:rsidRDefault="00F04055" w:rsidP="00E6057A">
      <w:pPr>
        <w:widowControl/>
        <w:autoSpaceDE/>
        <w:autoSpaceDN/>
        <w:spacing w:before="0" w:after="150"/>
        <w:ind w:firstLine="480"/>
        <w:jc w:val="center"/>
        <w:rPr>
          <w:rFonts w:ascii="Arial" w:hAnsi="Arial" w:cs="Arial"/>
          <w:color w:val="333333"/>
          <w:sz w:val="20"/>
          <w:szCs w:val="20"/>
        </w:rPr>
      </w:pPr>
      <w:r w:rsidRPr="00F04055">
        <w:rPr>
          <w:rFonts w:ascii="Arial" w:hAnsi="Arial" w:cs="Arial"/>
          <w:noProof/>
          <w:color w:val="333333"/>
          <w:sz w:val="20"/>
          <w:szCs w:val="20"/>
        </w:rPr>
        <w:lastRenderedPageBreak/>
        <w:drawing>
          <wp:inline distT="0" distB="0" distL="0" distR="0" wp14:anchorId="12A35617" wp14:editId="1F2A5E24">
            <wp:extent cx="5896800" cy="8280000"/>
            <wp:effectExtent l="0" t="0" r="8890" b="0"/>
            <wp:docPr id="1" name="Picture 1" descr="https://reg.pravno-informacioni-sistem.rs/api/Attachment/slike/438768/Monitoring-POU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g.pravno-informacioni-sistem.rs/api/Attachment/slike/438768/Monitoring-POU_Page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6800" cy="8280000"/>
                    </a:xfrm>
                    <a:prstGeom prst="rect">
                      <a:avLst/>
                    </a:prstGeom>
                    <a:noFill/>
                    <a:ln>
                      <a:noFill/>
                    </a:ln>
                  </pic:spPr>
                </pic:pic>
              </a:graphicData>
            </a:graphic>
          </wp:inline>
        </w:drawing>
      </w:r>
    </w:p>
    <w:p w:rsidR="0009477F" w:rsidRDefault="0009477F" w:rsidP="00F04055">
      <w:pPr>
        <w:widowControl/>
        <w:autoSpaceDE/>
        <w:autoSpaceDN/>
        <w:spacing w:before="330" w:after="0"/>
        <w:ind w:firstLine="480"/>
        <w:jc w:val="center"/>
        <w:rPr>
          <w:rFonts w:ascii="Arial" w:hAnsi="Arial" w:cs="Arial"/>
          <w:color w:val="000000"/>
          <w:sz w:val="20"/>
          <w:szCs w:val="20"/>
          <w:lang w:val="sr-Latn-RS"/>
        </w:rPr>
      </w:pPr>
    </w:p>
    <w:sectPr w:rsidR="0009477F" w:rsidSect="001A7041">
      <w:type w:val="nextColumn"/>
      <w:pgSz w:w="11906" w:h="16838" w:code="9"/>
      <w:pgMar w:top="737" w:right="856" w:bottom="851"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09034D"/>
    <w:rsid w:val="0009477F"/>
    <w:rsid w:val="000A02E2"/>
    <w:rsid w:val="000F08AE"/>
    <w:rsid w:val="0011524A"/>
    <w:rsid w:val="00147E3F"/>
    <w:rsid w:val="001647A9"/>
    <w:rsid w:val="001A581D"/>
    <w:rsid w:val="001A690E"/>
    <w:rsid w:val="001A7041"/>
    <w:rsid w:val="001C6B43"/>
    <w:rsid w:val="001D2D04"/>
    <w:rsid w:val="001D4FD6"/>
    <w:rsid w:val="00203FAD"/>
    <w:rsid w:val="00216E5B"/>
    <w:rsid w:val="002549E8"/>
    <w:rsid w:val="00280660"/>
    <w:rsid w:val="002970E3"/>
    <w:rsid w:val="002B25F1"/>
    <w:rsid w:val="002D2C74"/>
    <w:rsid w:val="002D5750"/>
    <w:rsid w:val="002F676D"/>
    <w:rsid w:val="002F72D6"/>
    <w:rsid w:val="003721AB"/>
    <w:rsid w:val="003750F5"/>
    <w:rsid w:val="003836E9"/>
    <w:rsid w:val="003B0F98"/>
    <w:rsid w:val="003B15CC"/>
    <w:rsid w:val="003B6DA6"/>
    <w:rsid w:val="003F20A9"/>
    <w:rsid w:val="0041004F"/>
    <w:rsid w:val="00427B92"/>
    <w:rsid w:val="004E6290"/>
    <w:rsid w:val="00514290"/>
    <w:rsid w:val="005531CB"/>
    <w:rsid w:val="00571AB9"/>
    <w:rsid w:val="00596F24"/>
    <w:rsid w:val="00596F46"/>
    <w:rsid w:val="005F2AF0"/>
    <w:rsid w:val="00606F5D"/>
    <w:rsid w:val="006111BF"/>
    <w:rsid w:val="006150AB"/>
    <w:rsid w:val="006626C5"/>
    <w:rsid w:val="00674C25"/>
    <w:rsid w:val="0067634C"/>
    <w:rsid w:val="00690B45"/>
    <w:rsid w:val="00692B43"/>
    <w:rsid w:val="006C7AC1"/>
    <w:rsid w:val="006E4306"/>
    <w:rsid w:val="006E53D9"/>
    <w:rsid w:val="006F1485"/>
    <w:rsid w:val="00715A39"/>
    <w:rsid w:val="00717C55"/>
    <w:rsid w:val="0074509E"/>
    <w:rsid w:val="007579E6"/>
    <w:rsid w:val="007A21F2"/>
    <w:rsid w:val="007A7DC1"/>
    <w:rsid w:val="007C2C3D"/>
    <w:rsid w:val="007D3278"/>
    <w:rsid w:val="007E0789"/>
    <w:rsid w:val="007E346B"/>
    <w:rsid w:val="007E52B2"/>
    <w:rsid w:val="007F3D64"/>
    <w:rsid w:val="007F655C"/>
    <w:rsid w:val="008035DA"/>
    <w:rsid w:val="00826DCD"/>
    <w:rsid w:val="00855F57"/>
    <w:rsid w:val="008F43F5"/>
    <w:rsid w:val="00950F85"/>
    <w:rsid w:val="0098450B"/>
    <w:rsid w:val="009A1F17"/>
    <w:rsid w:val="009E17AD"/>
    <w:rsid w:val="00A22277"/>
    <w:rsid w:val="00A303D8"/>
    <w:rsid w:val="00A3252E"/>
    <w:rsid w:val="00A73C32"/>
    <w:rsid w:val="00AF5B6B"/>
    <w:rsid w:val="00B003AF"/>
    <w:rsid w:val="00B3102E"/>
    <w:rsid w:val="00B34C0C"/>
    <w:rsid w:val="00B77BDD"/>
    <w:rsid w:val="00B86859"/>
    <w:rsid w:val="00BB2E57"/>
    <w:rsid w:val="00BC5930"/>
    <w:rsid w:val="00BC5B96"/>
    <w:rsid w:val="00C35BC5"/>
    <w:rsid w:val="00C93933"/>
    <w:rsid w:val="00CA4346"/>
    <w:rsid w:val="00CE343E"/>
    <w:rsid w:val="00CE5951"/>
    <w:rsid w:val="00D04589"/>
    <w:rsid w:val="00D07D7A"/>
    <w:rsid w:val="00D23D60"/>
    <w:rsid w:val="00D41C33"/>
    <w:rsid w:val="00D64667"/>
    <w:rsid w:val="00D74FA2"/>
    <w:rsid w:val="00D84128"/>
    <w:rsid w:val="00DA5FEA"/>
    <w:rsid w:val="00DA63C7"/>
    <w:rsid w:val="00DC21B7"/>
    <w:rsid w:val="00DF0304"/>
    <w:rsid w:val="00DF14DF"/>
    <w:rsid w:val="00E5259C"/>
    <w:rsid w:val="00E6057A"/>
    <w:rsid w:val="00E621AF"/>
    <w:rsid w:val="00E75990"/>
    <w:rsid w:val="00EB6ED1"/>
    <w:rsid w:val="00ED2638"/>
    <w:rsid w:val="00F01995"/>
    <w:rsid w:val="00F04055"/>
    <w:rsid w:val="00F14F79"/>
    <w:rsid w:val="00F55CD4"/>
    <w:rsid w:val="00F578C4"/>
    <w:rsid w:val="00F65DDB"/>
    <w:rsid w:val="00F750CE"/>
    <w:rsid w:val="00F83656"/>
    <w:rsid w:val="00F943AF"/>
    <w:rsid w:val="00FB31EE"/>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 w:type="character" w:customStyle="1" w:styleId="italik1">
    <w:name w:val="italik1"/>
    <w:basedOn w:val="DefaultParagraphFont"/>
    <w:rsid w:val="00203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 w:type="character" w:customStyle="1" w:styleId="italik1">
    <w:name w:val="italik1"/>
    <w:basedOn w:val="DefaultParagraphFont"/>
    <w:rsid w:val="00203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39867743">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558055610">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895316909">
      <w:bodyDiv w:val="1"/>
      <w:marLeft w:val="0"/>
      <w:marRight w:val="0"/>
      <w:marTop w:val="0"/>
      <w:marBottom w:val="0"/>
      <w:divBdr>
        <w:top w:val="none" w:sz="0" w:space="0" w:color="auto"/>
        <w:left w:val="none" w:sz="0" w:space="0" w:color="auto"/>
        <w:bottom w:val="none" w:sz="0" w:space="0" w:color="auto"/>
        <w:right w:val="none" w:sz="0" w:space="0" w:color="auto"/>
      </w:divBdr>
    </w:div>
    <w:div w:id="975987251">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35516671">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713268715">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1950351730">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4759D-7328-43B7-A93E-0A7217FD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5</cp:revision>
  <dcterms:created xsi:type="dcterms:W3CDTF">2025-06-20T12:14:00Z</dcterms:created>
  <dcterms:modified xsi:type="dcterms:W3CDTF">2025-06-20T12:16:00Z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