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4961"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11"/>
        <w:gridCol w:w="9931"/>
      </w:tblGrid>
      <w:tr w:rsidR="00D13326" w:rsidRPr="004D01F0" w:rsidTr="00BC19BB">
        <w:trPr>
          <w:tblCellSpacing w:w="15" w:type="dxa"/>
        </w:trPr>
        <w:tc>
          <w:tcPr>
            <w:tcW w:w="441" w:type="pct"/>
            <w:shd w:val="clear" w:color="auto" w:fill="A41E1C"/>
            <w:vAlign w:val="center"/>
          </w:tcPr>
          <w:p w:rsidR="00D13326" w:rsidRPr="004D01F0" w:rsidRDefault="00F00E8A" w:rsidP="00E26D3C">
            <w:pPr>
              <w:pStyle w:val="NASLOVZLATO"/>
              <w:rPr>
                <w:sz w:val="20"/>
                <w:szCs w:val="20"/>
              </w:rPr>
            </w:pPr>
            <w:r>
              <w:rPr>
                <w:sz w:val="20"/>
                <w:szCs w:val="20"/>
                <w:lang w:val="en-US" w:eastAsia="en-US"/>
              </w:rPr>
              <w:drawing>
                <wp:inline distT="0" distB="0" distL="0" distR="0" wp14:anchorId="4436F76A" wp14:editId="0BBE76D3">
                  <wp:extent cx="517525" cy="560705"/>
                  <wp:effectExtent l="0" t="0" r="0"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560705"/>
                          </a:xfrm>
                          <a:prstGeom prst="rect">
                            <a:avLst/>
                          </a:prstGeom>
                          <a:noFill/>
                          <a:ln>
                            <a:noFill/>
                          </a:ln>
                        </pic:spPr>
                      </pic:pic>
                    </a:graphicData>
                  </a:graphic>
                </wp:inline>
              </w:drawing>
            </w:r>
          </w:p>
        </w:tc>
        <w:tc>
          <w:tcPr>
            <w:tcW w:w="4517" w:type="pct"/>
            <w:shd w:val="clear" w:color="auto" w:fill="A41E1C"/>
            <w:vAlign w:val="center"/>
            <w:hideMark/>
          </w:tcPr>
          <w:p w:rsidR="00671A12" w:rsidRPr="00671A12" w:rsidRDefault="007C7328" w:rsidP="00671A12">
            <w:pPr>
              <w:pStyle w:val="NASLOVBELO"/>
              <w:spacing w:line="360" w:lineRule="auto"/>
              <w:rPr>
                <w:color w:val="FFE599"/>
                <w:lang w:val="en-US"/>
              </w:rPr>
            </w:pPr>
            <w:r w:rsidRPr="007C7328">
              <w:rPr>
                <w:color w:val="FFE599"/>
              </w:rPr>
              <w:t>УРЕДБ</w:t>
            </w:r>
            <w:r>
              <w:rPr>
                <w:color w:val="FFE599"/>
                <w:lang w:val="sr-Cyrl-RS"/>
              </w:rPr>
              <w:t>А</w:t>
            </w:r>
            <w:r w:rsidR="005761BD" w:rsidRPr="005761BD">
              <w:rPr>
                <w:color w:val="FFE599"/>
              </w:rPr>
              <w:t xml:space="preserve"> </w:t>
            </w:r>
          </w:p>
          <w:p w:rsidR="00D13326" w:rsidRPr="004D01F0" w:rsidRDefault="004C4733" w:rsidP="007C7328">
            <w:pPr>
              <w:pStyle w:val="NASLOVBELO"/>
            </w:pPr>
            <w:r>
              <w:t>O</w:t>
            </w:r>
            <w:r>
              <w:rPr>
                <w:lang w:val="sr-Cyrl-RS"/>
              </w:rPr>
              <w:t xml:space="preserve"> ИЗМЕНИ И ДОПУНАМА УРЕДБЕ </w:t>
            </w:r>
            <w:bookmarkStart w:id="0" w:name="_GoBack"/>
            <w:bookmarkEnd w:id="0"/>
            <w:r w:rsidR="007C7328">
              <w:t>О БРОДСКИМ ПОГОНСКИМ МАШИНАМА</w:t>
            </w:r>
          </w:p>
          <w:p w:rsidR="00D13326" w:rsidRPr="004D01F0" w:rsidRDefault="00B913D9" w:rsidP="006A5214">
            <w:pPr>
              <w:pStyle w:val="podnaslovpropisa"/>
              <w:rPr>
                <w:sz w:val="18"/>
                <w:szCs w:val="18"/>
              </w:rPr>
            </w:pPr>
            <w:r w:rsidRPr="00B913D9">
              <w:rPr>
                <w:sz w:val="18"/>
                <w:szCs w:val="18"/>
              </w:rPr>
              <w:t xml:space="preserve">("Сл. гласник РС", бр. </w:t>
            </w:r>
            <w:r w:rsidR="00671A12">
              <w:rPr>
                <w:sz w:val="18"/>
                <w:szCs w:val="18"/>
              </w:rPr>
              <w:t>5</w:t>
            </w:r>
            <w:r w:rsidR="006A5214">
              <w:rPr>
                <w:sz w:val="18"/>
                <w:szCs w:val="18"/>
                <w:lang w:val="sr-Cyrl-RS"/>
              </w:rPr>
              <w:t>9</w:t>
            </w:r>
            <w:r w:rsidR="00C24548">
              <w:rPr>
                <w:sz w:val="18"/>
                <w:szCs w:val="18"/>
                <w:lang w:val="sr-Cyrl-RS"/>
              </w:rPr>
              <w:t>/2026</w:t>
            </w:r>
            <w:r w:rsidRPr="00B913D9">
              <w:rPr>
                <w:sz w:val="18"/>
                <w:szCs w:val="18"/>
              </w:rPr>
              <w:t>)</w:t>
            </w:r>
          </w:p>
        </w:tc>
      </w:tr>
    </w:tbl>
    <w:p w:rsidR="003527C5" w:rsidRDefault="003527C5" w:rsidP="00DA0CD9">
      <w:pPr>
        <w:spacing w:before="0" w:after="150"/>
        <w:ind w:firstLine="480"/>
        <w:rPr>
          <w:rFonts w:ascii="Arial" w:eastAsia="Times New Roman" w:hAnsi="Arial" w:cs="Arial"/>
          <w:noProof w:val="0"/>
          <w:color w:val="333333"/>
          <w:lang w:val="en-US"/>
        </w:rPr>
      </w:pPr>
    </w:p>
    <w:p w:rsidR="00DA0CD9" w:rsidRDefault="00DA0CD9" w:rsidP="00DA0CD9">
      <w:pPr>
        <w:spacing w:before="0" w:after="150"/>
        <w:ind w:firstLine="480"/>
        <w:rPr>
          <w:rFonts w:ascii="Arial" w:eastAsia="Times New Roman" w:hAnsi="Arial" w:cs="Arial"/>
          <w:noProof w:val="0"/>
          <w:color w:val="333333"/>
          <w:lang w:val="en-US"/>
        </w:rPr>
      </w:pP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Карактеристике стационарних и динамичких испитних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Табеле испитних начина рада и фактора пондерисања за NRSC с дискретним начинима рада дате су у Додатку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Табеле испитних начина рада и фактора пондерисања за RMC дате су у Додатку 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Табеле програма динамометра за мотор за динамичке испитне циклусе (NRTC и LSI-NRTC) дате су у Додатку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Стационарни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циклуси типа С</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C1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82"/>
        <w:gridCol w:w="729"/>
        <w:gridCol w:w="728"/>
        <w:gridCol w:w="728"/>
        <w:gridCol w:w="117"/>
        <w:gridCol w:w="551"/>
        <w:gridCol w:w="640"/>
        <w:gridCol w:w="551"/>
        <w:gridCol w:w="551"/>
        <w:gridCol w:w="18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2</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r>
    </w:tbl>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C2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61"/>
        <w:gridCol w:w="1007"/>
        <w:gridCol w:w="724"/>
        <w:gridCol w:w="724"/>
        <w:gridCol w:w="724"/>
        <w:gridCol w:w="724"/>
        <w:gridCol w:w="724"/>
        <w:gridCol w:w="179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4</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циклуси типа D</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D2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5"/>
        <w:gridCol w:w="966"/>
        <w:gridCol w:w="966"/>
        <w:gridCol w:w="731"/>
        <w:gridCol w:w="731"/>
        <w:gridCol w:w="7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 (циклус D2)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5</w:t>
            </w:r>
            <w:r w:rsidRPr="00B03342">
              <w:rPr>
                <w:rFonts w:ascii="Arial" w:hAnsi="Arial" w:cs="Arial"/>
                <w:lang w:eastAsia="sr-Latn-RS"/>
              </w:rPr>
              <w:t>)</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6</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Е</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типа Е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46"/>
        <w:gridCol w:w="693"/>
        <w:gridCol w:w="597"/>
        <w:gridCol w:w="789"/>
        <w:gridCol w:w="789"/>
        <w:gridCol w:w="127"/>
        <w:gridCol w:w="63"/>
        <w:gridCol w:w="299"/>
        <w:gridCol w:w="299"/>
        <w:gridCol w:w="198"/>
        <w:gridCol w:w="395"/>
        <w:gridCol w:w="196"/>
        <w:gridCol w:w="263"/>
        <w:gridCol w:w="52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Број начина рада (циклус Е2)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7</w:t>
            </w:r>
            <w:r w:rsidRPr="00B03342">
              <w:rPr>
                <w:rFonts w:ascii="Arial" w:hAnsi="Arial" w:cs="Arial"/>
                <w:lang w:eastAsia="sr-Latn-RS"/>
              </w:rPr>
              <w:t>)</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7"/>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8</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 (циклус Е3)</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7</w:t>
            </w:r>
            <w:r w:rsidRPr="00B03342">
              <w:rPr>
                <w:rFonts w:ascii="Arial" w:hAnsi="Arial" w:cs="Arial"/>
                <w:lang w:eastAsia="sr-Latn-RS"/>
              </w:rPr>
              <w:t>) (%)</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w:t>
            </w:r>
            <w:r w:rsidRPr="00B03342">
              <w:rPr>
                <w:rFonts w:ascii="Arial" w:hAnsi="Arial" w:cs="Arial"/>
                <w:vertAlign w:val="superscript"/>
                <w:lang w:eastAsia="sr-Latn-RS"/>
              </w:rPr>
              <w:t>9</w:t>
            </w:r>
            <w:r w:rsidRPr="00B03342">
              <w:rPr>
                <w:rFonts w:ascii="Arial" w:hAnsi="Arial" w:cs="Arial"/>
                <w:lang w:eastAsia="sr-Latn-RS"/>
              </w:rPr>
              <w:t>) (%)</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w:t>
            </w:r>
          </w:p>
        </w:t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F</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типа F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62"/>
        <w:gridCol w:w="1567"/>
        <w:gridCol w:w="1751"/>
        <w:gridCol w:w="24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2 (</w:t>
            </w:r>
            <w:r w:rsidRPr="00B03342">
              <w:rPr>
                <w:rFonts w:ascii="Arial" w:hAnsi="Arial" w:cs="Arial"/>
                <w:vertAlign w:val="superscript"/>
                <w:lang w:eastAsia="sr-Latn-RS"/>
              </w:rPr>
              <w:t>13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100 (</w:t>
            </w:r>
            <w:r w:rsidRPr="00B03342">
              <w:rPr>
                <w:rFonts w:ascii="Arial" w:hAnsi="Arial" w:cs="Arial"/>
                <w:vertAlign w:val="superscript"/>
                <w:lang w:eastAsia="sr-Latn-RS"/>
              </w:rPr>
              <w:t>12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50 (</w:t>
            </w:r>
            <w:r w:rsidRPr="00B03342">
              <w:rPr>
                <w:rFonts w:ascii="Arial" w:hAnsi="Arial" w:cs="Arial"/>
                <w:vertAlign w:val="superscript"/>
                <w:lang w:eastAsia="sr-Latn-RS"/>
              </w:rPr>
              <w:t>12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5 (</w:t>
            </w:r>
            <w:r w:rsidRPr="00B03342">
              <w:rPr>
                <w:rFonts w:ascii="Arial" w:hAnsi="Arial" w:cs="Arial"/>
                <w:vertAlign w:val="superscript"/>
                <w:lang w:eastAsia="sr-Latn-RS"/>
              </w:rPr>
              <w:t>11</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G</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типа G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86"/>
        <w:gridCol w:w="536"/>
        <w:gridCol w:w="536"/>
        <w:gridCol w:w="536"/>
        <w:gridCol w:w="536"/>
        <w:gridCol w:w="537"/>
        <w:gridCol w:w="537"/>
        <w:gridCol w:w="537"/>
        <w:gridCol w:w="537"/>
        <w:gridCol w:w="537"/>
        <w:gridCol w:w="537"/>
        <w:gridCol w:w="132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 (циклус G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14</w:t>
            </w:r>
            <w:r w:rsidRPr="00B03342">
              <w:rPr>
                <w:rFonts w:ascii="Arial" w:hAnsi="Arial" w:cs="Arial"/>
                <w:lang w:eastAsia="sr-Latn-RS"/>
              </w:rPr>
              <w:t>)</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15</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 (циклус G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14</w:t>
            </w:r>
            <w:r w:rsidRPr="00B03342">
              <w:rPr>
                <w:rFonts w:ascii="Arial" w:hAnsi="Arial" w:cs="Arial"/>
                <w:lang w:eastAsia="sr-Latn-RS"/>
              </w:rPr>
              <w:t>)</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15</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 (циклус G 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14</w:t>
            </w:r>
            <w:r w:rsidRPr="00B03342">
              <w:rPr>
                <w:rFonts w:ascii="Arial" w:hAnsi="Arial" w:cs="Arial"/>
                <w:lang w:eastAsia="sr-Latn-RS"/>
              </w:rPr>
              <w:t>)</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15</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Н</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циклуса типа H и фактора пондерисања</w:t>
      </w:r>
    </w:p>
    <w:tbl>
      <w:tblPr>
        <w:tblW w:w="1008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99"/>
        <w:gridCol w:w="862"/>
        <w:gridCol w:w="862"/>
        <w:gridCol w:w="862"/>
        <w:gridCol w:w="862"/>
        <w:gridCol w:w="213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w:t>
            </w:r>
            <w:r w:rsidRPr="00B03342">
              <w:rPr>
                <w:rFonts w:ascii="Arial" w:hAnsi="Arial" w:cs="Arial"/>
                <w:vertAlign w:val="superscript"/>
                <w:lang w:eastAsia="sr-Latn-RS"/>
              </w:rPr>
              <w:t>16</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w:t>
            </w:r>
            <w:r w:rsidRPr="00B03342">
              <w:rPr>
                <w:rFonts w:ascii="Arial" w:hAnsi="Arial" w:cs="Arial"/>
                <w:vertAlign w:val="superscript"/>
                <w:lang w:eastAsia="sr-Latn-RS"/>
              </w:rPr>
              <w:t>17</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0,05</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6</w:t>
      </w:r>
      <w:r w:rsidRPr="00B03342">
        <w:rPr>
          <w:rFonts w:ascii="Arial" w:hAnsi="Arial" w:cs="Arial"/>
          <w:color w:val="000000"/>
          <w:lang w:eastAsia="sr-Latn-RS"/>
        </w:rPr>
        <w:t>) Проценат закретног момента је у односу на закретни момент при номиналној нето снази према декларацији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7</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8</w:t>
      </w:r>
      <w:r w:rsidRPr="00B03342">
        <w:rPr>
          <w:rFonts w:ascii="Arial" w:hAnsi="Arial" w:cs="Arial"/>
          <w:color w:val="000000"/>
          <w:lang w:eastAsia="sr-Latn-RS"/>
        </w:rPr>
        <w:t>) Проценат закретног момента је у односу на закретни момент при номиналној нето снази према декларацији произвођача при задатој брзини обртања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9</w:t>
      </w:r>
      <w:r w:rsidRPr="00B03342">
        <w:rPr>
          <w:rFonts w:ascii="Arial" w:hAnsi="Arial" w:cs="Arial"/>
          <w:color w:val="000000"/>
          <w:lang w:eastAsia="sr-Latn-RS"/>
        </w:rPr>
        <w:t>) Проценат снаге је у односу на највећу номиналну снагу при стопостотној брзини.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10</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11</w:t>
      </w:r>
      <w:r w:rsidRPr="00B03342">
        <w:rPr>
          <w:rFonts w:ascii="Arial" w:hAnsi="Arial" w:cs="Arial"/>
          <w:color w:val="000000"/>
          <w:lang w:eastAsia="sr-Latn-RS"/>
        </w:rPr>
        <w:t>) Проценат снаге у овоме начину рада је у односу на снагу у начину рада 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12</w:t>
      </w:r>
      <w:r w:rsidRPr="00B03342">
        <w:rPr>
          <w:rFonts w:ascii="Arial" w:hAnsi="Arial" w:cs="Arial"/>
          <w:color w:val="000000"/>
          <w:lang w:eastAsia="sr-Latn-RS"/>
        </w:rPr>
        <w:t>) Проценат снаге у овоме начину рада је у односу на највећу нето снагу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13</w:t>
      </w:r>
      <w:r w:rsidRPr="00B03342">
        <w:rPr>
          <w:rFonts w:ascii="Arial" w:hAnsi="Arial" w:cs="Arial"/>
          <w:color w:val="000000"/>
          <w:lang w:eastAsia="sr-Latn-RS"/>
        </w:rPr>
        <w:t>) Код мотора у којима се примјењује сустав с дискретним командама (тј. команде са степеновањем), начин рада 2 дефинисан је као рад у степену који је најближи начину рада 2 или 35 % номиналне снаге.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14</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15</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16</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17</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Стационарни модални циклуси с прелазима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C</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RMC-C1</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7"/>
        <w:gridCol w:w="3306"/>
        <w:gridCol w:w="2220"/>
        <w:gridCol w:w="286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1</w:t>
            </w:r>
            <w:r w:rsidRPr="00B03342">
              <w:rPr>
                <w:rFonts w:ascii="Arial" w:hAnsi="Arial" w:cs="Arial"/>
                <w:lang w:eastAsia="sr-Latn-RS"/>
              </w:rPr>
              <w:t>)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2</w:t>
            </w:r>
            <w:r w:rsidRPr="00B03342">
              <w:rPr>
                <w:rFonts w:ascii="Arial" w:hAnsi="Arial" w:cs="Arial"/>
                <w:lang w:eastAsia="sr-Latn-RS"/>
              </w:rPr>
              <w:t>) (</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RMC-C2</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7"/>
        <w:gridCol w:w="3306"/>
        <w:gridCol w:w="2220"/>
        <w:gridCol w:w="286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4</w:t>
            </w:r>
            <w:r w:rsidRPr="00B03342">
              <w:rPr>
                <w:rFonts w:ascii="Arial" w:hAnsi="Arial" w:cs="Arial"/>
                <w:lang w:eastAsia="sr-Latn-RS"/>
              </w:rPr>
              <w:t>) (</w:t>
            </w:r>
            <w:r w:rsidRPr="00B03342">
              <w:rPr>
                <w:rFonts w:ascii="Arial" w:hAnsi="Arial" w:cs="Arial"/>
                <w:vertAlign w:val="superscript"/>
                <w:lang w:eastAsia="sr-Latn-RS"/>
              </w:rPr>
              <w:t>6</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5</w:t>
            </w:r>
            <w:r w:rsidRPr="00B03342">
              <w:rPr>
                <w:rFonts w:ascii="Arial" w:hAnsi="Arial" w:cs="Arial"/>
                <w:lang w:eastAsia="sr-Latn-RS"/>
              </w:rPr>
              <w:t>) (</w:t>
            </w:r>
            <w:r w:rsidRPr="00B03342">
              <w:rPr>
                <w:rFonts w:ascii="Arial" w:hAnsi="Arial" w:cs="Arial"/>
                <w:vertAlign w:val="superscript"/>
                <w:lang w:eastAsia="sr-Latn-RS"/>
              </w:rPr>
              <w:t>6</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циклуси типа D</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RMC-D2</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3"/>
        <w:gridCol w:w="3270"/>
        <w:gridCol w:w="2311"/>
        <w:gridCol w:w="283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RMC 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 (</w:t>
            </w:r>
            <w:r w:rsidRPr="00B03342">
              <w:rPr>
                <w:rFonts w:ascii="Arial" w:hAnsi="Arial" w:cs="Arial"/>
                <w:vertAlign w:val="superscript"/>
                <w:lang w:eastAsia="sr-Latn-RS"/>
              </w:rPr>
              <w:t>7</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8</w:t>
            </w:r>
            <w:r w:rsidRPr="00B03342">
              <w:rPr>
                <w:rFonts w:ascii="Arial" w:hAnsi="Arial" w:cs="Arial"/>
                <w:lang w:eastAsia="sr-Latn-RS"/>
              </w:rPr>
              <w:t>) (</w:t>
            </w:r>
            <w:r w:rsidRPr="00B03342">
              <w:rPr>
                <w:rFonts w:ascii="Arial" w:hAnsi="Arial" w:cs="Arial"/>
                <w:vertAlign w:val="superscript"/>
                <w:lang w:eastAsia="sr-Latn-RS"/>
              </w:rPr>
              <w:t>9</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Е</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RMC-E2</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37"/>
        <w:gridCol w:w="3195"/>
        <w:gridCol w:w="2337"/>
        <w:gridCol w:w="29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 (</w:t>
            </w:r>
            <w:r w:rsidRPr="00B03342">
              <w:rPr>
                <w:rFonts w:ascii="Arial" w:hAnsi="Arial" w:cs="Arial"/>
                <w:vertAlign w:val="superscript"/>
                <w:lang w:eastAsia="sr-Latn-RS"/>
              </w:rPr>
              <w:t>10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11</w:t>
            </w:r>
            <w:r w:rsidRPr="00B03342">
              <w:rPr>
                <w:rFonts w:ascii="Arial" w:hAnsi="Arial" w:cs="Arial"/>
                <w:lang w:eastAsia="sr-Latn-RS"/>
              </w:rPr>
              <w:t>) (</w:t>
            </w:r>
            <w:r w:rsidRPr="00B03342">
              <w:rPr>
                <w:rFonts w:ascii="Arial" w:hAnsi="Arial" w:cs="Arial"/>
                <w:vertAlign w:val="superscript"/>
                <w:lang w:eastAsia="sr-Latn-RS"/>
              </w:rPr>
              <w:t>12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bl>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RMC-Е3</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94"/>
        <w:gridCol w:w="3442"/>
        <w:gridCol w:w="2910"/>
        <w:gridCol w:w="195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 (</w:t>
            </w:r>
            <w:r w:rsidRPr="00B03342">
              <w:rPr>
                <w:rFonts w:ascii="Arial" w:hAnsi="Arial" w:cs="Arial"/>
                <w:vertAlign w:val="superscript"/>
                <w:lang w:eastAsia="sr-Latn-RS"/>
              </w:rPr>
              <w:t>13</w:t>
            </w:r>
            <w:r w:rsidRPr="00B03342">
              <w:rPr>
                <w:rFonts w:ascii="Arial" w:hAnsi="Arial" w:cs="Arial"/>
                <w:lang w:eastAsia="sr-Latn-RS"/>
              </w:rPr>
              <w:t>) (</w:t>
            </w:r>
            <w:r w:rsidRPr="00B03342">
              <w:rPr>
                <w:rFonts w:ascii="Arial" w:hAnsi="Arial" w:cs="Arial"/>
                <w:vertAlign w:val="superscript"/>
                <w:lang w:eastAsia="sr-Latn-RS"/>
              </w:rPr>
              <w:t>15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 (</w:t>
            </w:r>
            <w:r w:rsidRPr="00B03342">
              <w:rPr>
                <w:rFonts w:ascii="Arial" w:hAnsi="Arial" w:cs="Arial"/>
                <w:vertAlign w:val="superscript"/>
                <w:lang w:eastAsia="sr-Latn-RS"/>
              </w:rPr>
              <w:t>14</w:t>
            </w:r>
            <w:r w:rsidRPr="00B03342">
              <w:rPr>
                <w:rFonts w:ascii="Arial" w:hAnsi="Arial" w:cs="Arial"/>
                <w:lang w:eastAsia="sr-Latn-RS"/>
              </w:rPr>
              <w:t>) (</w:t>
            </w:r>
            <w:r w:rsidRPr="00B03342">
              <w:rPr>
                <w:rFonts w:ascii="Arial" w:hAnsi="Arial" w:cs="Arial"/>
                <w:vertAlign w:val="superscript"/>
                <w:lang w:eastAsia="sr-Latn-RS"/>
              </w:rPr>
              <w:t>15</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F</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RMC-F</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95"/>
        <w:gridCol w:w="3453"/>
        <w:gridCol w:w="2492"/>
        <w:gridCol w:w="196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16</w:t>
            </w:r>
            <w:r w:rsidRPr="00B03342">
              <w:rPr>
                <w:rFonts w:ascii="Arial" w:hAnsi="Arial" w:cs="Arial"/>
                <w:lang w:eastAsia="sr-Latn-RS"/>
              </w:rPr>
              <w:t>) (</w:t>
            </w:r>
            <w:r w:rsidRPr="00B03342">
              <w:rPr>
                <w:rFonts w:ascii="Arial" w:hAnsi="Arial" w:cs="Arial"/>
                <w:vertAlign w:val="superscript"/>
                <w:lang w:eastAsia="sr-Latn-RS"/>
              </w:rPr>
              <w:t>20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 (</w:t>
            </w:r>
            <w:r w:rsidRPr="00B03342">
              <w:rPr>
                <w:rFonts w:ascii="Arial" w:hAnsi="Arial" w:cs="Arial"/>
                <w:vertAlign w:val="superscript"/>
                <w:lang w:eastAsia="sr-Latn-RS"/>
              </w:rPr>
              <w:t>20</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5 (</w:t>
            </w:r>
            <w:r w:rsidRPr="00B03342">
              <w:rPr>
                <w:rFonts w:ascii="Arial" w:hAnsi="Arial" w:cs="Arial"/>
                <w:vertAlign w:val="superscript"/>
                <w:lang w:eastAsia="sr-Latn-RS"/>
              </w:rPr>
              <w:t>17</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2а Стабилно стање (</w:t>
            </w:r>
            <w:r w:rsidRPr="00B03342">
              <w:rPr>
                <w:rFonts w:ascii="Arial" w:hAnsi="Arial" w:cs="Arial"/>
                <w:vertAlign w:val="superscript"/>
                <w:lang w:eastAsia="sr-Latn-RS"/>
              </w:rPr>
              <w:t>19</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50 (</w:t>
            </w:r>
            <w:r w:rsidRPr="00B03342">
              <w:rPr>
                <w:rFonts w:ascii="Arial" w:hAnsi="Arial" w:cs="Arial"/>
                <w:vertAlign w:val="superscript"/>
                <w:lang w:eastAsia="sr-Latn-RS"/>
              </w:rPr>
              <w:t>18</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100 (</w:t>
            </w:r>
            <w:r w:rsidRPr="00B03342">
              <w:rPr>
                <w:rFonts w:ascii="Arial" w:hAnsi="Arial" w:cs="Arial"/>
                <w:vertAlign w:val="superscript"/>
                <w:lang w:eastAsia="sr-Latn-RS"/>
              </w:rPr>
              <w:t>18</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5 (</w:t>
            </w:r>
            <w:r w:rsidRPr="00B03342">
              <w:rPr>
                <w:rFonts w:ascii="Arial" w:hAnsi="Arial" w:cs="Arial"/>
                <w:vertAlign w:val="superscript"/>
                <w:lang w:eastAsia="sr-Latn-RS"/>
              </w:rPr>
              <w:t>18</w:t>
            </w:r>
            <w:r w:rsidRPr="00B03342">
              <w:rPr>
                <w:rFonts w:ascii="Arial" w:hAnsi="Arial" w:cs="Arial"/>
                <w:lang w:eastAsia="sr-Latn-RS"/>
              </w:rPr>
              <w:t>)</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циклуси типа G</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RMC-G1</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43"/>
        <w:gridCol w:w="3204"/>
        <w:gridCol w:w="2313"/>
        <w:gridCol w:w="294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21</w:t>
            </w:r>
            <w:r w:rsidRPr="00B03342">
              <w:rPr>
                <w:rFonts w:ascii="Arial" w:hAnsi="Arial" w:cs="Arial"/>
                <w:lang w:eastAsia="sr-Latn-RS"/>
              </w:rPr>
              <w:t>) (</w:t>
            </w:r>
            <w:r w:rsidRPr="00B03342">
              <w:rPr>
                <w:rFonts w:ascii="Arial" w:hAnsi="Arial" w:cs="Arial"/>
                <w:vertAlign w:val="superscript"/>
                <w:lang w:eastAsia="sr-Latn-RS"/>
              </w:rPr>
              <w:t>23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22</w:t>
            </w:r>
            <w:r w:rsidRPr="00B03342">
              <w:rPr>
                <w:rFonts w:ascii="Arial" w:hAnsi="Arial" w:cs="Arial"/>
                <w:lang w:eastAsia="sr-Latn-RS"/>
              </w:rPr>
              <w:t>) (</w:t>
            </w:r>
            <w:r w:rsidRPr="00B03342">
              <w:rPr>
                <w:rFonts w:ascii="Arial" w:hAnsi="Arial" w:cs="Arial"/>
                <w:vertAlign w:val="superscript"/>
                <w:lang w:eastAsia="sr-Latn-RS"/>
              </w:rPr>
              <w:t>23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RMC-G2</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43"/>
        <w:gridCol w:w="3204"/>
        <w:gridCol w:w="2313"/>
        <w:gridCol w:w="294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24</w:t>
            </w:r>
            <w:r w:rsidRPr="00B03342">
              <w:rPr>
                <w:rFonts w:ascii="Arial" w:hAnsi="Arial" w:cs="Arial"/>
                <w:lang w:eastAsia="sr-Latn-RS"/>
              </w:rPr>
              <w:t>) (</w:t>
            </w:r>
            <w:r w:rsidRPr="00B03342">
              <w:rPr>
                <w:rFonts w:ascii="Arial" w:hAnsi="Arial" w:cs="Arial"/>
                <w:vertAlign w:val="superscript"/>
                <w:lang w:eastAsia="sr-Latn-RS"/>
              </w:rPr>
              <w:t>26</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25</w:t>
            </w:r>
            <w:r w:rsidRPr="00B03342">
              <w:rPr>
                <w:rFonts w:ascii="Arial" w:hAnsi="Arial" w:cs="Arial"/>
                <w:lang w:eastAsia="sr-Latn-RS"/>
              </w:rPr>
              <w:t>) (</w:t>
            </w:r>
            <w:r w:rsidRPr="00B03342">
              <w:rPr>
                <w:rFonts w:ascii="Arial" w:hAnsi="Arial" w:cs="Arial"/>
                <w:vertAlign w:val="superscript"/>
                <w:lang w:eastAsia="sr-Latn-RS"/>
              </w:rPr>
              <w:t>26</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циклус типа H</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испитних начина рада RMC-H</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43"/>
        <w:gridCol w:w="3204"/>
        <w:gridCol w:w="2313"/>
        <w:gridCol w:w="294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RMC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у начину рада (секунде)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мотора (</w:t>
            </w:r>
            <w:r w:rsidRPr="00B03342">
              <w:rPr>
                <w:rFonts w:ascii="Arial" w:hAnsi="Arial" w:cs="Arial"/>
                <w:vertAlign w:val="superscript"/>
                <w:lang w:eastAsia="sr-Latn-RS"/>
              </w:rPr>
              <w:t>27</w:t>
            </w:r>
            <w:r w:rsidRPr="00B03342">
              <w:rPr>
                <w:rFonts w:ascii="Arial" w:hAnsi="Arial" w:cs="Arial"/>
                <w:lang w:eastAsia="sr-Latn-RS"/>
              </w:rPr>
              <w:t>) (</w:t>
            </w:r>
            <w:r w:rsidRPr="00B03342">
              <w:rPr>
                <w:rFonts w:ascii="Arial" w:hAnsi="Arial" w:cs="Arial"/>
                <w:vertAlign w:val="superscript"/>
                <w:lang w:eastAsia="sr-Latn-RS"/>
              </w:rPr>
              <w:t>29</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Закретни момент (%) (</w:t>
            </w:r>
            <w:r w:rsidRPr="00B03342">
              <w:rPr>
                <w:rFonts w:ascii="Arial" w:hAnsi="Arial" w:cs="Arial"/>
                <w:vertAlign w:val="superscript"/>
                <w:lang w:eastAsia="sr-Latn-RS"/>
              </w:rPr>
              <w:t>28</w:t>
            </w:r>
            <w:r w:rsidRPr="00B03342">
              <w:rPr>
                <w:rFonts w:ascii="Arial" w:hAnsi="Arial" w:cs="Arial"/>
                <w:lang w:eastAsia="sr-Latn-RS"/>
              </w:rPr>
              <w:t>) (</w:t>
            </w:r>
            <w:r w:rsidRPr="00B03342">
              <w:rPr>
                <w:rFonts w:ascii="Arial" w:hAnsi="Arial" w:cs="Arial"/>
                <w:vertAlign w:val="superscript"/>
                <w:lang w:eastAsia="sr-Latn-RS"/>
              </w:rPr>
              <w:t>29</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5а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5б У прелазу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Линеарни прелаз</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 Стабилно стање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Празан ход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w:t>
      </w:r>
      <w:r w:rsidRPr="00B03342">
        <w:rPr>
          <w:rFonts w:ascii="Arial" w:hAnsi="Arial" w:cs="Arial"/>
          <w:color w:val="000000"/>
          <w:vertAlign w:val="superscript"/>
          <w:lang w:eastAsia="sr-Latn-RS"/>
        </w:rPr>
        <w:t>1</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 ако се мења поставка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6</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 ако се мења поставка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7</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8</w:t>
      </w:r>
      <w:r w:rsidRPr="00B03342">
        <w:rPr>
          <w:rFonts w:ascii="Arial" w:hAnsi="Arial" w:cs="Arial"/>
          <w:color w:val="000000"/>
          <w:lang w:eastAsia="sr-Latn-RS"/>
        </w:rPr>
        <w:t>) Проценат закретног момента је у односу на закретни момент при номиналној нето снази према декларацији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9</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10</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11</w:t>
      </w:r>
      <w:r w:rsidRPr="00B03342">
        <w:rPr>
          <w:rFonts w:ascii="Arial" w:hAnsi="Arial" w:cs="Arial"/>
          <w:color w:val="000000"/>
          <w:lang w:eastAsia="sr-Latn-RS"/>
        </w:rPr>
        <w:t>) Проценат закретног момента је у односу на максимални закретни момент при номиналној нето снази према декларацији произвођача при задатој брзини обртања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12</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13</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14</w:t>
      </w:r>
      <w:r w:rsidRPr="00B03342">
        <w:rPr>
          <w:rFonts w:ascii="Arial" w:hAnsi="Arial" w:cs="Arial"/>
          <w:color w:val="000000"/>
          <w:lang w:eastAsia="sr-Latn-RS"/>
        </w:rPr>
        <w:t>) Проценат снаге је у односу на највећу номиналну нето снагу при стопостотној брзини.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15</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16</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17</w:t>
      </w:r>
      <w:r w:rsidRPr="00B03342">
        <w:rPr>
          <w:rFonts w:ascii="Arial" w:hAnsi="Arial" w:cs="Arial"/>
          <w:color w:val="000000"/>
          <w:lang w:eastAsia="sr-Latn-RS"/>
        </w:rPr>
        <w:t>) Проценат снаге у овоме начину рада је у односу на нето снагу у начину рада 3а.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18</w:t>
      </w:r>
      <w:r w:rsidRPr="00B03342">
        <w:rPr>
          <w:rFonts w:ascii="Arial" w:hAnsi="Arial" w:cs="Arial"/>
          <w:color w:val="000000"/>
          <w:lang w:eastAsia="sr-Latn-RS"/>
        </w:rPr>
        <w:t>) Проценат снаге у овоме начину рада је у односу на највећу нето снагу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19</w:t>
      </w:r>
      <w:r w:rsidRPr="00B03342">
        <w:rPr>
          <w:rFonts w:ascii="Arial" w:hAnsi="Arial" w:cs="Arial"/>
          <w:color w:val="000000"/>
          <w:lang w:eastAsia="sr-Latn-RS"/>
        </w:rPr>
        <w:t>) Код мотора у којима се примјењује сустав с дискретним командама (тј. команде са степеновањем), начин рада 2а дефинисан је као рад у степену који је најближи начину рада 2а или 35 % номиналне снаге.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20</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наредити сличну линеарну прогресију брзине мотора, ако се мења поставка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21</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22</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23</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 ако се мења поставка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24</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25</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26</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 ако се мења поставка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27</w:t>
      </w:r>
      <w:r w:rsidRPr="00B03342">
        <w:rPr>
          <w:rFonts w:ascii="Arial" w:hAnsi="Arial" w:cs="Arial"/>
          <w:color w:val="000000"/>
          <w:lang w:eastAsia="sr-Latn-RS"/>
        </w:rPr>
        <w:t>) Видети одељке 5.2.5, 7.6. и 7.7. Прилога 8 ове уредбе ради одређивања захтеваних испитних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28</w:t>
      </w:r>
      <w:r w:rsidRPr="00B03342">
        <w:rPr>
          <w:rFonts w:ascii="Arial" w:hAnsi="Arial" w:cs="Arial"/>
          <w:color w:val="000000"/>
          <w:lang w:eastAsia="sr-Latn-RS"/>
        </w:rPr>
        <w:t>) Проценат закретног момента је у односу на максимални закретни момент при захтеваној брзини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29</w:t>
      </w:r>
      <w:r w:rsidRPr="00B03342">
        <w:rPr>
          <w:rFonts w:ascii="Arial" w:hAnsi="Arial" w:cs="Arial"/>
          <w:color w:val="000000"/>
          <w:lang w:eastAsia="sr-Latn-RS"/>
        </w:rPr>
        <w:t>) Прелаз из једног начина рада у други унутар прелазне фазе од 20 секунди. Током прелазне фазе, наложити линеарну прогресију с поставке закретног момента у тренутном начину рада на поставку закретног момента следећег начина рада те истовремено наложити сличну линеарну прогресију брзине мотора, ако се мења поставка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2.4.2.1. Динамички (NRTCи LSI-NRTC)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Програм динамометра за мотор у NRTC испитивању</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52"/>
        <w:gridCol w:w="4477"/>
        <w:gridCol w:w="457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Нормална брзина обртања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Нормални закретни момент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1219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Програм динамометра за мотор у NRTC-LSI испитивању</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52"/>
        <w:gridCol w:w="4477"/>
        <w:gridCol w:w="457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Нормална брзина обртања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Нормални закретни момент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297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384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471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674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1138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1149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1179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1196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6</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за остала горива, мешавине горива или емулзије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Захтеви за моторе на течна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При подношењу захтева за хомологацију типа произвођач може одабрати једну од следећих опција за распон врста горива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на стандардне врсте горива, у складу са захтевима из тачке 1.2.;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на специфично гориво, у складу са захтевима из тачке 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Захтеви за моторе на стандардне врсте горива (дизел, бензин).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на стандардне врсте горива мора испуњавати захтеве из тачака од 1.2.1. до 1.2.4.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1.2.1. Основни мотор мора се налазити унутар примењивих граничних вредности из Прилога 2. ове уредбе и испуњавати захтеве из ове Уредбе ако мотор ради на референтна горива наведена у одељку 1.1. или 2.1. Прилога 7 ове уредбе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1.2.2. Ако не постоји стандард Европског одбора за стандардизацију (CEN стандард) за гасно уље које није предвиђено за употребу у друмском саобраћају или табела особина горива за ту употребу, дизел (гасно уље које није предвиђено за употребу у друмском саобраћају) референтно гориво из Прилога 7 ове уредбе представља комерцијална гасна уља која нису предвиђена за употребу у друмском саобраћају са садржајем сумпора који није већи од 10 mg/kg, цетанским бројем који није нижи од 45 и садржајем метил естера масних киселина (FAME) који није већи од 8,0 % vol. Осим у случајевима допуштеним у складу с тач. 1.2.2.1, 1.2.3. и 1.2.4. овог прилога, произвођач мора крајњим корисницима дати одговарајућу изјаву. да мотори на гасно уље које није предвиђено за употребу у друмском саобраћају могу радити само на горива са садржајем сумпора који није већи од 10 mg/kg (20 mg/kg на месту коначне дистрибуције), цетанским бројем који није нижи од 45 и садржајем FAME-а који није већи од 8,0 % vol. Произвођач може навести остале параметре, на пример мазивост.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1.2.2.1. Произвођач мотора ни у једном тренутку не наводи да се тип или породица мотора може употребљавати унутар Уније у раду на комерцијална горива која нису она која испуњавају захтеве из ове тачке, осим ако произвођач додатно испуни захтев из тачке 1.2.3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бензин, захтеве или стандарде CEN EN 228:2012. Уље за подмазивање може се додати у складу са спецификацијом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дизел (осим плинског уља које није предвиђено за употребу у друмском саобраћају), захтеве или стандарде CEN EN 590:2013;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за дизел (гасно уље које није предвиђено за употребу у друмском саобраћају), захтеве, цетански број који није нижи од 45 и FAME који није већи од 8,0 % vol.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1.2.3. Ако произвођач допушта рад мотора на додатна комерцијална горива осим оних из тачке 1.2.2, на пример рад на В100 (ЕN 14214:2012+А1:2014), B20 или B30 (ЕN 16709:2015) или на посебна горива, мешавине горива или емулзије горива, уз испуњавање захтева из тачке 1.2.2.1. произвођач мора предузети све следеће радње: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 описном документу мора декларисати спецификацију комерцијалних горива, мешавина или емулзија горива на које породица мотора може радити;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мора доказати способност основног мотора да испуњава захтеве ове уредбе за декларисана горива, мешавине или емулзије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мора бити одговоран за испуњавање захтева за праћење у употреби у раду на декларисана горива, мешавине или емулзије горива, укључујући све мешавине декларисаних горива, мешавина или емулзија горива, и примењивог комерцијалног горива из тачке 1.2.2.1.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1.2.4. За моторе SI, однос мешавине горива и уља мора бити однос који предлаже произвођач. Проценат уља у мешавини горива/мазива мора се евидентирати у описном документу.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Захтеви за моторе на специфично гориво (ED 95 или Е 85)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на специфично гориво (ED 95 или Е 85) морају испуњавати захтеве из тач. од 1.3.1. до 1.3.2.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1.3.1. За ED 95, основни мотор мора се налазити унутар примењивих граничних вредности и испуњавати захтеве из ове уредбе ако мотор ради на референтно гориво наведено у одељку 1.2. Прилога 7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1.3.2. За Е 85, основни мотор мора се налазити унутар примењивих граничних вредности и испуњавати захтеве из ове уредбе ако мотор ради на референтно гориво наведено у одељку 2.2. Прилога 7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Захтеви за моторе на природни плин/биометан (PP) или укапљени нафтни плин (UNP), укључујући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При подношењу захтева за хомологацију типа произвођач може одабрати једну од следећих опција за распон врста горива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на све врсте горива, у складу са Захтевима из тачке 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на ограничене врсте горива, у складу са Захтевима из тачке 2.4.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мотор на специфично гориво, у складу са Захтевима из тачке 2.5.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Табеле са захтевима за хомологацију типа за моторе на природни плин/биометан, моторе на UNP и моторе с двојним горивом наведене су у Додатку 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Захтеви за моторе на све врсте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За моторе на природни плин/биометан, укључујући моторе с двојним горивом, произвођач мора доказати да основни мотор има способност прилагођавања сваком саставу природног плина/биометана који се може појавити на тржишту. Тај се поступак доказивања примењује у складу с овим одељком и за моторе с двојним горивом, такође у складу сa додатним одредбама у погледу поступка прилагођавања гориву утврђенима у тачки 6.4. Прилога 9 ове уредбе.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2.3.1.1. За моторе на утечњени природни плин/биометан (SPP), уопштено постоје две врсте горива, гориво високе калоријске вредности (H-плин) и гориво ниске калоријске вредности (L-плин), али уз знатне разлике унутар оба распона. Ти се типови знатно разликују у енергетском садржају израженом Вобеовим индексом и у фактору λ-помака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 Узима се да природни плинови с фактором λ-помака између 0,89 и 1,08 (0,89 ≤ С</w:t>
      </w:r>
      <w:r w:rsidRPr="00B03342">
        <w:rPr>
          <w:rFonts w:ascii="Arial" w:hAnsi="Arial" w:cs="Arial"/>
          <w:color w:val="000000"/>
          <w:vertAlign w:val="subscript"/>
          <w:lang w:eastAsia="sr-Latn-RS"/>
        </w:rPr>
        <w:t>λ</w:t>
      </w:r>
      <w:r w:rsidRPr="00B03342">
        <w:rPr>
          <w:rFonts w:ascii="Arial" w:hAnsi="Arial" w:cs="Arial"/>
          <w:color w:val="000000"/>
          <w:lang w:eastAsia="sr-Latn-RS"/>
        </w:rPr>
        <w:t> ≤ 1,08) припадају H-распону и да природни плинови с фактором λ-помака између 1,08 и 1,19 (1,08 ≤ С</w:t>
      </w:r>
      <w:r w:rsidRPr="00B03342">
        <w:rPr>
          <w:rFonts w:ascii="Arial" w:hAnsi="Arial" w:cs="Arial"/>
          <w:color w:val="000000"/>
          <w:vertAlign w:val="subscript"/>
          <w:lang w:eastAsia="sr-Latn-RS"/>
        </w:rPr>
        <w:t>λ</w:t>
      </w:r>
      <w:r w:rsidRPr="00B03342">
        <w:rPr>
          <w:rFonts w:ascii="Arial" w:hAnsi="Arial" w:cs="Arial"/>
          <w:color w:val="000000"/>
          <w:lang w:eastAsia="sr-Latn-RS"/>
        </w:rPr>
        <w:t> ≤ 1,19) припадају L-распону. У саставу референтних горива одражавају се велике промене S</w:t>
      </w:r>
      <w:r w:rsidRPr="00B03342">
        <w:rPr>
          <w:rFonts w:ascii="Arial" w:hAnsi="Arial" w:cs="Arial"/>
          <w:color w:val="000000"/>
          <w:vertAlign w:val="subscript"/>
          <w:lang w:eastAsia="sr-Latn-RS"/>
        </w:rPr>
        <w:t>λ</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Основни мотор мора испуњавати захтеве ове уредбе у погледу референтних горива G</w:t>
      </w:r>
      <w:r w:rsidRPr="00B03342">
        <w:rPr>
          <w:rFonts w:ascii="Arial" w:hAnsi="Arial" w:cs="Arial"/>
          <w:color w:val="000000"/>
          <w:vertAlign w:val="subscript"/>
          <w:lang w:eastAsia="sr-Latn-RS"/>
        </w:rPr>
        <w:t>R</w:t>
      </w:r>
      <w:r w:rsidRPr="00B03342">
        <w:rPr>
          <w:rFonts w:ascii="Arial" w:hAnsi="Arial" w:cs="Arial"/>
          <w:color w:val="000000"/>
          <w:lang w:eastAsia="sr-Latn-RS"/>
        </w:rPr>
        <w:t> (гориво 1) и G</w:t>
      </w:r>
      <w:r w:rsidRPr="00B03342">
        <w:rPr>
          <w:rFonts w:ascii="Arial" w:hAnsi="Arial" w:cs="Arial"/>
          <w:color w:val="000000"/>
          <w:vertAlign w:val="subscript"/>
          <w:lang w:eastAsia="sr-Latn-RS"/>
        </w:rPr>
        <w:t>25</w:t>
      </w:r>
      <w:r w:rsidRPr="00B03342">
        <w:rPr>
          <w:rFonts w:ascii="Arial" w:hAnsi="Arial" w:cs="Arial"/>
          <w:color w:val="000000"/>
          <w:lang w:eastAsia="sr-Latn-RS"/>
        </w:rPr>
        <w:t> (гориво 2), како је утврђено у Прилогу 7. ове уредбе, или у погледу еквивалентних горива насталих мешањем плина из плиновода и других гасова, како је утврђено у Додатку 1. Прилога 7. ове уредбе, без ручног намештања система мотора за довод горива између два испитивања (потребно је аутоматско прилагођавање). Након промене горива допуштено је једно прилагођавање. Прилагођавање се састоји од преткондиционирања за следеће испитивање емисија у складу сa одговарајућим испитним циклусом. За моторе који се испитују у недрумском стационарном испитном циклусу (NRSC), ако циклус преткондиционирања није довољан да се довод горива мотора аутоматски прилагоди гориву, пре преткондиционирања мотора може се направити алтернативно прилагођавање у складу са спецификацијама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2.3.1.1.1. Произвођач може мотор испитати на треће гориво (гориво 3) ако је фактор λ-помака (Sλ) између 0,89 (што је нижи распон G</w:t>
      </w:r>
      <w:r w:rsidRPr="00B03342">
        <w:rPr>
          <w:rFonts w:ascii="Arial" w:hAnsi="Arial" w:cs="Arial"/>
          <w:color w:val="000000"/>
          <w:vertAlign w:val="subscript"/>
          <w:lang w:eastAsia="sr-Latn-RS"/>
        </w:rPr>
        <w:t>R</w:t>
      </w:r>
      <w:r w:rsidRPr="00B03342">
        <w:rPr>
          <w:rFonts w:ascii="Arial" w:hAnsi="Arial" w:cs="Arial"/>
          <w:color w:val="000000"/>
          <w:lang w:eastAsia="sr-Latn-RS"/>
        </w:rPr>
        <w:t>) и 1,19 (што је виши распон G</w:t>
      </w:r>
      <w:r w:rsidRPr="00B03342">
        <w:rPr>
          <w:rFonts w:ascii="Arial" w:hAnsi="Arial" w:cs="Arial"/>
          <w:color w:val="000000"/>
          <w:vertAlign w:val="subscript"/>
          <w:lang w:eastAsia="sr-Latn-RS"/>
        </w:rPr>
        <w:t>25</w:t>
      </w:r>
      <w:r w:rsidRPr="00B03342">
        <w:rPr>
          <w:rFonts w:ascii="Arial" w:hAnsi="Arial" w:cs="Arial"/>
          <w:color w:val="000000"/>
          <w:lang w:eastAsia="sr-Latn-RS"/>
        </w:rPr>
        <w:t>), на пример ако је гориво 3 комерцијално гориво. Резултати тог испитивања могу се употребити као основа за оцењивање усаглашености производње.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2.3.1.2. За моторе на укапљени природни плин/укапљени биометан (UPP), основни мотор мора испуњавати захтеве ове уредбе за референтна горива G</w:t>
      </w:r>
      <w:r w:rsidRPr="00B03342">
        <w:rPr>
          <w:rFonts w:ascii="Arial" w:hAnsi="Arial" w:cs="Arial"/>
          <w:color w:val="000000"/>
          <w:vertAlign w:val="subscript"/>
          <w:lang w:eastAsia="sr-Latn-RS"/>
        </w:rPr>
        <w:t>R</w:t>
      </w:r>
      <w:r w:rsidRPr="00B03342">
        <w:rPr>
          <w:rFonts w:ascii="Arial" w:hAnsi="Arial" w:cs="Arial"/>
          <w:color w:val="000000"/>
          <w:lang w:eastAsia="sr-Latn-RS"/>
        </w:rPr>
        <w:t> (гориво 1) и G</w:t>
      </w:r>
      <w:r w:rsidRPr="00B03342">
        <w:rPr>
          <w:rFonts w:ascii="Arial" w:hAnsi="Arial" w:cs="Arial"/>
          <w:color w:val="000000"/>
          <w:vertAlign w:val="subscript"/>
          <w:lang w:eastAsia="sr-Latn-RS"/>
        </w:rPr>
        <w:t>20</w:t>
      </w:r>
      <w:r w:rsidRPr="00B03342">
        <w:rPr>
          <w:rFonts w:ascii="Arial" w:hAnsi="Arial" w:cs="Arial"/>
          <w:color w:val="000000"/>
          <w:lang w:eastAsia="sr-Latn-RS"/>
        </w:rPr>
        <w:t> (гориво 2), како је утврђено у Прилогу 7. ове уредбе, или у погледу еквивалентних горива насталих мешањем плина из плиновода и других гасова, како је утврђено у Додатку 1. Прилогу 7, без ручног намештања система мотора за довод горива између два испитивања (потребно је аутоматско прилагођавање). Након промене горива допуштено је једно прилагођавање. Прилагођавање се састоји од преткондиционирања за следеће испитивање емисија у складу сa одговарајућим испитним циклусом. За моторе који се испитују у NRSC испитном циклусу, ако циклус преткондиционирања није довољан да се довод горива мотора аутоматски прилагоди гориву, пре преткондиционирања мотора може се направити алтернативно прилагођавање у складу са спецификацијама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2.3.2. За моторе на утечњени природни плин/биометан (SPP) који се аутоматски прилагођавају H-плиновима с једне стране и L-плиновима с друге и који се пребацују између H-распона и L-распона помоћу прекидача, основни мотор мора се испитати на одговарајуће референтно гориво како је утврђено у Прилогу 7. ове уредбе за сваки распон, у сваком положају </w:t>
      </w:r>
      <w:r w:rsidRPr="00B03342">
        <w:rPr>
          <w:rFonts w:ascii="Arial" w:hAnsi="Arial" w:cs="Arial"/>
          <w:color w:val="000000"/>
          <w:lang w:eastAsia="sr-Latn-RS"/>
        </w:rPr>
        <w:lastRenderedPageBreak/>
        <w:t>прекидача. Горива су G</w:t>
      </w:r>
      <w:r w:rsidRPr="00B03342">
        <w:rPr>
          <w:rFonts w:ascii="Arial" w:hAnsi="Arial" w:cs="Arial"/>
          <w:color w:val="000000"/>
          <w:vertAlign w:val="subscript"/>
          <w:lang w:eastAsia="sr-Latn-RS"/>
        </w:rPr>
        <w:t>R</w:t>
      </w:r>
      <w:r w:rsidRPr="00B03342">
        <w:rPr>
          <w:rFonts w:ascii="Arial" w:hAnsi="Arial" w:cs="Arial"/>
          <w:color w:val="000000"/>
          <w:lang w:eastAsia="sr-Latn-RS"/>
        </w:rPr>
        <w:t> (гориво 1) и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за Х-распон гасова и G</w:t>
      </w:r>
      <w:r w:rsidRPr="00B03342">
        <w:rPr>
          <w:rFonts w:ascii="Arial" w:hAnsi="Arial" w:cs="Arial"/>
          <w:color w:val="000000"/>
          <w:vertAlign w:val="subscript"/>
          <w:lang w:eastAsia="sr-Latn-RS"/>
        </w:rPr>
        <w:t>25</w:t>
      </w:r>
      <w:r w:rsidRPr="00B03342">
        <w:rPr>
          <w:rFonts w:ascii="Arial" w:hAnsi="Arial" w:cs="Arial"/>
          <w:color w:val="000000"/>
          <w:lang w:eastAsia="sr-Latn-RS"/>
        </w:rPr>
        <w:t> (гориво 2) и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за Л-распон гасова или еквивалентна горива настала мешањем плина из плиновода и других гасова, како је утврђено у Додатку 1. Прилогу 7. Основни мотор мора испуњавати захтеве ове уредбе у оба положаја прекидача без икаквих подешавања довода горива између два испитивања за сваки положај прекидача. Након промене горива допуштено је једно прилагођавање. Прилагођавање се састоји од преткондиционирања за следеће испитивање емисија у складу сa одговарајућим испитним циклусом. За моторе који се испитују у NRSC испитном циклусу, ако циклус преткондиционирања није довољан да се довод горива мотора аутоматски прилагоди гориву, пре преткондиционирања мотора може се направити алтернативно прилагођавање у складу са спецификацијама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2.3.2.1. Произвођач може мотор испитати на треће гориво уместо на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ако је фактор λ-помака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 између 0,89 (што је нижи распон G</w:t>
      </w:r>
      <w:r w:rsidRPr="00B03342">
        <w:rPr>
          <w:rFonts w:ascii="Arial" w:hAnsi="Arial" w:cs="Arial"/>
          <w:color w:val="000000"/>
          <w:vertAlign w:val="subscript"/>
          <w:lang w:eastAsia="sr-Latn-RS"/>
        </w:rPr>
        <w:t>R</w:t>
      </w:r>
      <w:r w:rsidRPr="00B03342">
        <w:rPr>
          <w:rFonts w:ascii="Arial" w:hAnsi="Arial" w:cs="Arial"/>
          <w:color w:val="000000"/>
          <w:lang w:eastAsia="sr-Latn-RS"/>
        </w:rPr>
        <w:t>) и 1,19 (што је виши распон G</w:t>
      </w:r>
      <w:r w:rsidRPr="00B03342">
        <w:rPr>
          <w:rFonts w:ascii="Arial" w:hAnsi="Arial" w:cs="Arial"/>
          <w:color w:val="000000"/>
          <w:vertAlign w:val="subscript"/>
          <w:lang w:eastAsia="sr-Latn-RS"/>
        </w:rPr>
        <w:t>25</w:t>
      </w:r>
      <w:r w:rsidRPr="00B03342">
        <w:rPr>
          <w:rFonts w:ascii="Arial" w:hAnsi="Arial" w:cs="Arial"/>
          <w:color w:val="000000"/>
          <w:lang w:eastAsia="sr-Latn-RS"/>
        </w:rPr>
        <w:t>), на пример ако је гориво 3 комерцијално гориво. Резултати тог испитивања могу се употребити као основа за оцењивање усаглашености производње.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2.3.3. За моторе на природни плин/биометан, однос резултата емисије „r” одређује се за сваку загађујућу материју како следи:</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33F064C" wp14:editId="73E1575E">
            <wp:extent cx="5057140" cy="2584450"/>
            <wp:effectExtent l="0" t="0" r="0" b="6350"/>
            <wp:docPr id="295" name="Picture 295" descr="Formulas showing ratios of emission results for reference fuels labeled 1, 2, and 3 in a scientific or technical contex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s showing ratios of emission results for reference fuels labeled 1, 2, and 3 in a scientific or technical context.&#10;&#10;Description generated by A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140" cy="258445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2.3.4. За моторе на UNP, произвођач мора доказати да основни мотор има способност прилагођавања сваком саставу горива који се може појавити на тржишту.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моторе на UNP, постоје разлике у саставу C</w:t>
      </w:r>
      <w:r w:rsidRPr="00B03342">
        <w:rPr>
          <w:rFonts w:ascii="Arial" w:hAnsi="Arial" w:cs="Arial"/>
          <w:color w:val="000000"/>
          <w:vertAlign w:val="subscript"/>
          <w:lang w:eastAsia="sr-Latn-RS"/>
        </w:rPr>
        <w:t>3</w:t>
      </w:r>
      <w:r w:rsidRPr="00B03342">
        <w:rPr>
          <w:rFonts w:ascii="Arial" w:hAnsi="Arial" w:cs="Arial"/>
          <w:color w:val="000000"/>
          <w:lang w:eastAsia="sr-Latn-RS"/>
        </w:rPr>
        <w:t>/C</w:t>
      </w:r>
      <w:r w:rsidRPr="00B03342">
        <w:rPr>
          <w:rFonts w:ascii="Arial" w:hAnsi="Arial" w:cs="Arial"/>
          <w:color w:val="000000"/>
          <w:vertAlign w:val="subscript"/>
          <w:lang w:eastAsia="sr-Latn-RS"/>
        </w:rPr>
        <w:t>4</w:t>
      </w:r>
      <w:r w:rsidRPr="00B03342">
        <w:rPr>
          <w:rFonts w:ascii="Arial" w:hAnsi="Arial" w:cs="Arial"/>
          <w:color w:val="000000"/>
          <w:lang w:eastAsia="sr-Latn-RS"/>
        </w:rPr>
        <w:t>. Те се разлике одражавају у референтним горивима. Основни мотор мора испуњавати захтеве у погледу емисија у раду на референтна горива А и B, како је утврђено у Прилогу 7. ове уредбе, без икаквих додатних подешавања довода горива између два испитивања. Након промене горива допуштено је једно прилагођавање. Прилагођавање се састоји од преткондиционирања за следеће испитивање емисија у складу с одговарајућим испитним циклусом. За моторе који се испитују у NRSC испитном циклусу, ако циклус преткондиционирања није довољан да се довод горива мотора аутоматски прилагоди гориву, пре преткондиционирања мотора може се направити алтернативно прилагођавање у складу са спецификацијама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2.3.4.1. Однос резултата емисија „r” утврђује се за сваку загађујућу материју и то:</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6E1A61D" wp14:editId="39AE6ED7">
            <wp:extent cx="5057140" cy="779145"/>
            <wp:effectExtent l="0" t="0" r="0" b="1905"/>
            <wp:docPr id="294" name="Picture 294" descr="A mathematical formula showing r as the ratio of emission results of reference fuel B to reference fuel A written in Cyrillic scrip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thematical formula showing r as the ratio of emission results of reference fuel B to reference fuel A written in Cyrillic script.&#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140" cy="7791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Захтеви за моторе на ограничене врсте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на ограничене врсте горива мора испуњавати захтеве из тач. од 2.4.1. до 2.4.3.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 Мотори на SPP конструисани за рад на распону H-гасова или распону L-гасова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2.4.1.1. Основни мотор испитује се на одговарајуће референтно гориво, како је утврђено у Прилогу 7. ове уредбе, за одговарајући распон. Горива су G</w:t>
      </w:r>
      <w:r w:rsidRPr="00B03342">
        <w:rPr>
          <w:rFonts w:ascii="Arial" w:hAnsi="Arial" w:cs="Arial"/>
          <w:color w:val="000000"/>
          <w:vertAlign w:val="subscript"/>
          <w:lang w:eastAsia="sr-Latn-RS"/>
        </w:rPr>
        <w:t>Р</w:t>
      </w:r>
      <w:r w:rsidRPr="00B03342">
        <w:rPr>
          <w:rFonts w:ascii="Arial" w:hAnsi="Arial" w:cs="Arial"/>
          <w:color w:val="000000"/>
          <w:lang w:eastAsia="sr-Latn-RS"/>
        </w:rPr>
        <w:t> (гориво 1) и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за Х-распон гасова и G</w:t>
      </w:r>
      <w:r w:rsidRPr="00B03342">
        <w:rPr>
          <w:rFonts w:ascii="Arial" w:hAnsi="Arial" w:cs="Arial"/>
          <w:color w:val="000000"/>
          <w:vertAlign w:val="subscript"/>
          <w:lang w:eastAsia="sr-Latn-RS"/>
        </w:rPr>
        <w:t>25</w:t>
      </w:r>
      <w:r w:rsidRPr="00B03342">
        <w:rPr>
          <w:rFonts w:ascii="Arial" w:hAnsi="Arial" w:cs="Arial"/>
          <w:color w:val="000000"/>
          <w:lang w:eastAsia="sr-Latn-RS"/>
        </w:rPr>
        <w:t> (гориво 2) и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за L-распон гасова или еквивалентна горива настала мешањем плина из плиновода и других гасова, како је утврђено у Додатку 1. Прилогу 7. ове уредбе. Основни мотор мора испуњавати захтеве ове уредбе без икаквих подешавања довода горива између два испитивања. Након промене горива допуштено је једно прилагођавање. Прилагођавање се састоји од преткондиционирања за следеће испитивање емисија у складу с одговарајућим испитним циклусом. За моторе који се испитују у NRSC испитном циклусу, ако циклус преткондиционирања није довољан да се довод горива мотора аутоматски прилагоди гориву, пре преткондиционирања мотора може се направити алтернативно прилагођавање у складу са спецификацијама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2.4.1.2. Произвођач може мотор испитати на треће гориво уместо на G</w:t>
      </w:r>
      <w:r w:rsidRPr="00B03342">
        <w:rPr>
          <w:rFonts w:ascii="Arial" w:hAnsi="Arial" w:cs="Arial"/>
          <w:color w:val="000000"/>
          <w:vertAlign w:val="subscript"/>
          <w:lang w:eastAsia="sr-Latn-RS"/>
        </w:rPr>
        <w:t>23</w:t>
      </w:r>
      <w:r w:rsidRPr="00B03342">
        <w:rPr>
          <w:rFonts w:ascii="Arial" w:hAnsi="Arial" w:cs="Arial"/>
          <w:color w:val="000000"/>
          <w:lang w:eastAsia="sr-Latn-RS"/>
        </w:rPr>
        <w:t> (гориво 3) ако је фактор λ-помака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)између 0,89 (што је нижи распон G</w:t>
      </w:r>
      <w:r w:rsidRPr="00B03342">
        <w:rPr>
          <w:rFonts w:ascii="Arial" w:hAnsi="Arial" w:cs="Arial"/>
          <w:color w:val="000000"/>
          <w:vertAlign w:val="subscript"/>
          <w:lang w:eastAsia="sr-Latn-RS"/>
        </w:rPr>
        <w:t>R</w:t>
      </w:r>
      <w:r w:rsidRPr="00B03342">
        <w:rPr>
          <w:rFonts w:ascii="Arial" w:hAnsi="Arial" w:cs="Arial"/>
          <w:color w:val="000000"/>
          <w:lang w:eastAsia="sr-Latn-RS"/>
        </w:rPr>
        <w:t>) и 1,19 (што је виши распон G</w:t>
      </w:r>
      <w:r w:rsidRPr="00B03342">
        <w:rPr>
          <w:rFonts w:ascii="Arial" w:hAnsi="Arial" w:cs="Arial"/>
          <w:color w:val="000000"/>
          <w:vertAlign w:val="subscript"/>
          <w:lang w:eastAsia="sr-Latn-RS"/>
        </w:rPr>
        <w:t>25</w:t>
      </w:r>
      <w:r w:rsidRPr="00B03342">
        <w:rPr>
          <w:rFonts w:ascii="Arial" w:hAnsi="Arial" w:cs="Arial"/>
          <w:color w:val="000000"/>
          <w:lang w:eastAsia="sr-Latn-RS"/>
        </w:rPr>
        <w:t>), на пример ако је гориво 3 комерцијално гориво. Резултати тог испитивања могу се употребити као основа за оцењивање усаглашености производње.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2.4.1.3. Однос rezultata emisija „r” утврђује се за сваку загађујућу материју како следи:</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73DF12CE" wp14:editId="4FE16DD5">
            <wp:extent cx="5057140" cy="2632075"/>
            <wp:effectExtent l="0" t="0" r="0" b="0"/>
            <wp:docPr id="293" name="Picture 293" descr="Formulas showing ratios of emission results for different reference fuels labeled 1, 2, and 3 in a mathemat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ulas showing ratios of emission results for different reference fuels labeled 1, 2, and 3 in a mathematical format.&#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140" cy="263207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 За моторе на природни плин или UNP и конструисане за рад на један специфични састав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2.4.2.1. Основни мотор мора испуњавати захтеве у погледу емисија у раду на референтна горива G</w:t>
      </w:r>
      <w:r w:rsidRPr="00B03342">
        <w:rPr>
          <w:rFonts w:ascii="Arial" w:hAnsi="Arial" w:cs="Arial"/>
          <w:color w:val="000000"/>
          <w:vertAlign w:val="subscript"/>
          <w:lang w:eastAsia="sr-Latn-RS"/>
        </w:rPr>
        <w:t>R</w:t>
      </w:r>
      <w:r w:rsidRPr="00B03342">
        <w:rPr>
          <w:rFonts w:ascii="Arial" w:hAnsi="Arial" w:cs="Arial"/>
          <w:color w:val="000000"/>
          <w:lang w:eastAsia="sr-Latn-RS"/>
        </w:rPr>
        <w:t> и G</w:t>
      </w:r>
      <w:r w:rsidRPr="00B03342">
        <w:rPr>
          <w:rFonts w:ascii="Arial" w:hAnsi="Arial" w:cs="Arial"/>
          <w:color w:val="000000"/>
          <w:vertAlign w:val="subscript"/>
          <w:lang w:eastAsia="sr-Latn-RS"/>
        </w:rPr>
        <w:t>25</w:t>
      </w:r>
      <w:r w:rsidRPr="00B03342">
        <w:rPr>
          <w:rFonts w:ascii="Arial" w:hAnsi="Arial" w:cs="Arial"/>
          <w:color w:val="000000"/>
          <w:lang w:eastAsia="sr-Latn-RS"/>
        </w:rPr>
        <w:t> или на еквивалентна горива настала мешањем плина из плиновода и других гасова, како је утврђено у Додатку 1. Прилогу 7. ове уредбе, кад је реч о SPP-у, односно на референтна горива G</w:t>
      </w:r>
      <w:r w:rsidRPr="00B03342">
        <w:rPr>
          <w:rFonts w:ascii="Arial" w:hAnsi="Arial" w:cs="Arial"/>
          <w:color w:val="000000"/>
          <w:vertAlign w:val="subscript"/>
          <w:lang w:eastAsia="sr-Latn-RS"/>
        </w:rPr>
        <w:t>R</w:t>
      </w:r>
      <w:r w:rsidRPr="00B03342">
        <w:rPr>
          <w:rFonts w:ascii="Arial" w:hAnsi="Arial" w:cs="Arial"/>
          <w:color w:val="000000"/>
          <w:lang w:eastAsia="sr-Latn-RS"/>
        </w:rPr>
        <w:t> и G</w:t>
      </w:r>
      <w:r w:rsidRPr="00B03342">
        <w:rPr>
          <w:rFonts w:ascii="Arial" w:hAnsi="Arial" w:cs="Arial"/>
          <w:color w:val="000000"/>
          <w:vertAlign w:val="subscript"/>
          <w:lang w:eastAsia="sr-Latn-RS"/>
        </w:rPr>
        <w:t>20</w:t>
      </w:r>
      <w:r w:rsidRPr="00B03342">
        <w:rPr>
          <w:rFonts w:ascii="Arial" w:hAnsi="Arial" w:cs="Arial"/>
          <w:color w:val="000000"/>
          <w:lang w:eastAsia="sr-Latn-RS"/>
        </w:rPr>
        <w:t> или на еквивалентна горива настала мешањем плина из плиновода и других гасова, како је утврђено у Додатку 2. Прилога 8. ове уредбе, кад је реч о UPP-у односно на референтна горива А и B, како је утврђено у Прилогу 7 ове уредбе, кад је реч о UNP-у. Између испитивања допуштено је фино подешавање система за довод горива. То фино подешавање састоји се од поновног димензионисања базе података о доводу горива без икакве промене основне стратегије контроле или основне структуре базе података. Према потреби допуштено је заменити делове који директно утичу на проток горива, на пример сапнице бризгалице.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2.4.2.2. За SPP, произвођач може мотор испитати на референтна горива G</w:t>
      </w:r>
      <w:r w:rsidRPr="00B03342">
        <w:rPr>
          <w:rFonts w:ascii="Arial" w:hAnsi="Arial" w:cs="Arial"/>
          <w:color w:val="000000"/>
          <w:vertAlign w:val="subscript"/>
          <w:lang w:eastAsia="sr-Latn-RS"/>
        </w:rPr>
        <w:t>R</w:t>
      </w:r>
      <w:r w:rsidRPr="00B03342">
        <w:rPr>
          <w:rFonts w:ascii="Arial" w:hAnsi="Arial" w:cs="Arial"/>
          <w:color w:val="000000"/>
          <w:lang w:eastAsia="sr-Latn-RS"/>
        </w:rPr>
        <w:t> и G</w:t>
      </w:r>
      <w:r w:rsidRPr="00B03342">
        <w:rPr>
          <w:rFonts w:ascii="Arial" w:hAnsi="Arial" w:cs="Arial"/>
          <w:color w:val="000000"/>
          <w:vertAlign w:val="subscript"/>
          <w:lang w:eastAsia="sr-Latn-RS"/>
        </w:rPr>
        <w:t>23</w:t>
      </w:r>
      <w:r w:rsidRPr="00B03342">
        <w:rPr>
          <w:rFonts w:ascii="Arial" w:hAnsi="Arial" w:cs="Arial"/>
          <w:color w:val="000000"/>
          <w:lang w:eastAsia="sr-Latn-RS"/>
        </w:rPr>
        <w:t>, на референтна горива G</w:t>
      </w:r>
      <w:r w:rsidRPr="00B03342">
        <w:rPr>
          <w:rFonts w:ascii="Arial" w:hAnsi="Arial" w:cs="Arial"/>
          <w:color w:val="000000"/>
          <w:vertAlign w:val="subscript"/>
          <w:lang w:eastAsia="sr-Latn-RS"/>
        </w:rPr>
        <w:t>25</w:t>
      </w:r>
      <w:r w:rsidRPr="00B03342">
        <w:rPr>
          <w:rFonts w:ascii="Arial" w:hAnsi="Arial" w:cs="Arial"/>
          <w:color w:val="000000"/>
          <w:lang w:eastAsia="sr-Latn-RS"/>
        </w:rPr>
        <w:t> и G</w:t>
      </w:r>
      <w:r w:rsidRPr="00B03342">
        <w:rPr>
          <w:rFonts w:ascii="Arial" w:hAnsi="Arial" w:cs="Arial"/>
          <w:color w:val="000000"/>
          <w:vertAlign w:val="subscript"/>
          <w:lang w:eastAsia="sr-Latn-RS"/>
        </w:rPr>
        <w:t>23</w:t>
      </w:r>
      <w:r w:rsidRPr="00B03342">
        <w:rPr>
          <w:rFonts w:ascii="Arial" w:hAnsi="Arial" w:cs="Arial"/>
          <w:color w:val="000000"/>
          <w:lang w:eastAsia="sr-Latn-RS"/>
        </w:rPr>
        <w:t> или на еквивалентна горива настала мешањем плина из плиновода и других гасова, како је утврђено у Додатку 1. Прилога 7 ове уредбе, а у том случају хомологација типа ваљана је само за H-распон гасова односно L-распон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2.4.2.3. При испоруци купцу мотор на себи мора да има ознаку на којој су декларисани подаци о саставу распона врста горива за који је мотор димензионисан.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 Захтеви за мотор на специфично гориво на укапљени природни плин/укапљени биометан (UPP).</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на специфично гориво на укапљени природни плин/укапљени биометан мора испуњавати захтеве из тачака од 2.5.1. до 2.5.2.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2.5.1. Захтеви за мотор на специфично гориво на укапљени природни плин/укапљени биометан (UPP).</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2.5.1.1. Мотор се димензионише за тачно одређени састав UPP-а чији се фактор λ-помака не разликује за више од 3 % од фактора λ-помака горива G</w:t>
      </w:r>
      <w:r w:rsidRPr="00B03342">
        <w:rPr>
          <w:rFonts w:ascii="Arial" w:hAnsi="Arial" w:cs="Arial"/>
          <w:color w:val="000000"/>
          <w:vertAlign w:val="subscript"/>
          <w:lang w:eastAsia="sr-Latn-RS"/>
        </w:rPr>
        <w:t>20</w:t>
      </w:r>
      <w:r w:rsidRPr="00B03342">
        <w:rPr>
          <w:rFonts w:ascii="Arial" w:hAnsi="Arial" w:cs="Arial"/>
          <w:color w:val="000000"/>
          <w:lang w:eastAsia="sr-Latn-RS"/>
        </w:rPr>
        <w:t> из Прилога 7 ове уредбе. и чији удео етана није већи од 1,5 %.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2.5.1.2. Ако захтеви из тачке 2.5.1.1. нису испуњени, произвођач мора поднети захтев за хомологацију типа мотора на универзалне врсте горива у складу са спецификацијама из тачке 2.1.3.2.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2.5.2. Захтеви за мотор с двојним горивом на укапљени природни гас (UPP)</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2.5.2.1 За породице мотора с двојним горивом у којима се мотори димензионирају за точно одређени састав UPP-а чији се фактор λ-помака не разликује за више од 3 % од фактора λ-помака горива G20 из Прилога 7 ове уредбе. и чији удео етана није већи од 1,5 % те се основни мотор испитује само на референтно гасно гориво G20 или на једнаковредно гориво настало мешањем гаса из гасовода с другим гасовима како је утврђено у Додатку 1. Прилогу 7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 Хомологација типа члана породице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2.6.1. Уз изузетак наведен у тачки 2.6.2. овог прилога хомологација типа основног мотора проширује се на све чланове породице без даљњег испитивања за било који састав горива унутар распона за који је основни мотор хомологован (за моторе описане у тачки 2.5. овог прилога) или за исти распон горива (за моторе описане у тачки 2.3. или тачки 2.4. овог прилога) за који је основни мотор хомологован.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2.6.2. Ако техничка служба утврди да поднесени захтев због одабраног основног мотора не обухвата у потпуности породицу мотора, техничка служба може одабрати и испитати алтернативни испитни мотор и, према потреби, додатни референтни испитни мотор.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2.7. Додатни захтеви за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добио хомологацију типа мотор или породице мотора с двојним горивом, произвођач мора: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извршити испитивања у складу с Табелом 1.3. из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уз испуњавање захтева из Одељка 2. овог прилога доказати да су мотори с двојним горивом испитани и у складу са захтевима утврђеним у Прилогу 9.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Скраћени хомологацијски поступак за моторе на природни плин и UNP, укључујући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табелама од 1.1. до 1.3. овог додатка налази се скраћени хомологацијског поступка за моторе на природни плин и UNP и минимални број испитивања потребан за хомологацију мотора с двојним горивом.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Табела 1.1.</w:t>
      </w:r>
      <w:r w:rsidRPr="00B03342">
        <w:rPr>
          <w:rFonts w:ascii="Arial" w:hAnsi="Arial" w:cs="Arial"/>
          <w:i/>
          <w:iCs/>
          <w:color w:val="000000"/>
          <w:lang w:eastAsia="sr-Latn-RS"/>
        </w:rPr>
        <w:t> </w:t>
      </w:r>
      <w:r w:rsidRPr="00B03342">
        <w:rPr>
          <w:rFonts w:ascii="Arial" w:hAnsi="Arial" w:cs="Arial"/>
          <w:color w:val="000000"/>
          <w:lang w:eastAsia="sr-Latn-RS"/>
        </w:rPr>
        <w:t>Хомологација мотора на природни плин</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63F6E1B" wp14:editId="1A6FC09A">
            <wp:extent cx="7048800" cy="9000000"/>
            <wp:effectExtent l="0" t="0" r="0" b="0"/>
            <wp:docPr id="292" name="Picture 292" descr="A detailed scientific table comparing various chemical compounds with their properties, structures, and experimental data in a multi-column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etailed scientific table comparing various chemical compounds with their properties, structures, and experimental data in a multi-column format.&#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800" cy="900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Табела 1.2. ЕУ Хомологација мотора на UNP</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C3C8FAA" wp14:editId="4A603DAE">
            <wp:extent cx="6490800" cy="1800000"/>
            <wp:effectExtent l="0" t="0" r="0" b="0"/>
            <wp:docPr id="291" name="Picture 291" descr="A table comparing fuel requirements and engine testing conditions for two types of engines labeled as &quot;гориво В&quot; and &quot;гориво А&quot; with notes on testing procedures and fuel composi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able comparing fuel requirements and engine testing conditions for two types of engines labeled as &quot;гориво В&quot; and &quot;гориво А&quot; with notes on testing procedures and fuel composition.&#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0800" cy="1800000"/>
                    </a:xfrm>
                    <a:prstGeom prst="rect">
                      <a:avLst/>
                    </a:prstGeom>
                    <a:noFill/>
                    <a:ln>
                      <a:noFill/>
                    </a:ln>
                  </pic:spPr>
                </pic:pic>
              </a:graphicData>
            </a:graphic>
          </wp:inline>
        </w:drawing>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1.3. Минималан број испитивања потребан за хомологацију мотора с двојним горивом</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43"/>
        <w:gridCol w:w="2035"/>
        <w:gridCol w:w="2085"/>
        <w:gridCol w:w="1420"/>
        <w:gridCol w:w="1532"/>
        <w:gridCol w:w="2085"/>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Тип двојног горива</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 на течно гориво</w:t>
            </w:r>
          </w:p>
        </w:tc>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 на двојно гориво</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SPP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UPP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UPP</w:t>
            </w:r>
            <w:r w:rsidRPr="00B03342">
              <w:rPr>
                <w:rFonts w:ascii="Arial" w:hAnsi="Arial" w:cs="Arial"/>
                <w:vertAlign w:val="subscript"/>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UNP</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специфично гориво</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специфично гориво</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специфично гориво</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специфично гориво</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специфично гориво</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(једно испитивање)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универзална или ограничена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(два испитивања)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7</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Техничке карактеристике референтних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Технички подаци о горивима за испитивање мотора с компресијским паљењем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Тип: Дизел (недрумско гасно уље)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12"/>
        <w:gridCol w:w="1000"/>
        <w:gridCol w:w="1138"/>
        <w:gridCol w:w="1094"/>
        <w:gridCol w:w="1956"/>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Параметар</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Граничне вредности (</w:t>
            </w:r>
            <w:r w:rsidRPr="00B03342">
              <w:rPr>
                <w:rFonts w:ascii="Arial" w:hAnsi="Arial" w:cs="Arial"/>
                <w:vertAlign w:val="superscript"/>
                <w:lang w:eastAsia="sr-Latn-RS"/>
              </w:rPr>
              <w:t>1</w:t>
            </w:r>
            <w:r w:rsidRPr="00B03342">
              <w:rPr>
                <w:rFonts w:ascii="Arial" w:hAnsi="Arial" w:cs="Arial"/>
                <w:lang w:eastAsia="sr-Latn-RS"/>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Метода испитивања</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Цетански број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5165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при 15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3675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Дестилација: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Завршно горење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22719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Тачка филтрабилности (CFPP)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116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Вискозност на 40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mm</w:t>
            </w:r>
            <w:r w:rsidRPr="00B03342">
              <w:rPr>
                <w:rFonts w:ascii="Arial" w:hAnsi="Arial" w:cs="Arial"/>
                <w:vertAlign w:val="superscript"/>
                <w:lang w:eastAsia="sr-Latn-RS"/>
              </w:rPr>
              <w:t>2</w:t>
            </w: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3104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Полициклички ароматски угљениководици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IP 391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сумпора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ASTM D 5453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Корозија бакра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klasa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2160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Остатак угљеника по Conradsonu (10 % DR)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10370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пепела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6245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Укупно загађење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12662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12937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Киселински број</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 KOH/g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ASTM D 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Оксидациона стабилност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mg/ml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12205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Мазивост (проднос трага трошења на HFRRу при 60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μm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CEC F–06–A–96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Оксидациона стабилност на 110°C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15751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Метил естери масних киселина(FAME)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14078</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1.2. Тип: Етанол за моторе с компресијским паљењем (ED95) (</w:t>
      </w:r>
      <w:r w:rsidRPr="00B03342">
        <w:rPr>
          <w:rFonts w:ascii="Arial" w:hAnsi="Arial" w:cs="Arial"/>
          <w:color w:val="000000"/>
          <w:vertAlign w:val="superscript"/>
          <w:lang w:eastAsia="sr-Latn-RS"/>
        </w:rPr>
        <w:t>1</w:t>
      </w:r>
      <w:r w:rsidRPr="00B03342">
        <w:rPr>
          <w:rFonts w:ascii="Arial" w:hAnsi="Arial" w:cs="Arial"/>
          <w:color w:val="000000"/>
          <w:lang w:eastAsia="sr-Latn-RS"/>
        </w:rPr>
        <w:t>)</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50"/>
        <w:gridCol w:w="1140"/>
        <w:gridCol w:w="1192"/>
        <w:gridCol w:w="1147"/>
        <w:gridCol w:w="2171"/>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Параметар</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Граничне вредности (</w:t>
            </w:r>
            <w:r w:rsidRPr="00B03342">
              <w:rPr>
                <w:rFonts w:ascii="Arial" w:hAnsi="Arial" w:cs="Arial"/>
                <w:vertAlign w:val="superscript"/>
                <w:lang w:eastAsia="sr-Latn-RS"/>
              </w:rPr>
              <w:t>4</w:t>
            </w:r>
            <w:r w:rsidRPr="00B03342">
              <w:rPr>
                <w:rFonts w:ascii="Arial" w:hAnsi="Arial" w:cs="Arial"/>
                <w:lang w:eastAsia="sr-Latn-RS"/>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Испитна метода (</w:t>
            </w:r>
            <w:r w:rsidRPr="00B03342">
              <w:rPr>
                <w:rFonts w:ascii="Arial" w:hAnsi="Arial" w:cs="Arial"/>
                <w:vertAlign w:val="superscript"/>
                <w:lang w:eastAsia="sr-Latn-RS"/>
              </w:rPr>
              <w:t>5</w:t>
            </w:r>
            <w:r w:rsidRPr="00B03342">
              <w:rPr>
                <w:rFonts w:ascii="Arial" w:hAnsi="Arial" w:cs="Arial"/>
                <w:lang w:eastAsia="sr-Latn-RS"/>
              </w:rPr>
              <w:t>)</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Укупно алкохола (етанол укључујући удео виших засићених алкохола)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15721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Остали виши засићени моно-алкохоли(C</w:t>
            </w:r>
            <w:r w:rsidRPr="00B03342">
              <w:rPr>
                <w:rFonts w:ascii="Arial" w:hAnsi="Arial" w:cs="Arial"/>
                <w:vertAlign w:val="subscript"/>
                <w:lang w:eastAsia="sr-Latn-RS"/>
              </w:rPr>
              <w:t>3</w:t>
            </w:r>
            <w:r w:rsidRPr="00B03342">
              <w:rPr>
                <w:rFonts w:ascii="Arial" w:hAnsi="Arial" w:cs="Arial"/>
                <w:lang w:eastAsia="sr-Latn-RS"/>
              </w:rPr>
              <w:t>-C</w:t>
            </w:r>
            <w:r w:rsidRPr="00B03342">
              <w:rPr>
                <w:rFonts w:ascii="Arial" w:hAnsi="Arial" w:cs="Arial"/>
                <w:vertAlign w:val="subscript"/>
                <w:lang w:eastAsia="sr-Latn-RS"/>
              </w:rPr>
              <w:t>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15721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Метанол</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15721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при 15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793,0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12185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Киселост, обрачуната као сирћетна киселина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15491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Изглед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Светао и бистар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3679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Суви остатак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15691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EN 15489 (</w:t>
            </w:r>
            <w:r w:rsidRPr="00B03342">
              <w:rPr>
                <w:rFonts w:ascii="Arial" w:hAnsi="Arial" w:cs="Arial"/>
                <w:vertAlign w:val="superscript"/>
                <w:lang w:eastAsia="sr-Latn-RS"/>
              </w:rPr>
              <w:t>6</w:t>
            </w:r>
            <w:r w:rsidRPr="00B03342">
              <w:rPr>
                <w:rFonts w:ascii="Arial" w:hAnsi="Arial" w:cs="Arial"/>
                <w:lang w:eastAsia="sr-Latn-RS"/>
              </w:rPr>
              <w:t>)</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12937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EN15692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Алдехиди, обрачунати као ацеталдехид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1388-4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Естери, обрачунати као етил ацетат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ASTM D1617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15485</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Сулфати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Загађење честицама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12662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Фосфор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анорганског хлорида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15484 или EN 15492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Бакар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Електрична проводљивост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μS/cm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DIN 51627-4 или prEN 15938</w:t>
            </w:r>
          </w:p>
        </w:tc>
      </w:tr>
      <w:tr w:rsidR="00DA0CD9" w:rsidRPr="00B03342" w:rsidTr="00E26D3C">
        <w:tc>
          <w:tcPr>
            <w:tcW w:w="0" w:type="auto"/>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 Адитиви, попут материја за побољшање цетанског броја које је спецификовао произвођач мотора, могу се додавати гориву етанолу ако нема познатих негативних секундарних учинака. Ако су ти услови задовољени, допуштена највећа количина је 10 % m/m.</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Технички подаци о горивима за испитивање мотора с паљењем електричном варницом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Тип: бензин (E10)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45"/>
        <w:gridCol w:w="972"/>
        <w:gridCol w:w="871"/>
        <w:gridCol w:w="3303"/>
        <w:gridCol w:w="2309"/>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Параметар</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Граничне вредности (</w:t>
            </w:r>
            <w:r w:rsidRPr="00B03342">
              <w:rPr>
                <w:rFonts w:ascii="Arial" w:hAnsi="Arial" w:cs="Arial"/>
                <w:vertAlign w:val="superscript"/>
                <w:lang w:eastAsia="sr-Latn-RS"/>
              </w:rPr>
              <w:t>7</w:t>
            </w:r>
            <w:r w:rsidRPr="00B03342">
              <w:rPr>
                <w:rFonts w:ascii="Arial" w:hAnsi="Arial" w:cs="Arial"/>
                <w:lang w:eastAsia="sr-Latn-RS"/>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Испитна метода (</w:t>
            </w:r>
            <w:r w:rsidRPr="00B03342">
              <w:rPr>
                <w:rFonts w:ascii="Arial" w:hAnsi="Arial" w:cs="Arial"/>
                <w:vertAlign w:val="superscript"/>
                <w:lang w:eastAsia="sr-Latn-RS"/>
              </w:rPr>
              <w:t>8</w:t>
            </w:r>
            <w:r w:rsidRPr="00B03342">
              <w:rPr>
                <w:rFonts w:ascii="Arial" w:hAnsi="Arial" w:cs="Arial"/>
                <w:lang w:eastAsia="sr-Latn-RS"/>
              </w:rPr>
              <w:t>)</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Испитни октански број, RON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EN ISO 5164:2005 (</w:t>
            </w:r>
            <w:r w:rsidRPr="00B03342">
              <w:rPr>
                <w:rFonts w:ascii="Arial" w:hAnsi="Arial" w:cs="Arial"/>
                <w:vertAlign w:val="superscript"/>
                <w:lang w:eastAsia="sr-Latn-RS"/>
              </w:rPr>
              <w:t>9</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Моторни октански број, MON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EN ISO 5163:2005 (</w:t>
            </w:r>
            <w:r w:rsidRPr="00B03342">
              <w:rPr>
                <w:rFonts w:ascii="Arial" w:hAnsi="Arial" w:cs="Arial"/>
                <w:vertAlign w:val="superscript"/>
                <w:lang w:eastAsia="sr-Latn-RS"/>
              </w:rPr>
              <w:t>9</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при 15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3675</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12185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пара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13016-1 (DVPE)</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0,05 % vol.</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изглед при –7 °C: бистро и светло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12937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Дестилација: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испарено на 70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испарено на 100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испарено на150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завршно горење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Остатак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3405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Анализа угљенводоника: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олефини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14517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15553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аромати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14517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15553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бензен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12177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238, EN 14517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засићени спојеви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14517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15553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угљеник/водоник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угљеник/кисеоник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Индукцијско време (</w:t>
            </w:r>
            <w:r w:rsidRPr="00B03342">
              <w:rPr>
                <w:rFonts w:ascii="Arial" w:hAnsi="Arial" w:cs="Arial"/>
                <w:vertAlign w:val="superscript"/>
                <w:lang w:eastAsia="sr-Latn-RS"/>
              </w:rPr>
              <w:t>10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минуте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7536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кисеоника (</w:t>
            </w:r>
            <w:r w:rsidRPr="00B03342">
              <w:rPr>
                <w:rFonts w:ascii="Arial" w:hAnsi="Arial" w:cs="Arial"/>
                <w:vertAlign w:val="superscript"/>
                <w:lang w:eastAsia="sr-Latn-RS"/>
              </w:rPr>
              <w:t>11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3,3 (</w:t>
            </w:r>
            <w:r w:rsidRPr="00B03342">
              <w:rPr>
                <w:rFonts w:ascii="Arial" w:hAnsi="Arial" w:cs="Arial"/>
                <w:vertAlign w:val="superscript"/>
                <w:lang w:eastAsia="sr-Latn-RS"/>
              </w:rPr>
              <w:t>14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1601</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13132</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14517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Присутна смола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mg/ml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6246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сумпора (</w:t>
            </w:r>
            <w:r w:rsidRPr="00B03342">
              <w:rPr>
                <w:rFonts w:ascii="Arial" w:hAnsi="Arial" w:cs="Arial"/>
                <w:vertAlign w:val="superscript"/>
                <w:lang w:eastAsia="sr-Latn-RS"/>
              </w:rPr>
              <w:t>12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20846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20884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Корозија бакра на (3h на 50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оцена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разред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2160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олова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237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фосфора (</w:t>
            </w:r>
            <w:r w:rsidRPr="00B03342">
              <w:rPr>
                <w:rFonts w:ascii="Arial" w:hAnsi="Arial" w:cs="Arial"/>
                <w:vertAlign w:val="superscript"/>
                <w:lang w:eastAsia="sr-Latn-RS"/>
              </w:rPr>
              <w:t>13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ASTM D 3231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Етанол (</w:t>
            </w:r>
            <w:r w:rsidRPr="00B03342">
              <w:rPr>
                <w:rFonts w:ascii="Arial" w:hAnsi="Arial" w:cs="Arial"/>
                <w:vertAlign w:val="superscript"/>
                <w:lang w:eastAsia="sr-Latn-RS"/>
              </w:rPr>
              <w:t>10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9,0 (</w:t>
            </w:r>
            <w:r w:rsidRPr="00B03342">
              <w:rPr>
                <w:rFonts w:ascii="Arial" w:hAnsi="Arial" w:cs="Arial"/>
                <w:vertAlign w:val="superscript"/>
                <w:lang w:eastAsia="sr-Latn-RS"/>
              </w:rPr>
              <w:t>14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10,2 (</w:t>
            </w:r>
            <w:r w:rsidRPr="00B03342">
              <w:rPr>
                <w:rFonts w:ascii="Arial" w:hAnsi="Arial" w:cs="Arial"/>
                <w:vertAlign w:val="superscript"/>
                <w:lang w:eastAsia="sr-Latn-RS"/>
              </w:rPr>
              <w:t>14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22854</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Тип: Етанол(E85)</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93"/>
        <w:gridCol w:w="879"/>
        <w:gridCol w:w="2161"/>
        <w:gridCol w:w="1921"/>
        <w:gridCol w:w="1546"/>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Параметар</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Граничне вредности (</w:t>
            </w:r>
            <w:r w:rsidRPr="00B03342">
              <w:rPr>
                <w:rFonts w:ascii="Arial" w:hAnsi="Arial" w:cs="Arial"/>
                <w:vertAlign w:val="superscript"/>
                <w:lang w:eastAsia="sr-Latn-RS"/>
              </w:rPr>
              <w:t>15</w:t>
            </w:r>
            <w:r w:rsidRPr="00B03342">
              <w:rPr>
                <w:rFonts w:ascii="Arial" w:hAnsi="Arial" w:cs="Arial"/>
                <w:lang w:eastAsia="sr-Latn-RS"/>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Испитна метода</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Испитни октански број, RON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5164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Моторни октански број, MON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5163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при 15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3675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паре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13016-1 (DVPE)</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Удео сумпора (</w:t>
            </w:r>
            <w:r w:rsidRPr="00B03342">
              <w:rPr>
                <w:rFonts w:ascii="Arial" w:hAnsi="Arial" w:cs="Arial"/>
                <w:vertAlign w:val="superscript"/>
                <w:lang w:eastAsia="sr-Latn-RS"/>
              </w:rPr>
              <w:t>16</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15485 или EN 15486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Оксидациона стабилност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минуте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7536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присутне смоле (испране у разређивачу)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mg/100 ml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EN-ISO 6246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Изглед</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Утврђује се на температури околине или на 15 °C, зависно о томе која је већа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бистар и светао, без видљивих лебдећих или наталожених загађујућих материја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Визуални преглед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Етанол и виши алкохоли (</w:t>
            </w:r>
            <w:r w:rsidRPr="00B03342">
              <w:rPr>
                <w:rFonts w:ascii="Arial" w:hAnsi="Arial" w:cs="Arial"/>
                <w:vertAlign w:val="superscript"/>
                <w:lang w:eastAsia="sr-Latn-RS"/>
              </w:rPr>
              <w:t>17</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1601</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13132</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EN 14517</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E DIN 51627-3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Виши алкохоли(C</w:t>
            </w:r>
            <w:r w:rsidRPr="00B03342">
              <w:rPr>
                <w:rFonts w:ascii="Arial" w:hAnsi="Arial" w:cs="Arial"/>
                <w:vertAlign w:val="subscript"/>
                <w:lang w:eastAsia="sr-Latn-RS"/>
              </w:rPr>
              <w:t>3</w:t>
            </w:r>
            <w:r w:rsidRPr="00B03342">
              <w:rPr>
                <w:rFonts w:ascii="Arial" w:hAnsi="Arial" w:cs="Arial"/>
                <w:lang w:eastAsia="sr-Latn-RS"/>
              </w:rPr>
              <w:t>-C</w:t>
            </w:r>
            <w:r w:rsidRPr="00B03342">
              <w:rPr>
                <w:rFonts w:ascii="Arial" w:hAnsi="Arial" w:cs="Arial"/>
                <w:vertAlign w:val="subscript"/>
                <w:lang w:eastAsia="sr-Latn-RS"/>
              </w:rPr>
              <w:t>8</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 DIN 51627-3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Метанол</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 DIN 51627-3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Бензин (</w:t>
            </w:r>
            <w:r w:rsidRPr="00B03342">
              <w:rPr>
                <w:rFonts w:ascii="Arial" w:hAnsi="Arial" w:cs="Arial"/>
                <w:vertAlign w:val="superscript"/>
                <w:lang w:eastAsia="sr-Latn-RS"/>
              </w:rPr>
              <w:t>18</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Фосфор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0,20 (</w:t>
            </w:r>
            <w:r w:rsidRPr="00B03342">
              <w:rPr>
                <w:rFonts w:ascii="Arial" w:hAnsi="Arial" w:cs="Arial"/>
                <w:vertAlign w:val="superscript"/>
                <w:lang w:eastAsia="sr-Latn-RS"/>
              </w:rPr>
              <w:t>19</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0,300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15489 или EN 15692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анорганског хлорида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15492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pHe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Корозија бакрене плочице (3h на 50°C)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Оцена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разред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2160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Киселост (као сирћетна киселина CH</w:t>
            </w:r>
            <w:r w:rsidRPr="00B03342">
              <w:rPr>
                <w:rFonts w:ascii="Arial" w:hAnsi="Arial" w:cs="Arial"/>
                <w:vertAlign w:val="subscript"/>
                <w:lang w:eastAsia="sr-Latn-RS"/>
              </w:rPr>
              <w:t>3</w:t>
            </w:r>
            <w:r w:rsidRPr="00B03342">
              <w:rPr>
                <w:rFonts w:ascii="Arial" w:hAnsi="Arial" w:cs="Arial"/>
                <w:lang w:eastAsia="sr-Latn-RS"/>
              </w:rPr>
              <w:t>COOH)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m/m</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(mg/l)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0,0050</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15491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Електрична проводљивост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μS/cm</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DIN 51627-4 или EN 15938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угљеник/водоник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угљеник/кисеоник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Обавестити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Технички подаци о гасовитим горивима за моторе на једно гориво и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Тип: UNP</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86"/>
        <w:gridCol w:w="859"/>
        <w:gridCol w:w="1468"/>
        <w:gridCol w:w="1468"/>
        <w:gridCol w:w="311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Параметар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 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 B</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Испитна метода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Састав: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27941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C</w:t>
            </w:r>
            <w:r w:rsidRPr="00B03342">
              <w:rPr>
                <w:rFonts w:ascii="Arial" w:hAnsi="Arial" w:cs="Arial"/>
                <w:vertAlign w:val="sub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 ±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 ±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Удео C</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 (</w:t>
            </w:r>
            <w:r w:rsidRPr="00B03342">
              <w:rPr>
                <w:rFonts w:ascii="Arial" w:hAnsi="Arial" w:cs="Arial"/>
                <w:vertAlign w:val="superscript"/>
                <w:lang w:eastAsia="sr-Latn-RS"/>
              </w:rPr>
              <w:t>20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 (</w:t>
            </w:r>
            <w:r w:rsidRPr="00B03342">
              <w:rPr>
                <w:rFonts w:ascii="Arial" w:hAnsi="Arial" w:cs="Arial"/>
                <w:vertAlign w:val="superscript"/>
                <w:lang w:eastAsia="sr-Latn-RS"/>
              </w:rPr>
              <w:t>20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&lt; C</w:t>
            </w:r>
            <w:r w:rsidRPr="00B03342">
              <w:rPr>
                <w:rFonts w:ascii="Arial" w:hAnsi="Arial" w:cs="Arial"/>
                <w:vertAlign w:val="subscript"/>
                <w:lang w:eastAsia="sr-Latn-RS"/>
              </w:rPr>
              <w:t>3</w:t>
            </w:r>
            <w:r w:rsidRPr="00B03342">
              <w:rPr>
                <w:rFonts w:ascii="Arial" w:hAnsi="Arial" w:cs="Arial"/>
                <w:lang w:eastAsia="sr-Latn-RS"/>
              </w:rPr>
              <w:t>, &gt; C</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Олефини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Остатак испаравања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воде на 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15469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удео сумпора, укључујући одорант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 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24260, ASTM D 3246, ASTM 6667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Водоников сулфид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ISO 8819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Корозија бакрене плочице (1h на 40 °C)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Оцена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разред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разред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ISO 6251 (</w:t>
            </w:r>
            <w:r w:rsidRPr="00B03342">
              <w:rPr>
                <w:rFonts w:ascii="Arial" w:hAnsi="Arial" w:cs="Arial"/>
                <w:vertAlign w:val="superscript"/>
                <w:lang w:eastAsia="sr-Latn-RS"/>
              </w:rPr>
              <w:t>21</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Мирис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карактеристичан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карактеристичан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Моторни октански број (</w:t>
            </w:r>
            <w:r w:rsidRPr="00B03342">
              <w:rPr>
                <w:rFonts w:ascii="Arial" w:hAnsi="Arial" w:cs="Arial"/>
                <w:vertAlign w:val="superscript"/>
                <w:lang w:eastAsia="sr-Latn-RS"/>
              </w:rPr>
              <w:t>22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 89,0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 89,0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EN 589 Прилог Б</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 Тип: Природни гас/биометан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3.2.1. Спецификације за референтна горива с уједначеним својствима (нпр. из затвореног спремника)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Осим референтних горива утврђених у овој тачки, могу се употребити еквивалентна горива из тачке 3.2.2. овог прилога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01"/>
        <w:gridCol w:w="1368"/>
        <w:gridCol w:w="1066"/>
        <w:gridCol w:w="1406"/>
        <w:gridCol w:w="1352"/>
        <w:gridCol w:w="2207"/>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Карактеристике</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Јединице</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Основа</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Граничне вредности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Испитна метода</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најмање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највише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Референтно гориво G</w:t>
            </w:r>
            <w:r w:rsidRPr="00B03342">
              <w:rPr>
                <w:rFonts w:ascii="Arial" w:hAnsi="Arial" w:cs="Arial"/>
                <w:vertAlign w:val="subscript"/>
                <w:lang w:eastAsia="sr-Latn-RS"/>
              </w:rPr>
              <w:t>R</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Састав: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mg/m</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6326-5</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Напомене:</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 Инертни гасови+C</w:t>
            </w:r>
            <w:r w:rsidRPr="00B03342">
              <w:rPr>
                <w:rFonts w:ascii="Arial" w:hAnsi="Arial" w:cs="Arial"/>
                <w:vertAlign w:val="subscript"/>
                <w:lang w:eastAsia="sr-Latn-RS"/>
              </w:rPr>
              <w:t>2+</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2</w:t>
            </w:r>
            <w:r w:rsidRPr="00B03342">
              <w:rPr>
                <w:rFonts w:ascii="Arial" w:hAnsi="Arial" w:cs="Arial"/>
                <w:lang w:eastAsia="sr-Latn-RS"/>
              </w:rPr>
              <w:t>) Вредност се утврђује при стандардним условима 293,2 K (20 °C) и 101,3 kPa.</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Референтно гориво G</w:t>
            </w:r>
            <w:r w:rsidRPr="00B03342">
              <w:rPr>
                <w:rFonts w:ascii="Arial" w:hAnsi="Arial" w:cs="Arial"/>
                <w:vertAlign w:val="subscript"/>
                <w:lang w:eastAsia="sr-Latn-RS"/>
              </w:rPr>
              <w:t>23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Састав: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mg/m</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6326-5</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напомене:</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 Инертни гасови (различити од N</w:t>
            </w:r>
            <w:r w:rsidRPr="00B03342">
              <w:rPr>
                <w:rFonts w:ascii="Arial" w:hAnsi="Arial" w:cs="Arial"/>
                <w:vertAlign w:val="subscript"/>
                <w:lang w:eastAsia="sr-Latn-RS"/>
              </w:rPr>
              <w:t>2</w:t>
            </w:r>
            <w:r w:rsidRPr="00B03342">
              <w:rPr>
                <w:rFonts w:ascii="Arial" w:hAnsi="Arial" w:cs="Arial"/>
                <w:lang w:eastAsia="sr-Latn-RS"/>
              </w:rPr>
              <w:t>) + C</w:t>
            </w:r>
            <w:r w:rsidRPr="00B03342">
              <w:rPr>
                <w:rFonts w:ascii="Arial" w:hAnsi="Arial" w:cs="Arial"/>
                <w:vertAlign w:val="subscript"/>
                <w:lang w:eastAsia="sr-Latn-RS"/>
              </w:rPr>
              <w:t>2</w:t>
            </w:r>
            <w:r w:rsidRPr="00B03342">
              <w:rPr>
                <w:rFonts w:ascii="Arial" w:hAnsi="Arial" w:cs="Arial"/>
                <w:lang w:eastAsia="sr-Latn-RS"/>
              </w:rPr>
              <w:t>+ C</w:t>
            </w:r>
            <w:r w:rsidRPr="00B03342">
              <w:rPr>
                <w:rFonts w:ascii="Arial" w:hAnsi="Arial" w:cs="Arial"/>
                <w:vertAlign w:val="subscript"/>
                <w:lang w:eastAsia="sr-Latn-RS"/>
              </w:rPr>
              <w:t>2+</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2</w:t>
            </w:r>
            <w:r w:rsidRPr="00B03342">
              <w:rPr>
                <w:rFonts w:ascii="Arial" w:hAnsi="Arial" w:cs="Arial"/>
                <w:lang w:eastAsia="sr-Latn-RS"/>
              </w:rPr>
              <w:t>) Вредност се утврђује при 293,2 K (20 °C) и 101,3 kPa.</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Референтно гориво G</w:t>
            </w:r>
            <w:r w:rsidRPr="00B03342">
              <w:rPr>
                <w:rFonts w:ascii="Arial" w:hAnsi="Arial" w:cs="Arial"/>
                <w:vertAlign w:val="subscript"/>
                <w:lang w:eastAsia="sr-Latn-RS"/>
              </w:rPr>
              <w:t>25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Састав: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mg/m</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6326-5</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напомене:</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 Инертни гасови (различити од N</w:t>
            </w:r>
            <w:r w:rsidRPr="00B03342">
              <w:rPr>
                <w:rFonts w:ascii="Arial" w:hAnsi="Arial" w:cs="Arial"/>
                <w:vertAlign w:val="subscript"/>
                <w:lang w:eastAsia="sr-Latn-RS"/>
              </w:rPr>
              <w:t>2</w:t>
            </w:r>
            <w:r w:rsidRPr="00B03342">
              <w:rPr>
                <w:rFonts w:ascii="Arial" w:hAnsi="Arial" w:cs="Arial"/>
                <w:lang w:eastAsia="sr-Latn-RS"/>
              </w:rPr>
              <w:t>) + C</w:t>
            </w:r>
            <w:r w:rsidRPr="00B03342">
              <w:rPr>
                <w:rFonts w:ascii="Arial" w:hAnsi="Arial" w:cs="Arial"/>
                <w:vertAlign w:val="subscript"/>
                <w:lang w:eastAsia="sr-Latn-RS"/>
              </w:rPr>
              <w:t>2</w:t>
            </w:r>
            <w:r w:rsidRPr="00B03342">
              <w:rPr>
                <w:rFonts w:ascii="Arial" w:hAnsi="Arial" w:cs="Arial"/>
                <w:lang w:eastAsia="sr-Latn-RS"/>
              </w:rPr>
              <w:t>+ C</w:t>
            </w:r>
            <w:r w:rsidRPr="00B03342">
              <w:rPr>
                <w:rFonts w:ascii="Arial" w:hAnsi="Arial" w:cs="Arial"/>
                <w:vertAlign w:val="subscript"/>
                <w:lang w:eastAsia="sr-Latn-RS"/>
              </w:rPr>
              <w:t>2+</w:t>
            </w:r>
          </w:p>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2</w:t>
            </w:r>
            <w:r w:rsidRPr="00B03342">
              <w:rPr>
                <w:rFonts w:ascii="Arial" w:hAnsi="Arial" w:cs="Arial"/>
                <w:lang w:eastAsia="sr-Latn-RS"/>
              </w:rPr>
              <w:t>) Вредност се утврђује при 293,2 K (20 °C) и101,3 kPa.</w:t>
            </w:r>
          </w:p>
        </w:tc>
      </w:tr>
      <w:tr w:rsidR="00DA0CD9" w:rsidRPr="00B03342" w:rsidTr="00E26D3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Референтно гориво G</w:t>
            </w:r>
            <w:r w:rsidRPr="00B03342">
              <w:rPr>
                <w:rFonts w:ascii="Arial" w:hAnsi="Arial" w:cs="Arial"/>
                <w:vertAlign w:val="subscript"/>
                <w:lang w:eastAsia="sr-Latn-RS"/>
              </w:rPr>
              <w:t>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Састав: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Биланс (</w:t>
            </w:r>
            <w:r w:rsidRPr="00B03342">
              <w:rPr>
                <w:rFonts w:ascii="Arial" w:hAnsi="Arial" w:cs="Arial"/>
                <w:vertAlign w:val="superscript"/>
                <w:lang w:eastAsia="sr-Latn-RS"/>
              </w:rPr>
              <w:t>23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6974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mg/m</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perscript"/>
                <w:lang w:eastAsia="sr-Latn-RS"/>
              </w:rPr>
              <w:t>24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ISO 6326-5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Wobbeov индекс (нето)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MJ/m</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perscript"/>
                <w:lang w:eastAsia="sr-Latn-RS"/>
              </w:rPr>
              <w:t>25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 Спецификација за референтно гориво из гасовода с примесом других гасова са својствима гаса одређенима теренским мерењем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Осим референтних горива из ове тачке, могу се употребити еквивалентна референтна горива из тачке 3.2.1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3.2.2.1. Основа за сваки референтни гас из гасовода (G</w:t>
      </w:r>
      <w:r w:rsidRPr="00B03342">
        <w:rPr>
          <w:rFonts w:ascii="Arial" w:hAnsi="Arial" w:cs="Arial"/>
          <w:color w:val="000000"/>
          <w:vertAlign w:val="subscript"/>
          <w:lang w:eastAsia="sr-Latn-RS"/>
        </w:rPr>
        <w:t>R</w:t>
      </w:r>
      <w:r w:rsidRPr="00B03342">
        <w:rPr>
          <w:rFonts w:ascii="Arial" w:hAnsi="Arial" w:cs="Arial"/>
          <w:color w:val="000000"/>
          <w:lang w:eastAsia="sr-Latn-RS"/>
        </w:rPr>
        <w:t>, G</w:t>
      </w:r>
      <w:r w:rsidRPr="00B03342">
        <w:rPr>
          <w:rFonts w:ascii="Arial" w:hAnsi="Arial" w:cs="Arial"/>
          <w:color w:val="000000"/>
          <w:vertAlign w:val="subscript"/>
          <w:lang w:eastAsia="sr-Latn-RS"/>
        </w:rPr>
        <w:t>20</w:t>
      </w:r>
      <w:r w:rsidRPr="00B03342">
        <w:rPr>
          <w:rFonts w:ascii="Arial" w:hAnsi="Arial" w:cs="Arial"/>
          <w:color w:val="000000"/>
          <w:lang w:eastAsia="sr-Latn-RS"/>
        </w:rPr>
        <w:t>, …) јест гас добијен из комуналне мреже за дистрибуцију гаса, помешан, ако је то потребно за задовољавање одговарајуће спецификације ламбда-помака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 из табеле 9.1. овог прилога, с једним или више следећих комерцијално (</w:t>
      </w:r>
      <w:r w:rsidRPr="00B03342">
        <w:rPr>
          <w:rFonts w:ascii="Arial" w:hAnsi="Arial" w:cs="Arial"/>
          <w:color w:val="000000"/>
          <w:vertAlign w:val="superscript"/>
          <w:lang w:eastAsia="sr-Latn-RS"/>
        </w:rPr>
        <w:t>26</w:t>
      </w:r>
      <w:r w:rsidRPr="00B03342">
        <w:rPr>
          <w:rFonts w:ascii="Arial" w:hAnsi="Arial" w:cs="Arial"/>
          <w:color w:val="000000"/>
          <w:lang w:eastAsia="sr-Latn-RS"/>
        </w:rPr>
        <w:t>) доступних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угљениковог диоксида,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етана,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метана,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азота,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пропана.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3.2.2.2.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добијене мешавине која се састоји од гаса из гасовода и с њим помешаних гасова мора бити унутар распона наведеног у табели 9.1 овог прилога за одређено референтно гориво.</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Табела 9.1. </w:t>
      </w:r>
      <w:r w:rsidRPr="00B03342">
        <w:rPr>
          <w:rFonts w:ascii="Arial" w:hAnsi="Arial" w:cs="Arial"/>
          <w:color w:val="000000"/>
          <w:lang w:eastAsia="sr-Latn-RS"/>
        </w:rPr>
        <w:t>Потребни распон С</w:t>
      </w:r>
      <w:r w:rsidRPr="00B03342">
        <w:rPr>
          <w:rFonts w:ascii="Arial" w:hAnsi="Arial" w:cs="Arial"/>
          <w:color w:val="000000"/>
          <w:vertAlign w:val="subscript"/>
          <w:lang w:eastAsia="sr-Latn-RS"/>
        </w:rPr>
        <w:t>λ</w:t>
      </w:r>
      <w:r w:rsidRPr="00B03342">
        <w:rPr>
          <w:rFonts w:ascii="Arial" w:hAnsi="Arial" w:cs="Arial"/>
          <w:color w:val="000000"/>
          <w:lang w:eastAsia="sr-Latn-RS"/>
        </w:rPr>
        <w:t> за свако референтно гориво</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75"/>
        <w:gridCol w:w="2917"/>
        <w:gridCol w:w="270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Најмањи S</w:t>
            </w:r>
            <w:r w:rsidRPr="00B03342">
              <w:rPr>
                <w:rFonts w:ascii="Arial" w:hAnsi="Arial" w:cs="Arial"/>
                <w:vertAlign w:val="subscript"/>
                <w:lang w:eastAsia="sr-Latn-RS"/>
              </w:rPr>
              <w:t>λ</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Највећи S</w:t>
            </w:r>
            <w:r w:rsidRPr="00B03342">
              <w:rPr>
                <w:rFonts w:ascii="Arial" w:hAnsi="Arial" w:cs="Arial"/>
                <w:vertAlign w:val="subscript"/>
                <w:lang w:eastAsia="sr-Latn-RS"/>
              </w:rPr>
              <w:t>λ</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R</w:t>
            </w:r>
            <w:r w:rsidRPr="00B03342">
              <w:rPr>
                <w:rFonts w:ascii="Arial" w:hAnsi="Arial" w:cs="Arial"/>
                <w:lang w:eastAsia="sr-Latn-RS"/>
              </w:rPr>
              <w:t> (</w:t>
            </w:r>
            <w:r w:rsidRPr="00B03342">
              <w:rPr>
                <w:rFonts w:ascii="Arial" w:hAnsi="Arial" w:cs="Arial"/>
                <w:vertAlign w:val="superscript"/>
                <w:lang w:eastAsia="sr-Latn-RS"/>
              </w:rPr>
              <w:t>27</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3.2.2.3. Извештај о испитивању мотора за свако испитивање укључује следеће: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(a) мешавине гас(ов)а одабране с пописа у тачки 3.2.2.1,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добијене мешавине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метански број (MN) добијене мешавине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3.2.2.4. Захтеви из додатака 1. и 2. морају се испунити у односу на одређивање својстава гаса из гасовода и других гасова у мешавини, одређивање вредности S</w:t>
      </w:r>
      <w:r w:rsidRPr="00B03342">
        <w:rPr>
          <w:rFonts w:ascii="Arial" w:hAnsi="Arial" w:cs="Arial"/>
          <w:color w:val="000000"/>
          <w:vertAlign w:val="subscript"/>
          <w:lang w:eastAsia="sr-Latn-RS"/>
        </w:rPr>
        <w:t>λ</w:t>
      </w:r>
      <w:r w:rsidRPr="00B03342">
        <w:rPr>
          <w:rFonts w:ascii="Arial" w:hAnsi="Arial" w:cs="Arial"/>
          <w:color w:val="000000"/>
          <w:lang w:eastAsia="sr-Latn-RS"/>
        </w:rPr>
        <w:t> и MN за добијену мешавину гасова те верификацију је ли смеса била једнака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3.2.2.5. Ако један или више извора гаса (гас из гасовода или смеса гас(ов)а) садржи CO</w:t>
      </w:r>
      <w:r w:rsidRPr="00B03342">
        <w:rPr>
          <w:rFonts w:ascii="Arial" w:hAnsi="Arial" w:cs="Arial"/>
          <w:color w:val="000000"/>
          <w:vertAlign w:val="subscript"/>
          <w:lang w:eastAsia="sr-Latn-RS"/>
        </w:rPr>
        <w:t>2</w:t>
      </w:r>
      <w:r w:rsidRPr="00B03342">
        <w:rPr>
          <w:rFonts w:ascii="Arial" w:hAnsi="Arial" w:cs="Arial"/>
          <w:color w:val="000000"/>
          <w:lang w:eastAsia="sr-Latn-RS"/>
        </w:rPr>
        <w:t> у већој количини од de-minimus, обрачун специфичних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из Прилога 10 ове уредбе коригује се у складу с Додатком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w:t>
      </w:r>
      <w:r w:rsidRPr="00B03342">
        <w:rPr>
          <w:rFonts w:ascii="Arial" w:hAnsi="Arial" w:cs="Arial"/>
          <w:color w:val="000000"/>
          <w:lang w:eastAsia="sr-Latn-RS"/>
        </w:rPr>
        <w:t>) Вредности наведене у спецификацијама су „стварне вредности”. При успостављању њихових граничних вредности примењене су одредбе ISO 4259 „Нафтни производи – Одређивање и примена података о прецизности у односу на методе испитивања”, а код одређивања најмање вредности узета је у обзир најмања разлика од 2R изнад нуле; при одређивању највеће и најмање вредности најмања разлика је 4R (R = обновљивост).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Независно о тој мери, потребној из техничких разлога, произвођач горива ипак мора настојати постићи вредност нула кад је одређена максимална вредност 2R и средњу вредност у случају навођења најмањих и највећих граничних вредности. Укаже ли се потреба да се разјасни задовољава ли одређено гориво захтеве спецификација, примењују се одредбе стандарда ISO 4259.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Распон за цетански број није у складу са захтеваним минималним распоном 4R. Ипак, у случају спора добављача горива и корисника горива, за решавање таквих спорова могу се употребљавати одредбе из стандарда ISO 4259 под условом да се уместо једнократних утврђивања радије спроведе довољан број поновљених мерења како би се постигла потребна тачност.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Иако се оксидациона стабилност регулише, вероватно је да ће рок употребе бити ограничен. Потребно је саветовати се с добављачем о условима складиштења и року употребе.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Вредности наведене у спецификацијама су „стварне вредности”. Приликом успостављања њихових граничних вредности примењени су услови стандарда ISO 4259 (Нафтни производи – Одређивање и примена података о прецизности у односу на методе испитивања), а у одређивању најмање вредности, у обзир је узета најмања разлика од 2R изнад нуле. при утврђивању највеће и најмање вредности најмања разлика је 4R (R= обновљивост). Независно о тој мери, потребној из техничких разлога, произвођач горива ипак мора настојати постићи вредност нула кад је одређена максимална вредност 2R и средњу вредност у случају навођења најмањих и највећих граничних вредности. Укаже ли се потреба да се разјасни задовољава ли одређено гориво захтеве спецификација, примењују се одредбе стандарда ISO 4259.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Методе исте важности EN/ISO ће бити донете када буду издате за горе наведене 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6</w:t>
      </w:r>
      <w:r w:rsidRPr="00B03342">
        <w:rPr>
          <w:rFonts w:ascii="Arial" w:hAnsi="Arial" w:cs="Arial"/>
          <w:color w:val="000000"/>
          <w:lang w:eastAsia="sr-Latn-RS"/>
        </w:rPr>
        <w:t>) Укаже ли се потреба да се разјасни задовољава ли одређено гориво захтеве спецификација, примењују се одредбе стандарда EN 15489.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7</w:t>
      </w:r>
      <w:r w:rsidRPr="00B03342">
        <w:rPr>
          <w:rFonts w:ascii="Arial" w:hAnsi="Arial" w:cs="Arial"/>
          <w:color w:val="000000"/>
          <w:lang w:eastAsia="sr-Latn-RS"/>
        </w:rPr>
        <w:t>) Вредности наведене у спецификацијама су „стварне вредности”. Приликом успостављања њихових граничних вредности примењени су услови стандарда ISO 4259 (Нафтни производи — Одређивање и примена података о прецизности у односу на методе испитивања), а у одређивању најмање вредности, у обзир је узета најмања разлика од 2R изнад нуле, при утврђивању највеће и најмање вредности најмања разлика је 4R (R = обновљивост). Независно о тој мери, потребној из техничких разлога, произвођач горива ипак мора настојати постићи вредност нула кад је одређена максимална вредност 2R и средњу вредност у случају навођења најмањих и највећих граничних вредности. Укаже ли се потреба да се разјасни задовољава ли одређено гориво захтеве спецификација, примењују се одредбе стандарда ISO 4259.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8</w:t>
      </w:r>
      <w:r w:rsidRPr="00B03342">
        <w:rPr>
          <w:rFonts w:ascii="Arial" w:hAnsi="Arial" w:cs="Arial"/>
          <w:color w:val="000000"/>
          <w:lang w:eastAsia="sr-Latn-RS"/>
        </w:rPr>
        <w:t>) Методе исте важности EN/ISO ће бити донете када буду издате за горе наведене вредности.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9</w:t>
      </w:r>
      <w:r w:rsidRPr="00B03342">
        <w:rPr>
          <w:rFonts w:ascii="Arial" w:hAnsi="Arial" w:cs="Arial"/>
          <w:color w:val="000000"/>
          <w:lang w:eastAsia="sr-Latn-RS"/>
        </w:rPr>
        <w:t>) Корекцијски фактор 0,2 за MON и RON одузима се при обрачуну коначног резултата у складу с стандардом EN 228:2008.</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10</w:t>
      </w:r>
      <w:r w:rsidRPr="00B03342">
        <w:rPr>
          <w:rFonts w:ascii="Arial" w:hAnsi="Arial" w:cs="Arial"/>
          <w:color w:val="000000"/>
          <w:lang w:eastAsia="sr-Latn-RS"/>
        </w:rPr>
        <w:t>) Гориво може садржати оксидацијске инхибиторе и металне деактиваторе који се уобичајено употребљавају за стабилизацију рафинеријских бензинских струјања, али се детерџентски/распршиви адитиви те уља за отапање не додају.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11</w:t>
      </w:r>
      <w:r w:rsidRPr="00B03342">
        <w:rPr>
          <w:rFonts w:ascii="Arial" w:hAnsi="Arial" w:cs="Arial"/>
          <w:color w:val="000000"/>
          <w:lang w:eastAsia="sr-Latn-RS"/>
        </w:rPr>
        <w:t>) Етанол који испуњава спецификацију EN 15376 једини је оксигенат који се намерно додаје референтном гориву.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12</w:t>
      </w:r>
      <w:r w:rsidRPr="00B03342">
        <w:rPr>
          <w:rFonts w:ascii="Arial" w:hAnsi="Arial" w:cs="Arial"/>
          <w:color w:val="000000"/>
          <w:lang w:eastAsia="sr-Latn-RS"/>
        </w:rPr>
        <w:t>) Стварни садржај сумпора у гориву које се употребљава за испитивање Типа 1 наводи се у извештају.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13</w:t>
      </w:r>
      <w:r w:rsidRPr="00B03342">
        <w:rPr>
          <w:rFonts w:ascii="Arial" w:hAnsi="Arial" w:cs="Arial"/>
          <w:color w:val="000000"/>
          <w:lang w:eastAsia="sr-Latn-RS"/>
        </w:rPr>
        <w:t>) Овом се референтном гориву не смеју намерно додавати састојци који садрже фосфор, гвожђе, манган или олово.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14</w:t>
      </w:r>
      <w:r w:rsidRPr="00B03342">
        <w:rPr>
          <w:rFonts w:ascii="Arial" w:hAnsi="Arial" w:cs="Arial"/>
          <w:color w:val="000000"/>
          <w:lang w:eastAsia="sr-Latn-RS"/>
        </w:rPr>
        <w:t>) Према избору произвођача удео етанола и одговарајући удео кисеоника могу бити нула за моторе категорије SMB. У том случају сва испитивања породице мотора или врсте мотора, ако не постоји породица, спроводе се употребом бензина без удела етанола.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15</w:t>
      </w:r>
      <w:r w:rsidRPr="00B03342">
        <w:rPr>
          <w:rFonts w:ascii="Arial" w:hAnsi="Arial" w:cs="Arial"/>
          <w:color w:val="000000"/>
          <w:lang w:eastAsia="sr-Latn-RS"/>
        </w:rPr>
        <w:t>) Вредности наведене у спецификацијама су „стварне вредности”. Приликом успостављања њихових граничних вредности примењени су услови стандарда ISO 4259 (Нафтни производи – Одређивање и примена података о прецизности у односу на методе испитивања), а у одређивању најмање вредности, у обзир је узета најмања разлика од 2R изнад нуле, при утврђивању највеће и најмање вредности најмања разлика је 4R (R = обновљивост). Независно о тој мери, потребној из техничких разлога, произвођач горива ипак мора настојати постићи вредност нула кад је одређена максимална вредност 2R и средњу вредност у случају навођења најмањих и највећих граничних вредности. Укаже ли се потреба да се разјасни задовољава ли одређено гориво захтеве спецификација, примењују се одредбе стандарда ISO 4259.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16</w:t>
      </w:r>
      <w:r w:rsidRPr="00B03342">
        <w:rPr>
          <w:rFonts w:ascii="Arial" w:hAnsi="Arial" w:cs="Arial"/>
          <w:color w:val="000000"/>
          <w:lang w:eastAsia="sr-Latn-RS"/>
        </w:rPr>
        <w:t>) Стварни садржај сумпора у гориву које се употребљава за испитивање емисија наводи се у извештају.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17</w:t>
      </w:r>
      <w:r w:rsidRPr="00B03342">
        <w:rPr>
          <w:rFonts w:ascii="Arial" w:hAnsi="Arial" w:cs="Arial"/>
          <w:color w:val="000000"/>
          <w:lang w:eastAsia="sr-Latn-RS"/>
        </w:rPr>
        <w:t>) Етанол који испуњава спецификацију EN 15376 једини је оксигенат који се намерно додаје референтном гориву.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w:t>
      </w:r>
      <w:r w:rsidRPr="00B03342">
        <w:rPr>
          <w:rFonts w:ascii="Arial" w:hAnsi="Arial" w:cs="Arial"/>
          <w:color w:val="000000"/>
          <w:vertAlign w:val="superscript"/>
          <w:lang w:eastAsia="sr-Latn-RS"/>
        </w:rPr>
        <w:t>18</w:t>
      </w:r>
      <w:r w:rsidRPr="00B03342">
        <w:rPr>
          <w:rFonts w:ascii="Arial" w:hAnsi="Arial" w:cs="Arial"/>
          <w:color w:val="000000"/>
          <w:lang w:eastAsia="sr-Latn-RS"/>
        </w:rPr>
        <w:t>) Удео безоловног бензина може се одредити као 100 минус збир удела воде, алкохола, MTBE-a и ETBE-a.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19</w:t>
      </w:r>
      <w:r w:rsidRPr="00B03342">
        <w:rPr>
          <w:rFonts w:ascii="Arial" w:hAnsi="Arial" w:cs="Arial"/>
          <w:color w:val="000000"/>
          <w:lang w:eastAsia="sr-Latn-RS"/>
        </w:rPr>
        <w:t>) Овом се референтном гориву не смеју намерно додавати састојци који садрже фосфор, гвожђе, манган или олово.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20</w:t>
      </w:r>
      <w:r w:rsidRPr="00B03342">
        <w:rPr>
          <w:rFonts w:ascii="Arial" w:hAnsi="Arial" w:cs="Arial"/>
          <w:color w:val="000000"/>
          <w:lang w:eastAsia="sr-Latn-RS"/>
        </w:rPr>
        <w:t>) Биланс се рачуна на следећи начин: Биланс = 100 – C</w:t>
      </w:r>
      <w:r w:rsidRPr="00B03342">
        <w:rPr>
          <w:rFonts w:ascii="Arial" w:hAnsi="Arial" w:cs="Arial"/>
          <w:color w:val="000000"/>
          <w:vertAlign w:val="subscript"/>
          <w:lang w:eastAsia="sr-Latn-RS"/>
        </w:rPr>
        <w:t>3</w:t>
      </w:r>
      <w:r w:rsidRPr="00B03342">
        <w:rPr>
          <w:rFonts w:ascii="Arial" w:hAnsi="Arial" w:cs="Arial"/>
          <w:color w:val="000000"/>
          <w:lang w:eastAsia="sr-Latn-RS"/>
        </w:rPr>
        <w:t> – &lt;C</w:t>
      </w:r>
      <w:r w:rsidRPr="00B03342">
        <w:rPr>
          <w:rFonts w:ascii="Arial" w:hAnsi="Arial" w:cs="Arial"/>
          <w:color w:val="000000"/>
          <w:vertAlign w:val="subscript"/>
          <w:lang w:eastAsia="sr-Latn-RS"/>
        </w:rPr>
        <w:t>3</w:t>
      </w:r>
      <w:r w:rsidRPr="00B03342">
        <w:rPr>
          <w:rFonts w:ascii="Arial" w:hAnsi="Arial" w:cs="Arial"/>
          <w:color w:val="000000"/>
          <w:lang w:eastAsia="sr-Latn-RS"/>
        </w:rPr>
        <w:t> – &gt;C</w:t>
      </w:r>
      <w:r w:rsidRPr="00B03342">
        <w:rPr>
          <w:rFonts w:ascii="Arial" w:hAnsi="Arial" w:cs="Arial"/>
          <w:color w:val="000000"/>
          <w:vertAlign w:val="subscript"/>
          <w:lang w:eastAsia="sr-Latn-RS"/>
        </w:rPr>
        <w:t>4</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21</w:t>
      </w:r>
      <w:r w:rsidRPr="00B03342">
        <w:rPr>
          <w:rFonts w:ascii="Arial" w:hAnsi="Arial" w:cs="Arial"/>
          <w:color w:val="000000"/>
          <w:lang w:eastAsia="sr-Latn-RS"/>
        </w:rPr>
        <w:t>) Овом се методом можда неће тачно утврдити присутност корозивних материјала ако узорак садржи инхибиторе корозије или друга хемијска средства која умањују корозивно деловање узорка на бакрену траку. Зато је забрањено додавање таквих спојева само ради давања предности испитној методи.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22</w:t>
      </w:r>
      <w:r w:rsidRPr="00B03342">
        <w:rPr>
          <w:rFonts w:ascii="Arial" w:hAnsi="Arial" w:cs="Arial"/>
          <w:color w:val="000000"/>
          <w:lang w:eastAsia="sr-Latn-RS"/>
        </w:rPr>
        <w:t>) На захтев произвођача мотора за спровођење испитивања хомологације типа могуће је употребити већи MON.</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23</w:t>
      </w:r>
      <w:r w:rsidRPr="00B03342">
        <w:rPr>
          <w:rFonts w:ascii="Arial" w:hAnsi="Arial" w:cs="Arial"/>
          <w:color w:val="000000"/>
          <w:lang w:eastAsia="sr-Latn-RS"/>
        </w:rPr>
        <w:t>) Инертни гасови (различити од N</w:t>
      </w:r>
      <w:r w:rsidRPr="00B03342">
        <w:rPr>
          <w:rFonts w:ascii="Arial" w:hAnsi="Arial" w:cs="Arial"/>
          <w:color w:val="000000"/>
          <w:vertAlign w:val="subscript"/>
          <w:lang w:eastAsia="sr-Latn-RS"/>
        </w:rPr>
        <w:t>2</w:t>
      </w:r>
      <w:r w:rsidRPr="00B03342">
        <w:rPr>
          <w:rFonts w:ascii="Arial" w:hAnsi="Arial" w:cs="Arial"/>
          <w:color w:val="000000"/>
          <w:lang w:eastAsia="sr-Latn-RS"/>
        </w:rPr>
        <w:t>) + C</w:t>
      </w:r>
      <w:r w:rsidRPr="00B03342">
        <w:rPr>
          <w:rFonts w:ascii="Arial" w:hAnsi="Arial" w:cs="Arial"/>
          <w:color w:val="000000"/>
          <w:vertAlign w:val="subscript"/>
          <w:lang w:eastAsia="sr-Latn-RS"/>
        </w:rPr>
        <w:t>2</w:t>
      </w:r>
      <w:r w:rsidRPr="00B03342">
        <w:rPr>
          <w:rFonts w:ascii="Arial" w:hAnsi="Arial" w:cs="Arial"/>
          <w:color w:val="000000"/>
          <w:lang w:eastAsia="sr-Latn-RS"/>
        </w:rPr>
        <w:t>+ C</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24</w:t>
      </w:r>
      <w:r w:rsidRPr="00B03342">
        <w:rPr>
          <w:rFonts w:ascii="Arial" w:hAnsi="Arial" w:cs="Arial"/>
          <w:color w:val="000000"/>
          <w:lang w:eastAsia="sr-Latn-RS"/>
        </w:rPr>
        <w:t>) Вредност се утврђује при 293,2 K (20 °C) и 101,3 kPa.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25</w:t>
      </w:r>
      <w:r w:rsidRPr="00B03342">
        <w:rPr>
          <w:rFonts w:ascii="Arial" w:hAnsi="Arial" w:cs="Arial"/>
          <w:color w:val="000000"/>
          <w:lang w:eastAsia="sr-Latn-RS"/>
        </w:rPr>
        <w:t>) Вредност се утврђује при 273,2 K (0 °C) и 101,3 kPa.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26</w:t>
      </w:r>
      <w:r w:rsidRPr="00B03342">
        <w:rPr>
          <w:rFonts w:ascii="Arial" w:hAnsi="Arial" w:cs="Arial"/>
          <w:color w:val="000000"/>
          <w:lang w:eastAsia="sr-Latn-RS"/>
        </w:rPr>
        <w:t>) У ту сврху није потребна примена гаса за калибрацију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27</w:t>
      </w:r>
      <w:r w:rsidRPr="00B03342">
        <w:rPr>
          <w:rFonts w:ascii="Arial" w:hAnsi="Arial" w:cs="Arial"/>
          <w:color w:val="000000"/>
          <w:lang w:eastAsia="sr-Latn-RS"/>
        </w:rPr>
        <w:t>) Није потребно испитивање мотора с мешавином гаса с метанским бројем (MN) мањим од 70. Ако би потребни распон S</w:t>
      </w:r>
      <w:r w:rsidRPr="00B03342">
        <w:rPr>
          <w:rFonts w:ascii="Arial" w:hAnsi="Arial" w:cs="Arial"/>
          <w:color w:val="000000"/>
          <w:vertAlign w:val="subscript"/>
          <w:lang w:eastAsia="sr-Latn-RS"/>
        </w:rPr>
        <w:t>λ</w:t>
      </w:r>
      <w:r w:rsidRPr="00B03342">
        <w:rPr>
          <w:rFonts w:ascii="Arial" w:hAnsi="Arial" w:cs="Arial"/>
          <w:color w:val="000000"/>
          <w:lang w:eastAsia="sr-Latn-RS"/>
        </w:rPr>
        <w:t> за G</w:t>
      </w:r>
      <w:r w:rsidRPr="00B03342">
        <w:rPr>
          <w:rFonts w:ascii="Arial" w:hAnsi="Arial" w:cs="Arial"/>
          <w:color w:val="000000"/>
          <w:vertAlign w:val="subscript"/>
          <w:lang w:eastAsia="sr-Latn-RS"/>
        </w:rPr>
        <w:t>R</w:t>
      </w:r>
      <w:r w:rsidRPr="00B03342">
        <w:rPr>
          <w:rFonts w:ascii="Arial" w:hAnsi="Arial" w:cs="Arial"/>
          <w:color w:val="000000"/>
          <w:lang w:eastAsia="sr-Latn-RS"/>
        </w:rPr>
        <w:t> резултирао метанским бројем мањим од 70,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za G</w:t>
      </w:r>
      <w:r w:rsidRPr="00B03342">
        <w:rPr>
          <w:rFonts w:ascii="Arial" w:hAnsi="Arial" w:cs="Arial"/>
          <w:color w:val="000000"/>
          <w:vertAlign w:val="subscript"/>
          <w:lang w:eastAsia="sr-Latn-RS"/>
        </w:rPr>
        <w:t>R</w:t>
      </w:r>
      <w:r w:rsidRPr="00B03342">
        <w:rPr>
          <w:rFonts w:ascii="Arial" w:hAnsi="Arial" w:cs="Arial"/>
          <w:color w:val="000000"/>
          <w:lang w:eastAsia="sr-Latn-RS"/>
        </w:rPr>
        <w:t> могуће је према потреби прилагодити док вредност MN не достигне најмање 70.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Додатни захтеви за спровођење испитивања емисија употребом гасовитог референтног горива које се састоји од гаса из гасовода с додатком осталих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Начин анализе гаса и мерења протока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У сврху овог Додатка састав гаса одређује се према потреби на основу анализе гаса употребом гасне хроматографије у складу с стандардом EN ISO 6974 или друге технике којом се постиже најмање сличан ниво тачности и поновљивости.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У сврху овог Додатка потребна мерења протока гаса изводе се употребом мерача масеног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Анализа и брзина протока долазног гаса из комуналне мреже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Састав гаса из комуналне мреже анализира се пре састава за мешање додатака.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Мери се брзина протока гаса из комуналне мреже који улази у састав за мешање додатака.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Анализа и брзина протока додатка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Када је за додатак доступан примењив сертификат о анализи (на пример који издаје добављач гаса), може се употребити као извор за састав тог додатка. У том је случају анализа састава тог додатка на локацији допуштена, али није неопходна.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 Ако за додатак није доступан примењив сертификат о анализи, анализира се састав предметног додатка.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 Мери се брзина протока сваког додатка који се додаје саставу за мешање додатака.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Анализа мешавине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Анализа састава гаса додатог у мотор после напуштања састава за мешање додатака допушта се као допуна или као алтернатива анализи потребној у складу с тач. 2.1. и 3.1. овог прилога, али се не захтева.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 Обрачун S</w:t>
      </w:r>
      <w:r w:rsidRPr="00B03342">
        <w:rPr>
          <w:rFonts w:ascii="Arial" w:hAnsi="Arial" w:cs="Arial"/>
          <w:color w:val="000000"/>
          <w:vertAlign w:val="subscript"/>
          <w:lang w:eastAsia="sr-Latn-RS"/>
        </w:rPr>
        <w:t>λ</w:t>
      </w:r>
      <w:r w:rsidRPr="00B03342">
        <w:rPr>
          <w:rFonts w:ascii="Arial" w:hAnsi="Arial" w:cs="Arial"/>
          <w:color w:val="000000"/>
          <w:lang w:eastAsia="sr-Latn-RS"/>
        </w:rPr>
        <w:t> и MN мешавине гаса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5.1. Резултати анализе гаса у складу с тач. 2.1, 3.1. или 3.2. те, где је примењиво, тачком 4.1. овог прилога, у комбинацији с брзином протока масе гаса измереном у складу с тач. 2.2. и 3.3., употребљавају се за обрачун метанског броја у складу с стандардом EN 16726:2015. Исти скуп података употребљава се за обрачун S</w:t>
      </w:r>
      <w:r w:rsidRPr="00B03342">
        <w:rPr>
          <w:rFonts w:ascii="Arial" w:hAnsi="Arial" w:cs="Arial"/>
          <w:color w:val="000000"/>
          <w:vertAlign w:val="subscript"/>
          <w:lang w:eastAsia="sr-Latn-RS"/>
        </w:rPr>
        <w:t>λ</w:t>
      </w:r>
      <w:r w:rsidRPr="00B03342">
        <w:rPr>
          <w:rFonts w:ascii="Arial" w:hAnsi="Arial" w:cs="Arial"/>
          <w:color w:val="000000"/>
          <w:lang w:eastAsia="sr-Latn-RS"/>
        </w:rPr>
        <w:t> у складу с поступком из Додатка 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Контрола и верификација мешавине гаса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 Контрола и верификација мешавине гаса током испитивања изводи се применом састава контроле с отвореном или затвореном петљом.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 Састав контроле мешавине с отвореном петљом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6.2.1. У овом случају анализа гаса, мерења протока и обрачуни утврђени у тач. 1, 2, 3. и 4. изводе се пре испитивања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6.2.2. Одређује се однос гаса из комуналне мреже и додат(а)ка како би се осигурало да је S</w:t>
      </w:r>
      <w:r w:rsidRPr="00B03342">
        <w:rPr>
          <w:rFonts w:ascii="Arial" w:hAnsi="Arial" w:cs="Arial"/>
          <w:color w:val="000000"/>
          <w:vertAlign w:val="subscript"/>
          <w:lang w:eastAsia="sr-Latn-RS"/>
        </w:rPr>
        <w:t>λ</w:t>
      </w:r>
      <w:r w:rsidRPr="00B03342">
        <w:rPr>
          <w:rFonts w:ascii="Arial" w:hAnsi="Arial" w:cs="Arial"/>
          <w:color w:val="000000"/>
          <w:lang w:eastAsia="sr-Latn-RS"/>
        </w:rPr>
        <w:t> унутар допуштеног распона за предметно референтно гориво из табеле 9.1.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6.2.3. После одређивања предметних односа, ти се односи морају одржавати током испитивања емисија. Допуштена су прилагођавања појединих брзина протока како би се одржали ти односи.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6.2.4. После довршетка испитивања емисија понавља се анализа састава гаса, мерења протока и обрачуни утврђени у тач. 2, 3, 4. и 5. Како би се испитивање сматрало ваљаним,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мора остати унутар одређеног распона за предметно референтно гориво из табеле 9.1.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 Састав контроле мешавине са затвореном петљом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6.3.1. У овом случају анализа састава гаса, мерења протока и обрачуни утврђени у тач. 2, 3, 4. и 5. изводе се у интервалима пре испитивања емисија. Интервали се одабиру узимајући у обзир способност у погледу учесталости мерења гасног хроматографа и одговарајућег састава за обрачунавање.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6.3.2. Резултати периодичних мерења и обрачуна употребљавају се за прилагођавање односа гаса из комуналне мреже и додатака како би се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одржала унутар распона утврђеног у табели 9.1. овог прилога за предметно референтно гориво. Учесталост прилагођавања не сме премашивати учесталост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6.3.3. Како би се испитивање сматрало ваљаним,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мора у најмање 90 % тачака мерења бити у распону утврђеном у табели 9.1. овог прилога за предметно референтно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Обрачунавање фактора λ-помака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Обрачун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Фактор λ-помака(S</w:t>
      </w:r>
      <w:r w:rsidRPr="00B03342">
        <w:rPr>
          <w:rFonts w:ascii="Arial" w:hAnsi="Arial" w:cs="Arial"/>
          <w:color w:val="000000"/>
          <w:vertAlign w:val="subscript"/>
          <w:lang w:eastAsia="sr-Latn-RS"/>
        </w:rPr>
        <w:t>λ</w:t>
      </w:r>
      <w:r w:rsidRPr="00B03342">
        <w:rPr>
          <w:rFonts w:ascii="Arial" w:hAnsi="Arial" w:cs="Arial"/>
          <w:color w:val="000000"/>
          <w:lang w:eastAsia="sr-Latn-RS"/>
        </w:rPr>
        <w:t>) обрачунава се помоћу једначине (9-1):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92B1CA4" wp14:editId="35F6B704">
            <wp:extent cx="5057140" cy="476885"/>
            <wp:effectExtent l="0" t="0" r="0" b="0"/>
            <wp:docPr id="290" name="Picture 290" descr="The image shows a mathematical formula for S subscript lambda involving variables inert percentage, n, m, and Q squared over 100, labeled as equation 9-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image shows a mathematical formula for S subscript lambda involving variables inert percentage, n, m, and Q squared over 100, labeled as equation 9-1.&#10;&#10;Description generated by 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140" cy="47688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2"/>
        <w:gridCol w:w="238"/>
        <w:gridCol w:w="917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S</w:t>
            </w:r>
            <w:r w:rsidRPr="00B03342">
              <w:rPr>
                <w:rFonts w:ascii="Arial" w:hAnsi="Arial" w:cs="Arial"/>
                <w:vertAlign w:val="subscript"/>
                <w:lang w:eastAsia="sr-Latn-RS"/>
              </w:rPr>
              <w:t>λ</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λ-помака;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inertni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инертних гасова у гориву (тј. N</w:t>
            </w:r>
            <w:r w:rsidRPr="00B03342">
              <w:rPr>
                <w:rFonts w:ascii="Arial" w:hAnsi="Arial" w:cs="Arial"/>
                <w:vertAlign w:val="subscript"/>
                <w:lang w:eastAsia="sr-Latn-RS"/>
              </w:rPr>
              <w:t>2</w:t>
            </w:r>
            <w:r w:rsidRPr="00B03342">
              <w:rPr>
                <w:rFonts w:ascii="Arial" w:hAnsi="Arial" w:cs="Arial"/>
                <w:lang w:eastAsia="sr-Latn-RS"/>
              </w:rPr>
              <w:t>, CO</w:t>
            </w:r>
            <w:r w:rsidRPr="00B03342">
              <w:rPr>
                <w:rFonts w:ascii="Arial" w:hAnsi="Arial" w:cs="Arial"/>
                <w:vertAlign w:val="subscript"/>
                <w:lang w:eastAsia="sr-Latn-RS"/>
              </w:rPr>
              <w:t>2</w:t>
            </w:r>
            <w:r w:rsidRPr="00B03342">
              <w:rPr>
                <w:rFonts w:ascii="Arial" w:hAnsi="Arial" w:cs="Arial"/>
                <w:lang w:eastAsia="sr-Latn-RS"/>
              </w:rPr>
              <w:t>, He итд.);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r w:rsidRPr="00B03342">
              <w:rPr>
                <w:rFonts w:ascii="Arial" w:hAnsi="Arial" w:cs="Arial"/>
                <w:vertAlign w:val="superscript"/>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запремина % изворног кисеоника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 и 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односе се на просечни удео C</w:t>
            </w:r>
            <w:r w:rsidRPr="00B03342">
              <w:rPr>
                <w:rFonts w:ascii="Arial" w:hAnsi="Arial" w:cs="Arial"/>
                <w:vertAlign w:val="subscript"/>
                <w:lang w:eastAsia="sr-Latn-RS"/>
              </w:rPr>
              <w:t>n</w:t>
            </w:r>
            <w:r w:rsidRPr="00B03342">
              <w:rPr>
                <w:rFonts w:ascii="Arial" w:hAnsi="Arial" w:cs="Arial"/>
                <w:lang w:eastAsia="sr-Latn-RS"/>
              </w:rPr>
              <w:t>H</w:t>
            </w:r>
            <w:r w:rsidRPr="00B03342">
              <w:rPr>
                <w:rFonts w:ascii="Arial" w:hAnsi="Arial" w:cs="Arial"/>
                <w:vertAlign w:val="subscript"/>
                <w:lang w:eastAsia="sr-Latn-RS"/>
              </w:rPr>
              <w:t>m</w:t>
            </w:r>
            <w:r w:rsidRPr="00B03342">
              <w:rPr>
                <w:rFonts w:ascii="Arial" w:hAnsi="Arial" w:cs="Arial"/>
                <w:lang w:eastAsia="sr-Latn-RS"/>
              </w:rPr>
              <w:t> који представља угљоводонике у гориву:</w:t>
            </w:r>
          </w:p>
        </w:tc>
      </w:tr>
    </w:tbl>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4D7DC75" wp14:editId="783163B2">
            <wp:extent cx="5057140" cy="874395"/>
            <wp:effectExtent l="0" t="0" r="0" b="1905"/>
            <wp:docPr id="289" name="Picture 289" descr="Two mathematical formulas express variables as weighted sums of percentages of chemical components divided by a dilution percentage, with each formula labeled as equations 9-2 and 9-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o mathematical formulas express variables as weighted sums of percentages of chemical components divided by a dilution percentage, with each formula labeled as equations 9-2 and 9-3.&#10;&#10;Description generated by A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7140" cy="87439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74"/>
        <w:gridCol w:w="237"/>
        <w:gridCol w:w="878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запремина % метана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свих C</w:t>
            </w:r>
            <w:r w:rsidRPr="00B03342">
              <w:rPr>
                <w:rFonts w:ascii="Arial" w:hAnsi="Arial" w:cs="Arial"/>
                <w:vertAlign w:val="subscript"/>
                <w:lang w:eastAsia="sr-Latn-RS"/>
              </w:rPr>
              <w:t>2</w:t>
            </w:r>
            <w:r w:rsidRPr="00B03342">
              <w:rPr>
                <w:rFonts w:ascii="Arial" w:hAnsi="Arial" w:cs="Arial"/>
                <w:lang w:eastAsia="sr-Latn-RS"/>
              </w:rPr>
              <w:t> угљенводоника (нпр.: C</w:t>
            </w:r>
            <w:r w:rsidRPr="00B03342">
              <w:rPr>
                <w:rFonts w:ascii="Arial" w:hAnsi="Arial" w:cs="Arial"/>
                <w:vertAlign w:val="subscript"/>
                <w:lang w:eastAsia="sr-Latn-RS"/>
              </w:rPr>
              <w:t>2</w:t>
            </w:r>
            <w:r w:rsidRPr="00B03342">
              <w:rPr>
                <w:rFonts w:ascii="Arial" w:hAnsi="Arial" w:cs="Arial"/>
                <w:lang w:eastAsia="sr-Latn-RS"/>
              </w:rPr>
              <w:t>H</w:t>
            </w:r>
            <w:r w:rsidRPr="00B03342">
              <w:rPr>
                <w:rFonts w:ascii="Arial" w:hAnsi="Arial" w:cs="Arial"/>
                <w:vertAlign w:val="subscript"/>
                <w:lang w:eastAsia="sr-Latn-RS"/>
              </w:rPr>
              <w:t>6</w:t>
            </w:r>
            <w:r w:rsidRPr="00B03342">
              <w:rPr>
                <w:rFonts w:ascii="Arial" w:hAnsi="Arial" w:cs="Arial"/>
                <w:lang w:eastAsia="sr-Latn-RS"/>
              </w:rPr>
              <w:t>, C</w:t>
            </w:r>
            <w:r w:rsidRPr="00B03342">
              <w:rPr>
                <w:rFonts w:ascii="Arial" w:hAnsi="Arial" w:cs="Arial"/>
                <w:vertAlign w:val="subscript"/>
                <w:lang w:eastAsia="sr-Latn-RS"/>
              </w:rPr>
              <w:t>2</w:t>
            </w:r>
            <w:r w:rsidRPr="00B03342">
              <w:rPr>
                <w:rFonts w:ascii="Arial" w:hAnsi="Arial" w:cs="Arial"/>
                <w:lang w:eastAsia="sr-Latn-RS"/>
              </w:rPr>
              <w:t>H</w:t>
            </w:r>
            <w:r w:rsidRPr="00B03342">
              <w:rPr>
                <w:rFonts w:ascii="Arial" w:hAnsi="Arial" w:cs="Arial"/>
                <w:vertAlign w:val="subscript"/>
                <w:lang w:eastAsia="sr-Latn-RS"/>
              </w:rPr>
              <w:t>4</w:t>
            </w:r>
            <w:r w:rsidRPr="00B03342">
              <w:rPr>
                <w:rFonts w:ascii="Arial" w:hAnsi="Arial" w:cs="Arial"/>
                <w:lang w:eastAsia="sr-Latn-RS"/>
              </w:rPr>
              <w:t>, итд.)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свих C</w:t>
            </w:r>
            <w:r w:rsidRPr="00B03342">
              <w:rPr>
                <w:rFonts w:ascii="Arial" w:hAnsi="Arial" w:cs="Arial"/>
                <w:vertAlign w:val="subscript"/>
                <w:lang w:eastAsia="sr-Latn-RS"/>
              </w:rPr>
              <w:t>3</w:t>
            </w:r>
            <w:r w:rsidRPr="00B03342">
              <w:rPr>
                <w:rFonts w:ascii="Arial" w:hAnsi="Arial" w:cs="Arial"/>
                <w:lang w:eastAsia="sr-Latn-RS"/>
              </w:rPr>
              <w:t> угљенводоника (нпр.: C</w:t>
            </w:r>
            <w:r w:rsidRPr="00B03342">
              <w:rPr>
                <w:rFonts w:ascii="Arial" w:hAnsi="Arial" w:cs="Arial"/>
                <w:vertAlign w:val="subscript"/>
                <w:lang w:eastAsia="sr-Latn-RS"/>
              </w:rPr>
              <w:t>3</w:t>
            </w:r>
            <w:r w:rsidRPr="00B03342">
              <w:rPr>
                <w:rFonts w:ascii="Arial" w:hAnsi="Arial" w:cs="Arial"/>
                <w:lang w:eastAsia="sr-Latn-RS"/>
              </w:rPr>
              <w:t>H</w:t>
            </w:r>
            <w:r w:rsidRPr="00B03342">
              <w:rPr>
                <w:rFonts w:ascii="Arial" w:hAnsi="Arial" w:cs="Arial"/>
                <w:vertAlign w:val="subscript"/>
                <w:lang w:eastAsia="sr-Latn-RS"/>
              </w:rPr>
              <w:t>8</w:t>
            </w:r>
            <w:r w:rsidRPr="00B03342">
              <w:rPr>
                <w:rFonts w:ascii="Arial" w:hAnsi="Arial" w:cs="Arial"/>
                <w:lang w:eastAsia="sr-Latn-RS"/>
              </w:rPr>
              <w:t>, C</w:t>
            </w:r>
            <w:r w:rsidRPr="00B03342">
              <w:rPr>
                <w:rFonts w:ascii="Arial" w:hAnsi="Arial" w:cs="Arial"/>
                <w:vertAlign w:val="subscript"/>
                <w:lang w:eastAsia="sr-Latn-RS"/>
              </w:rPr>
              <w:t>3</w:t>
            </w:r>
            <w:r w:rsidRPr="00B03342">
              <w:rPr>
                <w:rFonts w:ascii="Arial" w:hAnsi="Arial" w:cs="Arial"/>
                <w:lang w:eastAsia="sr-Latn-RS"/>
              </w:rPr>
              <w:t>H</w:t>
            </w:r>
            <w:r w:rsidRPr="00B03342">
              <w:rPr>
                <w:rFonts w:ascii="Arial" w:hAnsi="Arial" w:cs="Arial"/>
                <w:vertAlign w:val="subscript"/>
                <w:lang w:eastAsia="sr-Latn-RS"/>
              </w:rPr>
              <w:t>6</w:t>
            </w:r>
            <w:r w:rsidRPr="00B03342">
              <w:rPr>
                <w:rFonts w:ascii="Arial" w:hAnsi="Arial" w:cs="Arial"/>
                <w:lang w:eastAsia="sr-Latn-RS"/>
              </w:rPr>
              <w:t>, итд.)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свих C</w:t>
            </w:r>
            <w:r w:rsidRPr="00B03342">
              <w:rPr>
                <w:rFonts w:ascii="Arial" w:hAnsi="Arial" w:cs="Arial"/>
                <w:vertAlign w:val="subscript"/>
                <w:lang w:eastAsia="sr-Latn-RS"/>
              </w:rPr>
              <w:t>4</w:t>
            </w:r>
            <w:r w:rsidRPr="00B03342">
              <w:rPr>
                <w:rFonts w:ascii="Arial" w:hAnsi="Arial" w:cs="Arial"/>
                <w:lang w:eastAsia="sr-Latn-RS"/>
              </w:rPr>
              <w:t> угљенводоника (нпр.: C</w:t>
            </w:r>
            <w:r w:rsidRPr="00B03342">
              <w:rPr>
                <w:rFonts w:ascii="Arial" w:hAnsi="Arial" w:cs="Arial"/>
                <w:vertAlign w:val="subscript"/>
                <w:lang w:eastAsia="sr-Latn-RS"/>
              </w:rPr>
              <w:t>4</w:t>
            </w:r>
            <w:r w:rsidRPr="00B03342">
              <w:rPr>
                <w:rFonts w:ascii="Arial" w:hAnsi="Arial" w:cs="Arial"/>
                <w:lang w:eastAsia="sr-Latn-RS"/>
              </w:rPr>
              <w:t>H</w:t>
            </w:r>
            <w:r w:rsidRPr="00B03342">
              <w:rPr>
                <w:rFonts w:ascii="Arial" w:hAnsi="Arial" w:cs="Arial"/>
                <w:vertAlign w:val="subscript"/>
                <w:lang w:eastAsia="sr-Latn-RS"/>
              </w:rPr>
              <w:t>10</w:t>
            </w:r>
            <w:r w:rsidRPr="00B03342">
              <w:rPr>
                <w:rFonts w:ascii="Arial" w:hAnsi="Arial" w:cs="Arial"/>
                <w:lang w:eastAsia="sr-Latn-RS"/>
              </w:rPr>
              <w:t>, C</w:t>
            </w:r>
            <w:r w:rsidRPr="00B03342">
              <w:rPr>
                <w:rFonts w:ascii="Arial" w:hAnsi="Arial" w:cs="Arial"/>
                <w:vertAlign w:val="subscript"/>
                <w:lang w:eastAsia="sr-Latn-RS"/>
              </w:rPr>
              <w:t>4</w:t>
            </w:r>
            <w:r w:rsidRPr="00B03342">
              <w:rPr>
                <w:rFonts w:ascii="Arial" w:hAnsi="Arial" w:cs="Arial"/>
                <w:lang w:eastAsia="sr-Latn-RS"/>
              </w:rPr>
              <w:t>H</w:t>
            </w:r>
            <w:r w:rsidRPr="00B03342">
              <w:rPr>
                <w:rFonts w:ascii="Arial" w:hAnsi="Arial" w:cs="Arial"/>
                <w:vertAlign w:val="subscript"/>
                <w:lang w:eastAsia="sr-Latn-RS"/>
              </w:rPr>
              <w:t>8</w:t>
            </w:r>
            <w:r w:rsidRPr="00B03342">
              <w:rPr>
                <w:rFonts w:ascii="Arial" w:hAnsi="Arial" w:cs="Arial"/>
                <w:lang w:eastAsia="sr-Latn-RS"/>
              </w:rPr>
              <w:t>, итд.)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свих C</w:t>
            </w:r>
            <w:r w:rsidRPr="00B03342">
              <w:rPr>
                <w:rFonts w:ascii="Arial" w:hAnsi="Arial" w:cs="Arial"/>
                <w:vertAlign w:val="subscript"/>
                <w:lang w:eastAsia="sr-Latn-RS"/>
              </w:rPr>
              <w:t>5</w:t>
            </w:r>
            <w:r w:rsidRPr="00B03342">
              <w:rPr>
                <w:rFonts w:ascii="Arial" w:hAnsi="Arial" w:cs="Arial"/>
                <w:lang w:eastAsia="sr-Latn-RS"/>
              </w:rPr>
              <w:t> угљенводоника (нпр.: C</w:t>
            </w:r>
            <w:r w:rsidRPr="00B03342">
              <w:rPr>
                <w:rFonts w:ascii="Arial" w:hAnsi="Arial" w:cs="Arial"/>
                <w:vertAlign w:val="subscript"/>
                <w:lang w:eastAsia="sr-Latn-RS"/>
              </w:rPr>
              <w:t>5</w:t>
            </w:r>
            <w:r w:rsidRPr="00B03342">
              <w:rPr>
                <w:rFonts w:ascii="Arial" w:hAnsi="Arial" w:cs="Arial"/>
                <w:lang w:eastAsia="sr-Latn-RS"/>
              </w:rPr>
              <w:t>H</w:t>
            </w:r>
            <w:r w:rsidRPr="00B03342">
              <w:rPr>
                <w:rFonts w:ascii="Arial" w:hAnsi="Arial" w:cs="Arial"/>
                <w:vertAlign w:val="subscript"/>
                <w:lang w:eastAsia="sr-Latn-RS"/>
              </w:rPr>
              <w:t>12</w:t>
            </w:r>
            <w:r w:rsidRPr="00B03342">
              <w:rPr>
                <w:rFonts w:ascii="Arial" w:hAnsi="Arial" w:cs="Arial"/>
                <w:lang w:eastAsia="sr-Latn-RS"/>
              </w:rPr>
              <w:t>, C</w:t>
            </w:r>
            <w:r w:rsidRPr="00B03342">
              <w:rPr>
                <w:rFonts w:ascii="Arial" w:hAnsi="Arial" w:cs="Arial"/>
                <w:vertAlign w:val="subscript"/>
                <w:lang w:eastAsia="sr-Latn-RS"/>
              </w:rPr>
              <w:t>5</w:t>
            </w:r>
            <w:r w:rsidRPr="00B03342">
              <w:rPr>
                <w:rFonts w:ascii="Arial" w:hAnsi="Arial" w:cs="Arial"/>
                <w:lang w:eastAsia="sr-Latn-RS"/>
              </w:rPr>
              <w:t>H</w:t>
            </w:r>
            <w:r w:rsidRPr="00B03342">
              <w:rPr>
                <w:rFonts w:ascii="Arial" w:hAnsi="Arial" w:cs="Arial"/>
                <w:vertAlign w:val="subscript"/>
                <w:lang w:eastAsia="sr-Latn-RS"/>
              </w:rPr>
              <w:t>10</w:t>
            </w:r>
            <w:r w:rsidRPr="00B03342">
              <w:rPr>
                <w:rFonts w:ascii="Arial" w:hAnsi="Arial" w:cs="Arial"/>
                <w:lang w:eastAsia="sr-Latn-RS"/>
              </w:rPr>
              <w:t>, итд.)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разређивач</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 гасова за разређивање у гориву (tj.: O</w:t>
            </w:r>
            <w:r w:rsidRPr="00B03342">
              <w:rPr>
                <w:rFonts w:ascii="Arial" w:hAnsi="Arial" w:cs="Arial"/>
                <w:vertAlign w:val="subscript"/>
                <w:lang w:eastAsia="sr-Latn-RS"/>
              </w:rPr>
              <w:t>2</w:t>
            </w:r>
            <w:r w:rsidRPr="00B03342">
              <w:rPr>
                <w:rFonts w:ascii="Arial" w:hAnsi="Arial" w:cs="Arial"/>
                <w:lang w:eastAsia="sr-Latn-RS"/>
              </w:rPr>
              <w:t>*, N</w:t>
            </w:r>
            <w:r w:rsidRPr="00B03342">
              <w:rPr>
                <w:rFonts w:ascii="Arial" w:hAnsi="Arial" w:cs="Arial"/>
                <w:vertAlign w:val="subscript"/>
                <w:lang w:eastAsia="sr-Latn-RS"/>
              </w:rPr>
              <w:t>2</w:t>
            </w:r>
            <w:r w:rsidRPr="00B03342">
              <w:rPr>
                <w:rFonts w:ascii="Arial" w:hAnsi="Arial" w:cs="Arial"/>
                <w:lang w:eastAsia="sr-Latn-RS"/>
              </w:rPr>
              <w:t>, CO</w:t>
            </w:r>
            <w:r w:rsidRPr="00B03342">
              <w:rPr>
                <w:rFonts w:ascii="Arial" w:hAnsi="Arial" w:cs="Arial"/>
                <w:vertAlign w:val="subscript"/>
                <w:lang w:eastAsia="sr-Latn-RS"/>
              </w:rPr>
              <w:t>2</w:t>
            </w:r>
            <w:r w:rsidRPr="00B03342">
              <w:rPr>
                <w:rFonts w:ascii="Arial" w:hAnsi="Arial" w:cs="Arial"/>
                <w:lang w:eastAsia="sr-Latn-RS"/>
              </w:rPr>
              <w:t>, He, итд.).</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Примери обрачунавања фактора λ-помакаS</w:t>
      </w:r>
      <w:r w:rsidRPr="00B03342">
        <w:rPr>
          <w:rFonts w:ascii="Arial" w:hAnsi="Arial" w:cs="Arial"/>
          <w:color w:val="000000"/>
          <w:vertAlign w:val="subscript"/>
          <w:lang w:eastAsia="sr-Latn-RS"/>
        </w:rPr>
        <w:t>λ</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G</w:t>
      </w:r>
      <w:r w:rsidRPr="00B03342">
        <w:rPr>
          <w:rFonts w:ascii="Arial" w:hAnsi="Arial" w:cs="Arial"/>
          <w:color w:val="000000"/>
          <w:vertAlign w:val="subscript"/>
          <w:lang w:eastAsia="sr-Latn-RS"/>
        </w:rPr>
        <w:t>25</w:t>
      </w:r>
      <w:r w:rsidRPr="00B03342">
        <w:rPr>
          <w:rFonts w:ascii="Arial" w:hAnsi="Arial" w:cs="Arial"/>
          <w:color w:val="000000"/>
          <w:lang w:eastAsia="sr-Latn-RS"/>
        </w:rPr>
        <w:t>: CH</w:t>
      </w:r>
      <w:r w:rsidRPr="00B03342">
        <w:rPr>
          <w:rFonts w:ascii="Arial" w:hAnsi="Arial" w:cs="Arial"/>
          <w:color w:val="000000"/>
          <w:vertAlign w:val="subscript"/>
          <w:lang w:eastAsia="sr-Latn-RS"/>
        </w:rPr>
        <w:t>4</w:t>
      </w:r>
      <w:r w:rsidRPr="00B03342">
        <w:rPr>
          <w:rFonts w:ascii="Arial" w:hAnsi="Arial" w:cs="Arial"/>
          <w:color w:val="000000"/>
          <w:lang w:eastAsia="sr-Latn-RS"/>
        </w:rPr>
        <w:t> = 86 %, N</w:t>
      </w:r>
      <w:r w:rsidRPr="00B03342">
        <w:rPr>
          <w:rFonts w:ascii="Arial" w:hAnsi="Arial" w:cs="Arial"/>
          <w:color w:val="000000"/>
          <w:vertAlign w:val="subscript"/>
          <w:lang w:eastAsia="sr-Latn-RS"/>
        </w:rPr>
        <w:t>2</w:t>
      </w:r>
      <w:r w:rsidRPr="00B03342">
        <w:rPr>
          <w:rFonts w:ascii="Arial" w:hAnsi="Arial" w:cs="Arial"/>
          <w:color w:val="000000"/>
          <w:lang w:eastAsia="sr-Latn-RS"/>
        </w:rPr>
        <w:t> = 14 % (запремине)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9CA92C9" wp14:editId="0B6DEAE3">
            <wp:extent cx="5057140" cy="1160780"/>
            <wp:effectExtent l="0" t="0" r="0" b="1270"/>
            <wp:docPr id="288" name="Picture 288" descr="A mathematical image showing formulas for variables n, m, and S with fractions, percentages, and arithmetic oper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mathematical image showing formulas for variables n, m, and S with fractions, percentages, and arithmetic operations.&#10;&#10;Description generated by 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140" cy="116078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Пример 2.: G</w:t>
      </w:r>
      <w:r w:rsidRPr="00B03342">
        <w:rPr>
          <w:rFonts w:ascii="Arial" w:hAnsi="Arial" w:cs="Arial"/>
          <w:color w:val="000000"/>
          <w:vertAlign w:val="subscript"/>
          <w:lang w:eastAsia="sr-Latn-RS"/>
        </w:rPr>
        <w:t>R</w:t>
      </w:r>
      <w:r w:rsidRPr="00B03342">
        <w:rPr>
          <w:rFonts w:ascii="Arial" w:hAnsi="Arial" w:cs="Arial"/>
          <w:color w:val="000000"/>
          <w:lang w:eastAsia="sr-Latn-RS"/>
        </w:rPr>
        <w:t>: CH</w:t>
      </w:r>
      <w:r w:rsidRPr="00B03342">
        <w:rPr>
          <w:rFonts w:ascii="Arial" w:hAnsi="Arial" w:cs="Arial"/>
          <w:color w:val="000000"/>
          <w:vertAlign w:val="subscript"/>
          <w:lang w:eastAsia="sr-Latn-RS"/>
        </w:rPr>
        <w:t>4</w:t>
      </w:r>
      <w:r w:rsidRPr="00B03342">
        <w:rPr>
          <w:rFonts w:ascii="Arial" w:hAnsi="Arial" w:cs="Arial"/>
          <w:color w:val="000000"/>
          <w:lang w:eastAsia="sr-Latn-RS"/>
        </w:rPr>
        <w:t> = 87 %, C</w:t>
      </w:r>
      <w:r w:rsidRPr="00B03342">
        <w:rPr>
          <w:rFonts w:ascii="Arial" w:hAnsi="Arial" w:cs="Arial"/>
          <w:color w:val="000000"/>
          <w:vertAlign w:val="subscript"/>
          <w:lang w:eastAsia="sr-Latn-RS"/>
        </w:rPr>
        <w:t>2</w:t>
      </w:r>
      <w:r w:rsidRPr="00B03342">
        <w:rPr>
          <w:rFonts w:ascii="Arial" w:hAnsi="Arial" w:cs="Arial"/>
          <w:color w:val="000000"/>
          <w:lang w:eastAsia="sr-Latn-RS"/>
        </w:rPr>
        <w:t>H</w:t>
      </w:r>
      <w:r w:rsidRPr="00B03342">
        <w:rPr>
          <w:rFonts w:ascii="Arial" w:hAnsi="Arial" w:cs="Arial"/>
          <w:color w:val="000000"/>
          <w:vertAlign w:val="subscript"/>
          <w:lang w:eastAsia="sr-Latn-RS"/>
        </w:rPr>
        <w:t>6</w:t>
      </w:r>
      <w:r w:rsidRPr="00B03342">
        <w:rPr>
          <w:rFonts w:ascii="Arial" w:hAnsi="Arial" w:cs="Arial"/>
          <w:color w:val="000000"/>
          <w:lang w:eastAsia="sr-Latn-RS"/>
        </w:rPr>
        <w:t> = 13 % (запремине)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12D8ACFB" wp14:editId="1D70DA99">
            <wp:extent cx="5057140" cy="1089025"/>
            <wp:effectExtent l="0" t="0" r="0" b="0"/>
            <wp:docPr id="287" name="Picture 287" descr="A mathematical formula involving fractions, percentages, and variables is shown with multiple terms and calculations leading to a final ex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mathematical formula involving fractions, percentages, and variables is shown with multiple terms and calculations leading to a final expression.&#10;&#10;Description generated by 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140" cy="1089025"/>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Пример 3.: SAD: CH</w:t>
      </w:r>
      <w:r w:rsidRPr="00B03342">
        <w:rPr>
          <w:rFonts w:ascii="Arial" w:hAnsi="Arial" w:cs="Arial"/>
          <w:color w:val="000000"/>
          <w:vertAlign w:val="subscript"/>
          <w:lang w:eastAsia="sr-Latn-RS"/>
        </w:rPr>
        <w:t>4</w:t>
      </w:r>
      <w:r w:rsidRPr="00B03342">
        <w:rPr>
          <w:rFonts w:ascii="Arial" w:hAnsi="Arial" w:cs="Arial"/>
          <w:color w:val="000000"/>
          <w:lang w:eastAsia="sr-Latn-RS"/>
        </w:rPr>
        <w:t> = 89 %, C</w:t>
      </w:r>
      <w:r w:rsidRPr="00B03342">
        <w:rPr>
          <w:rFonts w:ascii="Arial" w:hAnsi="Arial" w:cs="Arial"/>
          <w:color w:val="000000"/>
          <w:vertAlign w:val="subscript"/>
          <w:lang w:eastAsia="sr-Latn-RS"/>
        </w:rPr>
        <w:t>2</w:t>
      </w:r>
      <w:r w:rsidRPr="00B03342">
        <w:rPr>
          <w:rFonts w:ascii="Arial" w:hAnsi="Arial" w:cs="Arial"/>
          <w:color w:val="000000"/>
          <w:lang w:eastAsia="sr-Latn-RS"/>
        </w:rPr>
        <w:t>H</w:t>
      </w:r>
      <w:r w:rsidRPr="00B03342">
        <w:rPr>
          <w:rFonts w:ascii="Arial" w:hAnsi="Arial" w:cs="Arial"/>
          <w:color w:val="000000"/>
          <w:vertAlign w:val="subscript"/>
          <w:lang w:eastAsia="sr-Latn-RS"/>
        </w:rPr>
        <w:t>6</w:t>
      </w:r>
      <w:r w:rsidRPr="00B03342">
        <w:rPr>
          <w:rFonts w:ascii="Arial" w:hAnsi="Arial" w:cs="Arial"/>
          <w:color w:val="000000"/>
          <w:lang w:eastAsia="sr-Latn-RS"/>
        </w:rPr>
        <w:t> = 4,5 %,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 2,3 %, C</w:t>
      </w:r>
      <w:r w:rsidRPr="00B03342">
        <w:rPr>
          <w:rFonts w:ascii="Arial" w:hAnsi="Arial" w:cs="Arial"/>
          <w:color w:val="000000"/>
          <w:vertAlign w:val="subscript"/>
          <w:lang w:eastAsia="sr-Latn-RS"/>
        </w:rPr>
        <w:t>6</w:t>
      </w:r>
      <w:r w:rsidRPr="00B03342">
        <w:rPr>
          <w:rFonts w:ascii="Arial" w:hAnsi="Arial" w:cs="Arial"/>
          <w:color w:val="000000"/>
          <w:lang w:eastAsia="sr-Latn-RS"/>
        </w:rPr>
        <w:t>H</w:t>
      </w:r>
      <w:r w:rsidRPr="00B03342">
        <w:rPr>
          <w:rFonts w:ascii="Arial" w:hAnsi="Arial" w:cs="Arial"/>
          <w:color w:val="000000"/>
          <w:vertAlign w:val="subscript"/>
          <w:lang w:eastAsia="sr-Latn-RS"/>
        </w:rPr>
        <w:t>14</w:t>
      </w:r>
      <w:r w:rsidRPr="00B03342">
        <w:rPr>
          <w:rFonts w:ascii="Arial" w:hAnsi="Arial" w:cs="Arial"/>
          <w:color w:val="000000"/>
          <w:lang w:eastAsia="sr-Latn-RS"/>
        </w:rPr>
        <w:t> = 0,2 %, O</w:t>
      </w:r>
      <w:r w:rsidRPr="00B03342">
        <w:rPr>
          <w:rFonts w:ascii="Arial" w:hAnsi="Arial" w:cs="Arial"/>
          <w:color w:val="000000"/>
          <w:vertAlign w:val="subscript"/>
          <w:lang w:eastAsia="sr-Latn-RS"/>
        </w:rPr>
        <w:t>2</w:t>
      </w:r>
      <w:r w:rsidRPr="00B03342">
        <w:rPr>
          <w:rFonts w:ascii="Arial" w:hAnsi="Arial" w:cs="Arial"/>
          <w:color w:val="000000"/>
          <w:lang w:eastAsia="sr-Latn-RS"/>
        </w:rPr>
        <w:t> = 0,6 %, N</w:t>
      </w:r>
      <w:r w:rsidRPr="00B03342">
        <w:rPr>
          <w:rFonts w:ascii="Arial" w:hAnsi="Arial" w:cs="Arial"/>
          <w:color w:val="000000"/>
          <w:vertAlign w:val="subscript"/>
          <w:lang w:eastAsia="sr-Latn-RS"/>
        </w:rPr>
        <w:t>2</w:t>
      </w:r>
      <w:r w:rsidRPr="00B03342">
        <w:rPr>
          <w:rFonts w:ascii="Arial" w:hAnsi="Arial" w:cs="Arial"/>
          <w:color w:val="000000"/>
          <w:lang w:eastAsia="sr-Latn-RS"/>
        </w:rPr>
        <w:t> = 4 %</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D7EE904" wp14:editId="58BDF23A">
            <wp:extent cx="5057140" cy="1073150"/>
            <wp:effectExtent l="0" t="0" r="0" b="0"/>
            <wp:docPr id="286" name="Picture 286" descr="A complex mathematical formula involving fractions, percentages, and variables is displayed with multiple terms and operations arranged in a structured layou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omplex mathematical formula involving fractions, percentages, and variables is displayed with multiple terms and operations arranged in a structured layout.&#10;&#10;Description generated by 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7140" cy="107315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Као алтернатива претходној једначини, S</w:t>
      </w:r>
      <w:r w:rsidRPr="00B03342">
        <w:rPr>
          <w:rFonts w:ascii="Arial" w:hAnsi="Arial" w:cs="Arial"/>
          <w:color w:val="000000"/>
          <w:vertAlign w:val="subscript"/>
          <w:lang w:eastAsia="sr-Latn-RS"/>
        </w:rPr>
        <w:t>λ</w:t>
      </w:r>
      <w:r w:rsidRPr="00B03342">
        <w:rPr>
          <w:rFonts w:ascii="Arial" w:hAnsi="Arial" w:cs="Arial"/>
          <w:color w:val="000000"/>
          <w:lang w:eastAsia="sr-Latn-RS"/>
        </w:rPr>
        <w:t> се може обрачунати на основу односа стехиометријске потребе чистог метана за ваздухом и стехиометријске потребе за ваздухом мешавине горива која долази у мотор, како је наведено у наставку.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Ламбда-фактор помака (S</w:t>
      </w:r>
      <w:r w:rsidRPr="00B03342">
        <w:rPr>
          <w:rFonts w:ascii="Arial" w:hAnsi="Arial" w:cs="Arial"/>
          <w:color w:val="000000"/>
          <w:vertAlign w:val="subscript"/>
          <w:lang w:eastAsia="sr-Latn-RS"/>
        </w:rPr>
        <w:t>λ</w:t>
      </w:r>
      <w:r w:rsidRPr="00B03342">
        <w:rPr>
          <w:rFonts w:ascii="Arial" w:hAnsi="Arial" w:cs="Arial"/>
          <w:color w:val="000000"/>
          <w:lang w:eastAsia="sr-Latn-RS"/>
        </w:rPr>
        <w:t>) изражава потребу за кисеоником било које мешавине горива у односу на потребу за кисеоником чистог метана. Потреба за кисеоником значи количина кисеоника потребна да оксидира метан у стехиометријском односу реагенаса до продуката потпуног изгарања (тј. угљеников диоксид и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изгарање чистог метана реакција је следећа (9-4):</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45"/>
        <w:gridCol w:w="12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 </w:t>
            </w:r>
            <w:r w:rsidRPr="00B03342">
              <w:rPr>
                <w:rFonts w:ascii="Arial" w:hAnsi="Arial" w:cs="Arial"/>
                <w:i/>
                <w:iCs/>
                <w:lang w:eastAsia="sr-Latn-RS"/>
              </w:rPr>
              <w:t>CH</w:t>
            </w:r>
            <w:r w:rsidRPr="00B03342">
              <w:rPr>
                <w:rFonts w:ascii="Arial" w:hAnsi="Arial" w:cs="Arial"/>
                <w:lang w:eastAsia="sr-Latn-RS"/>
              </w:rPr>
              <w:t> </w:t>
            </w:r>
            <w:r w:rsidRPr="00B03342">
              <w:rPr>
                <w:rFonts w:ascii="Arial" w:hAnsi="Arial" w:cs="Arial"/>
                <w:vertAlign w:val="subscript"/>
                <w:lang w:eastAsia="sr-Latn-RS"/>
              </w:rPr>
              <w:t>4</w:t>
            </w:r>
            <w:r w:rsidRPr="00B03342">
              <w:rPr>
                <w:rFonts w:ascii="Arial" w:hAnsi="Arial" w:cs="Arial"/>
                <w:lang w:eastAsia="sr-Latn-RS"/>
              </w:rPr>
              <w:t> + 2 · </w:t>
            </w:r>
            <w:r w:rsidRPr="00B03342">
              <w:rPr>
                <w:rFonts w:ascii="Arial" w:hAnsi="Arial" w:cs="Arial"/>
                <w:i/>
                <w:iCs/>
                <w:lang w:eastAsia="sr-Latn-RS"/>
              </w:rPr>
              <w:t>O</w:t>
            </w:r>
            <w:r w:rsidRPr="00B03342">
              <w:rPr>
                <w:rFonts w:ascii="Arial" w:hAnsi="Arial" w:cs="Arial"/>
                <w:lang w:eastAsia="sr-Latn-RS"/>
              </w:rPr>
              <w:t> </w:t>
            </w:r>
            <w:r w:rsidRPr="00B03342">
              <w:rPr>
                <w:rFonts w:ascii="Arial" w:hAnsi="Arial" w:cs="Arial"/>
                <w:vertAlign w:val="subscript"/>
                <w:lang w:eastAsia="sr-Latn-RS"/>
              </w:rPr>
              <w:t>2</w:t>
            </w:r>
            <w:r w:rsidRPr="00B03342">
              <w:rPr>
                <w:rFonts w:ascii="Arial" w:hAnsi="Arial" w:cs="Arial"/>
                <w:lang w:eastAsia="sr-Latn-RS"/>
              </w:rPr>
              <w:t> → 1 · </w:t>
            </w:r>
            <w:r w:rsidRPr="00B03342">
              <w:rPr>
                <w:rFonts w:ascii="Arial" w:hAnsi="Arial" w:cs="Arial"/>
                <w:i/>
                <w:iCs/>
                <w:lang w:eastAsia="sr-Latn-RS"/>
              </w:rPr>
              <w:t>CO</w:t>
            </w:r>
            <w:r w:rsidRPr="00B03342">
              <w:rPr>
                <w:rFonts w:ascii="Arial" w:hAnsi="Arial" w:cs="Arial"/>
                <w:lang w:eastAsia="sr-Latn-RS"/>
              </w:rPr>
              <w:t> </w:t>
            </w:r>
            <w:r w:rsidRPr="00B03342">
              <w:rPr>
                <w:rFonts w:ascii="Arial" w:hAnsi="Arial" w:cs="Arial"/>
                <w:vertAlign w:val="subscript"/>
                <w:lang w:eastAsia="sr-Latn-RS"/>
              </w:rPr>
              <w:t>2</w:t>
            </w:r>
            <w:r w:rsidRPr="00B03342">
              <w:rPr>
                <w:rFonts w:ascii="Arial" w:hAnsi="Arial" w:cs="Arial"/>
                <w:lang w:eastAsia="sr-Latn-RS"/>
              </w:rPr>
              <w:t> + 2 · </w:t>
            </w: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2</w:t>
            </w:r>
            <w:r w:rsidRPr="00B03342">
              <w:rPr>
                <w:rFonts w:ascii="Arial" w:hAnsi="Arial" w:cs="Arial"/>
                <w:lang w:eastAsia="sr-Latn-RS"/>
              </w:rPr>
              <w:t> </w:t>
            </w:r>
            <w:r w:rsidRPr="00B03342">
              <w:rPr>
                <w:rFonts w:ascii="Arial" w:hAnsi="Arial" w:cs="Arial"/>
                <w:i/>
                <w:iCs/>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случају однос молекула у стехиометријском односу реагенаса износи 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A02889E" wp14:editId="1E3FDE4E">
            <wp:extent cx="1391285" cy="564515"/>
            <wp:effectExtent l="0" t="0" r="0" b="6985"/>
            <wp:docPr id="285" name="Picture 285" descr="The image shows a mathematical equation with the ratio of nNO2 to nCH4 equal to 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image shows a mathematical equation with the ratio of nNO2 to nCH4 equal to 2.&#10;&#10;Description generated by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1285"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08"/>
        <w:gridCol w:w="629"/>
        <w:gridCol w:w="816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O</w:t>
            </w:r>
            <w:r w:rsidRPr="00B03342">
              <w:rPr>
                <w:rFonts w:ascii="Arial" w:hAnsi="Arial" w:cs="Arial"/>
                <w:i/>
                <w:iCs/>
                <w:lang w:eastAsia="sr-Latn-RS"/>
              </w:rPr>
              <w:t> </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молекула кисеоника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CH</w:t>
            </w:r>
            <w:r w:rsidRPr="00B03342">
              <w:rPr>
                <w:rFonts w:ascii="Arial" w:hAnsi="Arial" w:cs="Arial"/>
                <w:i/>
                <w:iCs/>
                <w:lang w:eastAsia="sr-Latn-RS"/>
              </w:rPr>
              <w:t> </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молекула метана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Потреба чистог метана за кисеоником зато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3"/>
        <w:gridCol w:w="359"/>
        <w:gridCol w:w="933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O</w:t>
            </w:r>
            <w:r w:rsidRPr="00B03342">
              <w:rPr>
                <w:rFonts w:ascii="Arial" w:hAnsi="Arial" w:cs="Arial"/>
                <w:i/>
                <w:iCs/>
                <w:lang w:eastAsia="sr-Latn-RS"/>
              </w:rPr>
              <w:t> </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2 · </w:t>
            </w:r>
            <w:r w:rsidRPr="00B03342">
              <w:rPr>
                <w:rFonts w:ascii="Arial" w:hAnsi="Arial" w:cs="Arial"/>
                <w:i/>
                <w:iCs/>
                <w:lang w:eastAsia="sr-Latn-RS"/>
              </w:rPr>
              <w:t>n</w:t>
            </w:r>
            <w:r w:rsidRPr="00B03342">
              <w:rPr>
                <w:rFonts w:ascii="Arial" w:hAnsi="Arial" w:cs="Arial"/>
                <w:vertAlign w:val="subscript"/>
                <w:lang w:eastAsia="sr-Latn-RS"/>
              </w:rPr>
              <w:t>CH</w:t>
            </w:r>
            <w:r w:rsidRPr="00B03342">
              <w:rPr>
                <w:rFonts w:ascii="Arial" w:hAnsi="Arial" w:cs="Arial"/>
                <w:i/>
                <w:iCs/>
                <w:lang w:eastAsia="sr-Latn-RS"/>
              </w:rPr>
              <w:t> </w:t>
            </w:r>
            <w:r w:rsidRPr="00B03342">
              <w:rPr>
                <w:rFonts w:ascii="Arial" w:hAnsi="Arial" w:cs="Arial"/>
                <w:vertAlign w:val="subscript"/>
                <w:lang w:eastAsia="sr-Latn-RS"/>
              </w:rPr>
              <w:t>4</w:t>
            </w:r>
            <w:r w:rsidRPr="00B03342">
              <w:rPr>
                <w:rFonts w:ascii="Arial" w:hAnsi="Arial" w:cs="Arial"/>
                <w:lang w:eastAsia="sr-Latn-RS"/>
              </w:rPr>
              <w:t> s референтном вредношћу [</w:t>
            </w:r>
            <w:r w:rsidRPr="00B03342">
              <w:rPr>
                <w:rFonts w:ascii="Arial" w:hAnsi="Arial" w:cs="Arial"/>
                <w:i/>
                <w:iCs/>
                <w:lang w:eastAsia="sr-Latn-RS"/>
              </w:rPr>
              <w:t>n</w:t>
            </w:r>
            <w:r w:rsidRPr="00B03342">
              <w:rPr>
                <w:rFonts w:ascii="Arial" w:hAnsi="Arial" w:cs="Arial"/>
                <w:vertAlign w:val="subscript"/>
                <w:lang w:eastAsia="sr-Latn-RS"/>
              </w:rPr>
              <w:t>CH4</w:t>
            </w:r>
            <w:r w:rsidRPr="00B03342">
              <w:rPr>
                <w:rFonts w:ascii="Arial" w:hAnsi="Arial" w:cs="Arial"/>
                <w:i/>
                <w:iCs/>
                <w:lang w:eastAsia="sr-Latn-RS"/>
              </w:rPr>
              <w:t> </w:t>
            </w:r>
            <w:r w:rsidRPr="00B03342">
              <w:rPr>
                <w:rFonts w:ascii="Arial" w:hAnsi="Arial" w:cs="Arial"/>
                <w:lang w:eastAsia="sr-Latn-RS"/>
              </w:rPr>
              <w:t>] = 1 kmol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 Сλ могуће је утврдити на основу односа стехиометријског односа кисеоника и метана и стехиометријског односа кисеоника и мешавине горива који долазе у мотор, како је наведено у једначини (9-5):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3402610" wp14:editId="1F00F17B">
            <wp:extent cx="5057140" cy="731520"/>
            <wp:effectExtent l="0" t="0" r="0" b="0"/>
            <wp:docPr id="284" name="Picture 284" descr="A mathematical equation showing S subscript A as the ratio of NO2 over CH4 to NO2 blend, equal to 2 divided by NO2 blend, with a reference to a source labeled 9-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athematical equation showing S subscript A as the ratio of NO2 over CH4 to NO2 blend, equal to 2 divided by NO2 blend, with a reference to a source labeled 9-5.&#10;&#10;Description generated by 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7140" cy="73152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11"/>
        <w:gridCol w:w="193"/>
        <w:gridCol w:w="939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blend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молекула у мешавини горива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O</w:t>
            </w:r>
            <w:r w:rsidRPr="00B03342">
              <w:rPr>
                <w:rFonts w:ascii="Arial" w:hAnsi="Arial" w:cs="Arial"/>
                <w:i/>
                <w:iCs/>
                <w:lang w:eastAsia="sr-Latn-RS"/>
              </w:rPr>
              <w:t> </w:t>
            </w:r>
            <w:r w:rsidRPr="00B03342">
              <w:rPr>
                <w:rFonts w:ascii="Arial" w:hAnsi="Arial" w:cs="Arial"/>
                <w:vertAlign w:val="subscript"/>
                <w:lang w:eastAsia="sr-Latn-RS"/>
              </w:rPr>
              <w:t>2</w:t>
            </w:r>
            <w:r w:rsidRPr="00B03342">
              <w:rPr>
                <w:rFonts w:ascii="Arial" w:hAnsi="Arial" w:cs="Arial"/>
                <w:i/>
                <w:iCs/>
                <w:lang w:eastAsia="sr-Latn-RS"/>
              </w:rPr>
              <w:t>)</w:t>
            </w:r>
            <w:r w:rsidRPr="00B03342">
              <w:rPr>
                <w:rFonts w:ascii="Arial" w:hAnsi="Arial" w:cs="Arial"/>
                <w:vertAlign w:val="subscript"/>
                <w:lang w:eastAsia="sr-Latn-RS"/>
              </w:rPr>
              <w:t>blend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молекула у стехиометријском саставу кисеоника и мешавине горива који долазе у мотор</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Ваздух садржи 21 % кисеоника, стога се стехиометријска потреба за ваздухом </w:t>
      </w:r>
      <w:r w:rsidRPr="00B03342">
        <w:rPr>
          <w:rFonts w:ascii="Arial" w:hAnsi="Arial" w:cs="Arial"/>
          <w:i/>
          <w:iCs/>
          <w:color w:val="000000"/>
          <w:lang w:eastAsia="sr-Latn-RS"/>
        </w:rPr>
        <w:t>L</w:t>
      </w:r>
      <w:r w:rsidRPr="00B03342">
        <w:rPr>
          <w:rFonts w:ascii="Arial" w:hAnsi="Arial" w:cs="Arial"/>
          <w:color w:val="000000"/>
          <w:vertAlign w:val="subscript"/>
          <w:lang w:eastAsia="sr-Latn-RS"/>
        </w:rPr>
        <w:t>st</w:t>
      </w:r>
      <w:r w:rsidRPr="00B03342">
        <w:rPr>
          <w:rFonts w:ascii="Arial" w:hAnsi="Arial" w:cs="Arial"/>
          <w:i/>
          <w:iCs/>
          <w:color w:val="000000"/>
          <w:lang w:eastAsia="sr-Latn-RS"/>
        </w:rPr>
        <w:t> </w:t>
      </w:r>
      <w:r w:rsidRPr="00B03342">
        <w:rPr>
          <w:rFonts w:ascii="Arial" w:hAnsi="Arial" w:cs="Arial"/>
          <w:color w:val="000000"/>
          <w:lang w:eastAsia="sr-Latn-RS"/>
        </w:rPr>
        <w:t>било којег горива обрачунава помоћу једначине(9-6):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23CC1F8" wp14:editId="6FEA091A">
            <wp:extent cx="5057140" cy="501015"/>
            <wp:effectExtent l="0" t="0" r="0" b="0"/>
            <wp:docPr id="283" name="Picture 283" descr="A mathematical formula showing L subscript st comma fuel equals n subscript O2 comma fuel divided by 0.21 with a reference to equation nine minus six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mathematical formula showing L subscript st comma fuel equals n subscript O2 comma fuel divided by 0.21 with a reference to equation nine minus six in parentheses.&#10;&#10;Description generated by 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37"/>
        <w:gridCol w:w="362"/>
        <w:gridCol w:w="880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L</w:t>
            </w:r>
            <w:r w:rsidRPr="00B03342">
              <w:rPr>
                <w:rFonts w:ascii="Arial" w:hAnsi="Arial" w:cs="Arial"/>
                <w:vertAlign w:val="subscript"/>
                <w:lang w:eastAsia="sr-Latn-RS"/>
              </w:rPr>
              <w:t>st,fuel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стехиометријска потреба горива за ваздухом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O</w:t>
            </w:r>
            <w:r w:rsidRPr="00B03342">
              <w:rPr>
                <w:rFonts w:ascii="Arial" w:hAnsi="Arial" w:cs="Arial"/>
                <w:i/>
                <w:iCs/>
                <w:lang w:eastAsia="sr-Latn-RS"/>
              </w:rPr>
              <w:t> </w:t>
            </w:r>
            <w:r w:rsidRPr="00B03342">
              <w:rPr>
                <w:rFonts w:ascii="Arial" w:hAnsi="Arial" w:cs="Arial"/>
                <w:vertAlign w:val="subscript"/>
                <w:lang w:eastAsia="sr-Latn-RS"/>
              </w:rPr>
              <w:t>2</w:t>
            </w:r>
            <w:r w:rsidRPr="00B03342">
              <w:rPr>
                <w:rFonts w:ascii="Arial" w:hAnsi="Arial" w:cs="Arial"/>
                <w:lang w:eastAsia="sr-Latn-RS"/>
              </w:rPr>
              <w:t> </w:t>
            </w:r>
            <w:r w:rsidRPr="00B03342">
              <w:rPr>
                <w:rFonts w:ascii="Arial" w:hAnsi="Arial" w:cs="Arial"/>
                <w:vertAlign w:val="subscript"/>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стехиометријска потреба горива за кисеоником</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Последично, вредност S</w:t>
      </w:r>
      <w:r w:rsidRPr="00B03342">
        <w:rPr>
          <w:rFonts w:ascii="Arial" w:hAnsi="Arial" w:cs="Arial"/>
          <w:color w:val="000000"/>
          <w:vertAlign w:val="subscript"/>
          <w:lang w:eastAsia="sr-Latn-RS"/>
        </w:rPr>
        <w:t>λ</w:t>
      </w:r>
      <w:r w:rsidRPr="00B03342">
        <w:rPr>
          <w:rFonts w:ascii="Arial" w:hAnsi="Arial" w:cs="Arial"/>
          <w:color w:val="000000"/>
          <w:lang w:eastAsia="sr-Latn-RS"/>
        </w:rPr>
        <w:t> исто се тако може одредити на основу односа стехиометријског односа ваздуха и метана и стехиометријског односа ваздуха и мешавине горива у мотору, тј. односа стехиометријске потребе метана за ваздухом и стехиометријске потребе за ваздухом мешавине горива која долази у мотор, како је наведено у једначини (9-7):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06C2BA1" wp14:editId="50D2695F">
            <wp:extent cx="5057140" cy="779145"/>
            <wp:effectExtent l="0" t="0" r="0" b="1905"/>
            <wp:docPr id="282" name="Picture 282" descr="A mathematical equation showing the ratio of partial pressures of methane and blend gases related to their respective mole fractions and luminosi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mathematical equation showing the ratio of partial pressures of methane and blend gases related to their respective mole fractions and luminosities.&#10;&#10;Description generated by A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7140" cy="7791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Стога се било који обрачун у којем се наводи стехиометријска потреба за ваздухом може употребити за изражавање фактора ламбда-помака.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Корекција за удео CO</w:t>
      </w:r>
      <w:r w:rsidRPr="00B03342">
        <w:rPr>
          <w:rFonts w:ascii="Arial" w:hAnsi="Arial" w:cs="Arial"/>
          <w:color w:val="000000"/>
          <w:vertAlign w:val="subscript"/>
          <w:lang w:eastAsia="sr-Latn-RS"/>
        </w:rPr>
        <w:t>2</w:t>
      </w:r>
      <w:r w:rsidRPr="00B03342">
        <w:rPr>
          <w:rFonts w:ascii="Arial" w:hAnsi="Arial" w:cs="Arial"/>
          <w:color w:val="000000"/>
          <w:lang w:eastAsia="sr-Latn-RS"/>
        </w:rPr>
        <w:t> у испушном гасу који потиче од CO</w:t>
      </w:r>
      <w:r w:rsidRPr="00B03342">
        <w:rPr>
          <w:rFonts w:ascii="Arial" w:hAnsi="Arial" w:cs="Arial"/>
          <w:color w:val="000000"/>
          <w:vertAlign w:val="subscript"/>
          <w:lang w:eastAsia="sr-Latn-RS"/>
        </w:rPr>
        <w:t>2</w:t>
      </w:r>
      <w:r w:rsidRPr="00B03342">
        <w:rPr>
          <w:rFonts w:ascii="Arial" w:hAnsi="Arial" w:cs="Arial"/>
          <w:color w:val="000000"/>
          <w:lang w:eastAsia="sr-Latn-RS"/>
        </w:rPr>
        <w:t> отопљеног у гасовитом гориву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Тренутна брзина масеног протока CO</w:t>
      </w:r>
      <w:r w:rsidRPr="00B03342">
        <w:rPr>
          <w:rFonts w:ascii="Arial" w:hAnsi="Arial" w:cs="Arial"/>
          <w:color w:val="000000"/>
          <w:vertAlign w:val="subscript"/>
          <w:lang w:eastAsia="sr-Latn-RS"/>
        </w:rPr>
        <w:t>2</w:t>
      </w:r>
      <w:r w:rsidRPr="00B03342">
        <w:rPr>
          <w:rFonts w:ascii="Arial" w:hAnsi="Arial" w:cs="Arial"/>
          <w:color w:val="000000"/>
          <w:lang w:eastAsia="sr-Latn-RS"/>
        </w:rPr>
        <w:t> у току гасовитог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Састав гаса и ток гаса одређују се у складу са захтевима из одељака 1. до 4. Додатка 1.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1.2. Тренутна брзина масеног протока CO</w:t>
      </w:r>
      <w:r w:rsidRPr="00B03342">
        <w:rPr>
          <w:rFonts w:ascii="Arial" w:hAnsi="Arial" w:cs="Arial"/>
          <w:color w:val="000000"/>
          <w:vertAlign w:val="subscript"/>
          <w:lang w:eastAsia="sr-Latn-RS"/>
        </w:rPr>
        <w:t>2</w:t>
      </w:r>
      <w:r w:rsidRPr="00B03342">
        <w:rPr>
          <w:rFonts w:ascii="Arial" w:hAnsi="Arial" w:cs="Arial"/>
          <w:color w:val="000000"/>
          <w:lang w:eastAsia="sr-Latn-RS"/>
        </w:rPr>
        <w:t> у току гасовитог горива којим се мотор снабдева обрачунава се у складу с једначином (9-8).</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45"/>
        <w:gridCol w:w="12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w:t>
            </w:r>
            <w:r w:rsidRPr="00B03342">
              <w:rPr>
                <w:rFonts w:ascii="Arial" w:hAnsi="Arial" w:cs="Arial"/>
                <w:lang w:eastAsia="sr-Latn-RS"/>
              </w:rPr>
              <w:t>/</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stream</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CO2i</w:t>
            </w:r>
            <w:r w:rsidRPr="00B03342">
              <w:rPr>
                <w:rFonts w:ascii="Arial" w:hAnsi="Arial" w:cs="Arial"/>
                <w:lang w:eastAsia="sr-Latn-RS"/>
              </w:rPr>
              <w:t> ·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streami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(9-8)</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gridCol w:w="266"/>
        <w:gridCol w:w="913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Тренутна брзина масеног протока CO</w:t>
            </w:r>
            <w:r w:rsidRPr="00B03342">
              <w:rPr>
                <w:rFonts w:ascii="Arial" w:hAnsi="Arial" w:cs="Arial"/>
                <w:vertAlign w:val="subscript"/>
                <w:lang w:eastAsia="sr-Latn-RS"/>
              </w:rPr>
              <w:t>2</w:t>
            </w:r>
            <w:r w:rsidRPr="00B03342">
              <w:rPr>
                <w:rFonts w:ascii="Arial" w:hAnsi="Arial" w:cs="Arial"/>
                <w:lang w:eastAsia="sr-Latn-RS"/>
              </w:rPr>
              <w:t> у току гасовитог горива [g/s]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streami,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брзина масеног протока тока гаса [g/s]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моларни удео CO</w:t>
            </w:r>
            <w:r w:rsidRPr="00B03342">
              <w:rPr>
                <w:rFonts w:ascii="Arial" w:hAnsi="Arial" w:cs="Arial"/>
                <w:vertAlign w:val="subscript"/>
                <w:lang w:eastAsia="sr-Latn-RS"/>
              </w:rPr>
              <w:t>2</w:t>
            </w:r>
            <w:r w:rsidRPr="00B03342">
              <w:rPr>
                <w:rFonts w:ascii="Arial" w:hAnsi="Arial" w:cs="Arial"/>
                <w:lang w:eastAsia="sr-Latn-RS"/>
              </w:rPr>
              <w:t> у току гаса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моларна маса CO</w:t>
            </w:r>
            <w:r w:rsidRPr="00B03342">
              <w:rPr>
                <w:rFonts w:ascii="Arial" w:hAnsi="Arial" w:cs="Arial"/>
                <w:vertAlign w:val="subscript"/>
                <w:lang w:eastAsia="sr-Latn-RS"/>
              </w:rPr>
              <w:t>2</w:t>
            </w:r>
            <w:r w:rsidRPr="00B03342">
              <w:rPr>
                <w:rFonts w:ascii="Arial" w:hAnsi="Arial" w:cs="Arial"/>
                <w:lang w:eastAsia="sr-Latn-RS"/>
              </w:rPr>
              <w:t>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stream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тока гаса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stream</w:t>
      </w:r>
      <w:r w:rsidRPr="00B03342">
        <w:rPr>
          <w:rFonts w:ascii="Arial" w:hAnsi="Arial" w:cs="Arial"/>
          <w:color w:val="000000"/>
          <w:lang w:eastAsia="sr-Latn-RS"/>
        </w:rPr>
        <w:t> обрачунава се на основу свих измерених састојака (1., 2., …, n) у складу с једначином (9-9).</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33"/>
        <w:gridCol w:w="116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stream</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1</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1</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2</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2</w:t>
            </w:r>
            <w:r w:rsidRPr="00B03342">
              <w:rPr>
                <w:rFonts w:ascii="Arial" w:hAnsi="Arial" w:cs="Arial"/>
                <w:lang w:eastAsia="sr-Latn-RS"/>
              </w:rPr>
              <w:t> + …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00"/>
        <w:gridCol w:w="256"/>
        <w:gridCol w:w="894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1, 2,</w:t>
            </w:r>
            <w:r w:rsidRPr="00B03342">
              <w:rPr>
                <w:rFonts w:ascii="Arial" w:hAnsi="Arial" w:cs="Arial"/>
                <w:lang w:eastAsia="sr-Latn-RS"/>
              </w:rPr>
              <w:t> </w:t>
            </w:r>
            <w:r w:rsidRPr="00B03342">
              <w:rPr>
                <w:rFonts w:ascii="Arial" w:hAnsi="Arial" w:cs="Arial"/>
                <w:i/>
                <w:iCs/>
                <w:lang w:eastAsia="sr-Latn-RS"/>
              </w:rPr>
              <w:t>…</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моларни удео сваког измереног састојка у току гаса(CH</w:t>
            </w:r>
            <w:r w:rsidRPr="00B03342">
              <w:rPr>
                <w:rFonts w:ascii="Arial" w:hAnsi="Arial" w:cs="Arial"/>
                <w:vertAlign w:val="subscript"/>
                <w:lang w:eastAsia="sr-Latn-RS"/>
              </w:rPr>
              <w:t>4</w:t>
            </w:r>
            <w:r w:rsidRPr="00B03342">
              <w:rPr>
                <w:rFonts w:ascii="Arial" w:hAnsi="Arial" w:cs="Arial"/>
                <w:lang w:eastAsia="sr-Latn-RS"/>
              </w:rPr>
              <w:t>, CO</w:t>
            </w:r>
            <w:r w:rsidRPr="00B03342">
              <w:rPr>
                <w:rFonts w:ascii="Arial" w:hAnsi="Arial" w:cs="Arial"/>
                <w:vertAlign w:val="subscript"/>
                <w:lang w:eastAsia="sr-Latn-RS"/>
              </w:rPr>
              <w:t>2</w:t>
            </w:r>
            <w:r w:rsidRPr="00B03342">
              <w:rPr>
                <w:rFonts w:ascii="Arial" w:hAnsi="Arial" w:cs="Arial"/>
                <w:lang w:eastAsia="sr-Latn-RS"/>
              </w:rPr>
              <w:t>,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1, 2,</w:t>
            </w:r>
            <w:r w:rsidRPr="00B03342">
              <w:rPr>
                <w:rFonts w:ascii="Arial" w:hAnsi="Arial" w:cs="Arial"/>
                <w:lang w:eastAsia="sr-Latn-RS"/>
              </w:rPr>
              <w:t> </w:t>
            </w:r>
            <w:r w:rsidRPr="00B03342">
              <w:rPr>
                <w:rFonts w:ascii="Arial" w:hAnsi="Arial" w:cs="Arial"/>
                <w:i/>
                <w:iCs/>
                <w:lang w:eastAsia="sr-Latn-RS"/>
              </w:rPr>
              <w:t>…</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сваког измереног састојка у току гаса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1.3. Како би се одредила укупна брзина масеног протока CO</w:t>
      </w:r>
      <w:r w:rsidRPr="00B03342">
        <w:rPr>
          <w:rFonts w:ascii="Arial" w:hAnsi="Arial" w:cs="Arial"/>
          <w:color w:val="000000"/>
          <w:vertAlign w:val="subscript"/>
          <w:lang w:eastAsia="sr-Latn-RS"/>
        </w:rPr>
        <w:t>2</w:t>
      </w:r>
      <w:r w:rsidRPr="00B03342">
        <w:rPr>
          <w:rFonts w:ascii="Arial" w:hAnsi="Arial" w:cs="Arial"/>
          <w:color w:val="000000"/>
          <w:lang w:eastAsia="sr-Latn-RS"/>
        </w:rPr>
        <w:t> у гасовитом гориву које улази у мотор, обрачун према једначини (9-8) изводи се за сваки појединачни ток гаса који садржи CO</w:t>
      </w:r>
      <w:r w:rsidRPr="00B03342">
        <w:rPr>
          <w:rFonts w:ascii="Arial" w:hAnsi="Arial" w:cs="Arial"/>
          <w:color w:val="000000"/>
          <w:vertAlign w:val="subscript"/>
          <w:lang w:eastAsia="sr-Latn-RS"/>
        </w:rPr>
        <w:t>2</w:t>
      </w:r>
      <w:r w:rsidRPr="00B03342">
        <w:rPr>
          <w:rFonts w:ascii="Arial" w:hAnsi="Arial" w:cs="Arial"/>
          <w:color w:val="000000"/>
          <w:lang w:eastAsia="sr-Latn-RS"/>
        </w:rPr>
        <w:t> који улази у састав за мешање гаса и за сваки придружени ток гаса или се изводи за смесу гаса који одлази из састава за мешање и улази у мотор у складу с једначином(9-10):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133"/>
        <w:gridCol w:w="136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fuel</w:t>
            </w:r>
            <w:r w:rsidRPr="00B03342">
              <w:rPr>
                <w:rFonts w:ascii="Arial" w:hAnsi="Arial" w:cs="Arial"/>
                <w:lang w:eastAsia="sr-Latn-RS"/>
              </w:rPr>
              <w:t> =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a</w:t>
            </w:r>
            <w:r w:rsidRPr="00B03342">
              <w:rPr>
                <w:rFonts w:ascii="Arial" w:hAnsi="Arial" w:cs="Arial"/>
                <w:lang w:eastAsia="sr-Latn-RS"/>
              </w:rPr>
              <w:t> +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b</w:t>
            </w:r>
            <w:r w:rsidRPr="00B03342">
              <w:rPr>
                <w:rFonts w:ascii="Arial" w:hAnsi="Arial" w:cs="Arial"/>
                <w:lang w:eastAsia="sr-Latn-RS"/>
              </w:rPr>
              <w:t> + … +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62"/>
        <w:gridCol w:w="172"/>
        <w:gridCol w:w="916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тренутни комбиновани масени проток CO</w:t>
            </w:r>
            <w:r w:rsidRPr="00B03342">
              <w:rPr>
                <w:rFonts w:ascii="Arial" w:hAnsi="Arial" w:cs="Arial"/>
                <w:vertAlign w:val="subscript"/>
                <w:lang w:eastAsia="sr-Latn-RS"/>
              </w:rPr>
              <w:t>2</w:t>
            </w:r>
            <w:r w:rsidRPr="00B03342">
              <w:rPr>
                <w:rFonts w:ascii="Arial" w:hAnsi="Arial" w:cs="Arial"/>
                <w:lang w:eastAsia="sr-Latn-RS"/>
              </w:rPr>
              <w:t> који потиче од CO</w:t>
            </w:r>
            <w:r w:rsidRPr="00B03342">
              <w:rPr>
                <w:rFonts w:ascii="Arial" w:hAnsi="Arial" w:cs="Arial"/>
                <w:vertAlign w:val="subscript"/>
                <w:lang w:eastAsia="sr-Latn-RS"/>
              </w:rPr>
              <w:t>2</w:t>
            </w:r>
            <w:r w:rsidRPr="00B03342">
              <w:rPr>
                <w:rFonts w:ascii="Arial" w:hAnsi="Arial" w:cs="Arial"/>
                <w:lang w:eastAsia="sr-Latn-RS"/>
              </w:rPr>
              <w:t> у гасовитом гориву које улази у мотор[g/s]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CO2i, a, b, …, 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тренутни масени проток CO</w:t>
            </w:r>
            <w:r w:rsidRPr="00B03342">
              <w:rPr>
                <w:rFonts w:ascii="Arial" w:hAnsi="Arial" w:cs="Arial"/>
                <w:vertAlign w:val="subscript"/>
                <w:lang w:eastAsia="sr-Latn-RS"/>
              </w:rPr>
              <w:t>2</w:t>
            </w:r>
            <w:r w:rsidRPr="00B03342">
              <w:rPr>
                <w:rFonts w:ascii="Arial" w:hAnsi="Arial" w:cs="Arial"/>
                <w:lang w:eastAsia="sr-Latn-RS"/>
              </w:rPr>
              <w:t> који потиче од CO</w:t>
            </w:r>
            <w:r w:rsidRPr="00B03342">
              <w:rPr>
                <w:rFonts w:ascii="Arial" w:hAnsi="Arial" w:cs="Arial"/>
                <w:vertAlign w:val="subscript"/>
                <w:lang w:eastAsia="sr-Latn-RS"/>
              </w:rPr>
              <w:t>2</w:t>
            </w:r>
            <w:r w:rsidRPr="00B03342">
              <w:rPr>
                <w:rFonts w:ascii="Arial" w:hAnsi="Arial" w:cs="Arial"/>
                <w:lang w:eastAsia="sr-Latn-RS"/>
              </w:rPr>
              <w:t> у сваком појединачном току гаса a, b, …, n [g/s]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Обрачун специфичних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за динамичке (NRTC и LSI-NRTC) испитне циклусе и RMC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2.1. Укупна маса CO</w:t>
      </w:r>
      <w:r w:rsidRPr="00B03342">
        <w:rPr>
          <w:rFonts w:ascii="Arial" w:hAnsi="Arial" w:cs="Arial"/>
          <w:color w:val="000000"/>
          <w:vertAlign w:val="subscript"/>
          <w:lang w:eastAsia="sr-Latn-RS"/>
        </w:rPr>
        <w:t>2</w:t>
      </w:r>
      <w:r w:rsidRPr="00B03342">
        <w:rPr>
          <w:rFonts w:ascii="Arial" w:hAnsi="Arial" w:cs="Arial"/>
          <w:color w:val="000000"/>
          <w:lang w:eastAsia="sr-Latn-RS"/>
        </w:rPr>
        <w:t> из CO</w:t>
      </w:r>
      <w:r w:rsidRPr="00B03342">
        <w:rPr>
          <w:rFonts w:ascii="Arial" w:hAnsi="Arial" w:cs="Arial"/>
          <w:color w:val="000000"/>
          <w:vertAlign w:val="subscript"/>
          <w:lang w:eastAsia="sr-Latn-RS"/>
        </w:rPr>
        <w:t>2</w:t>
      </w:r>
      <w:r w:rsidRPr="00B03342">
        <w:rPr>
          <w:rFonts w:ascii="Arial" w:hAnsi="Arial" w:cs="Arial"/>
          <w:color w:val="000000"/>
          <w:lang w:eastAsia="sr-Latn-RS"/>
        </w:rPr>
        <w:t> у гориву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 fuel</w:t>
      </w:r>
      <w:r w:rsidRPr="00B03342">
        <w:rPr>
          <w:rFonts w:ascii="Arial" w:hAnsi="Arial" w:cs="Arial"/>
          <w:color w:val="000000"/>
          <w:lang w:eastAsia="sr-Latn-RS"/>
        </w:rPr>
        <w:t> [g/test] за свако испитивање емисија обрачунава се сабирањем тренутне брзине масеног протока CO</w:t>
      </w:r>
      <w:r w:rsidRPr="00B03342">
        <w:rPr>
          <w:rFonts w:ascii="Arial" w:hAnsi="Arial" w:cs="Arial"/>
          <w:color w:val="000000"/>
          <w:vertAlign w:val="subscript"/>
          <w:lang w:eastAsia="sr-Latn-RS"/>
        </w:rPr>
        <w:t>2</w:t>
      </w:r>
      <w:r w:rsidRPr="00B03342">
        <w:rPr>
          <w:rFonts w:ascii="Arial" w:hAnsi="Arial" w:cs="Arial"/>
          <w:color w:val="000000"/>
          <w:lang w:eastAsia="sr-Latn-RS"/>
        </w:rPr>
        <w:t> у гасовитом гориву које улази у мотор</w:t>
      </w:r>
      <w:r w:rsidRPr="00B03342">
        <w:rPr>
          <w:rFonts w:ascii="Arial" w:hAnsi="Arial" w:cs="Arial"/>
          <w:color w:val="000000"/>
          <w:vertAlign w:val="subscript"/>
          <w:lang w:eastAsia="sr-Latn-RS"/>
        </w:rPr>
        <w:t>, fuel</w:t>
      </w:r>
      <w:r w:rsidRPr="00B03342">
        <w:rPr>
          <w:rFonts w:ascii="Arial" w:hAnsi="Arial" w:cs="Arial"/>
          <w:color w:val="000000"/>
          <w:lang w:eastAsia="sr-Latn-RS"/>
        </w:rPr>
        <w:t> [g/s] током циклуса испитивања у складу с једначином (9-11):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3214FF5" wp14:editId="20054545">
            <wp:extent cx="5057140" cy="461010"/>
            <wp:effectExtent l="0" t="0" r="0" b="0"/>
            <wp:docPr id="281" name="Picture 281" descr="The image shows a mathematical formula expressing the fuel mass divided by the sum of carbon dioxide emissions from fuel over a range of val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image shows a mathematical formula expressing the fuel mass divided by the sum of carbon dioxide emissions from fuel over a range of values.&#10;&#10;Description generated by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7140" cy="461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4"/>
        <w:gridCol w:w="536"/>
        <w:gridCol w:w="935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 Укупна маса емисије CO</w:t>
      </w:r>
      <w:r w:rsidRPr="00B03342">
        <w:rPr>
          <w:rFonts w:ascii="Arial" w:hAnsi="Arial" w:cs="Arial"/>
          <w:color w:val="000000"/>
          <w:vertAlign w:val="subscript"/>
          <w:lang w:eastAsia="sr-Latn-RS"/>
        </w:rPr>
        <w:t>2</w:t>
      </w:r>
      <w:r w:rsidRPr="00B03342">
        <w:rPr>
          <w:rFonts w:ascii="Arial" w:hAnsi="Arial" w:cs="Arial"/>
          <w:color w:val="000000"/>
          <w:lang w:eastAsia="sr-Latn-RS"/>
        </w:rPr>
        <w:t>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[g/test] која се у једначини (7-61), (7-63), (7-128) или(7-130) Прилога 10 ове уредбе употребљава за обрачун резултата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[g/kWh] специфичних емисија у тим се једначинама замењује коригованом вредношћу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 corr</w:t>
      </w:r>
      <w:r w:rsidRPr="00B03342">
        <w:rPr>
          <w:rFonts w:ascii="Arial" w:hAnsi="Arial" w:cs="Arial"/>
          <w:color w:val="000000"/>
          <w:lang w:eastAsia="sr-Latn-RS"/>
        </w:rPr>
        <w:t> [g/test] добијеном на основу једначине(9-12).</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69"/>
        <w:gridCol w:w="20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 corr </w:t>
            </w:r>
            <w:r w:rsidRPr="00B03342">
              <w:rPr>
                <w:rFonts w:ascii="Arial" w:hAnsi="Arial" w:cs="Arial"/>
                <w:lang w:eastAsia="sr-Latn-RS"/>
              </w:rPr>
              <w:t>=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 </w:t>
            </w:r>
            <w:r w:rsidRPr="00B03342">
              <w:rPr>
                <w:rFonts w:ascii="Arial" w:hAnsi="Arial" w:cs="Arial"/>
                <w:lang w:eastAsia="sr-Latn-RS"/>
              </w:rPr>
              <w:t>–</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 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(9-12)</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 Обрачун специфичних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за NRSC с дискретним начинима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3.1. Просечни масени проток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из CO</w:t>
      </w:r>
      <w:r w:rsidRPr="00B03342">
        <w:rPr>
          <w:rFonts w:ascii="Arial" w:hAnsi="Arial" w:cs="Arial"/>
          <w:color w:val="000000"/>
          <w:vertAlign w:val="subscript"/>
          <w:lang w:eastAsia="sr-Latn-RS"/>
        </w:rPr>
        <w:t>2</w:t>
      </w:r>
      <w:r w:rsidRPr="00B03342">
        <w:rPr>
          <w:rFonts w:ascii="Arial" w:hAnsi="Arial" w:cs="Arial"/>
          <w:color w:val="000000"/>
          <w:lang w:eastAsia="sr-Latn-RS"/>
        </w:rPr>
        <w:t> у гориву по сату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CO2, fuel</w:t>
      </w:r>
      <w:r w:rsidRPr="00B03342">
        <w:rPr>
          <w:rFonts w:ascii="Arial" w:hAnsi="Arial" w:cs="Arial"/>
          <w:color w:val="000000"/>
          <w:lang w:eastAsia="sr-Latn-RS"/>
        </w:rPr>
        <w:t> или </w:t>
      </w:r>
      <w:r w:rsidRPr="00B03342">
        <w:rPr>
          <w:rFonts w:ascii="Arial" w:hAnsi="Arial" w:cs="Arial"/>
          <w:color w:val="000000"/>
          <w:vertAlign w:val="subscript"/>
          <w:lang w:eastAsia="sr-Latn-RS"/>
        </w:rPr>
        <w:t>fuel</w:t>
      </w:r>
      <w:r w:rsidRPr="00B03342">
        <w:rPr>
          <w:rFonts w:ascii="Arial" w:hAnsi="Arial" w:cs="Arial"/>
          <w:color w:val="000000"/>
          <w:lang w:eastAsia="sr-Latn-RS"/>
        </w:rPr>
        <w:t> [g/h] обрачунава се за сваки појединачни испитни начин рада из мерења тренутне брзине масеног протока CO</w:t>
      </w:r>
      <w:r w:rsidRPr="00B03342">
        <w:rPr>
          <w:rFonts w:ascii="Arial" w:hAnsi="Arial" w:cs="Arial"/>
          <w:color w:val="000000"/>
          <w:vertAlign w:val="subscript"/>
          <w:lang w:eastAsia="sr-Latn-RS"/>
        </w:rPr>
        <w:t>2 fuel</w:t>
      </w:r>
      <w:r w:rsidRPr="00B03342">
        <w:rPr>
          <w:rFonts w:ascii="Arial" w:hAnsi="Arial" w:cs="Arial"/>
          <w:color w:val="000000"/>
          <w:lang w:eastAsia="sr-Latn-RS"/>
        </w:rPr>
        <w:t> [g/s] из једначине (9-10) спроведених током периода узорковања појединог испитног начина помоћу једначине (9-13):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53F24B0" wp14:editId="626F2563">
            <wp:extent cx="5057140" cy="604520"/>
            <wp:effectExtent l="0" t="0" r="0" b="5080"/>
            <wp:docPr id="280" name="Picture 280" descr="The image shows a mathematical formula expressing the mass flow rate of CO2 from fuel as the sum of individual CO2 fuel components divided by the product of 3600 and 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image shows a mathematical formula expressing the mass flow rate of CO2 from fuel as the sum of individual CO2 fuel components divided by the product of 3600 and N.&#10;&#10;Description generated by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7140" cy="60452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 број мерења спроведених током испитног начина рада [–]</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 Просечна брзина масеног протока емисије CO</w:t>
      </w:r>
      <w:r w:rsidRPr="00B03342">
        <w:rPr>
          <w:rFonts w:ascii="Arial" w:hAnsi="Arial" w:cs="Arial"/>
          <w:color w:val="000000"/>
          <w:vertAlign w:val="subscript"/>
          <w:lang w:eastAsia="sr-Latn-RS"/>
        </w:rPr>
        <w:t>2</w:t>
      </w:r>
      <w:r w:rsidRPr="00B03342">
        <w:rPr>
          <w:rFonts w:ascii="Arial" w:hAnsi="Arial" w:cs="Arial"/>
          <w:color w:val="000000"/>
          <w:lang w:eastAsia="sr-Latn-RS"/>
        </w:rPr>
        <w:t>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или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[g/h] за сваки појединачни испитни начин рада у једначинама (7-64) или (7-131) Прилога 10 ове уредбе за сврху обрачуна резултата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[g/kWh] специфичних емисија у тим се једначинама замењује коригованом вредношћу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CO2, corr</w:t>
      </w:r>
      <w:r w:rsidRPr="00B03342">
        <w:rPr>
          <w:rFonts w:ascii="Arial" w:hAnsi="Arial" w:cs="Arial"/>
          <w:color w:val="000000"/>
          <w:lang w:eastAsia="sr-Latn-RS"/>
        </w:rPr>
        <w:t> или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CO2, corr</w:t>
      </w:r>
      <w:r w:rsidRPr="00B03342">
        <w:rPr>
          <w:rFonts w:ascii="Arial" w:hAnsi="Arial" w:cs="Arial"/>
          <w:color w:val="000000"/>
          <w:lang w:eastAsia="sr-Latn-RS"/>
        </w:rPr>
        <w:t> [g/h] за сваки појединачни испитни начин добијен на основу једначине (9-14) или (9-15).</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714"/>
        <w:gridCol w:w="178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CO2, corr</w:t>
            </w:r>
            <w:r w:rsidRPr="00B03342">
              <w:rPr>
                <w:rFonts w:ascii="Arial" w:hAnsi="Arial" w:cs="Arial"/>
                <w:lang w:eastAsia="sr-Latn-RS"/>
              </w:rPr>
              <w:t> = </w:t>
            </w: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CO2</w:t>
            </w:r>
            <w:r w:rsidRPr="00B03342">
              <w:rPr>
                <w:rFonts w:ascii="Arial" w:hAnsi="Arial" w:cs="Arial"/>
                <w:lang w:eastAsia="sr-Latn-RS"/>
              </w:rPr>
              <w:t> – </w:t>
            </w: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CO2, 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 corr</w:t>
            </w:r>
            <w:r w:rsidRPr="00B03342">
              <w:rPr>
                <w:rFonts w:ascii="Arial" w:hAnsi="Arial" w:cs="Arial"/>
                <w:lang w:eastAsia="sr-Latn-RS"/>
              </w:rPr>
              <w:t> =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w:t>
            </w:r>
            <w:r w:rsidRPr="00B03342">
              <w:rPr>
                <w:rFonts w:ascii="Arial" w:hAnsi="Arial" w:cs="Arial"/>
                <w:lang w:eastAsia="sr-Latn-RS"/>
              </w:rPr>
              <w:t>– </w:t>
            </w: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CO2, 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8</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Спровођење испитивања емисије и захтеви за мерну опрему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прилогу описује метода утврђивања гасовитих и чврстих загађујућих материја из мотора који се испитује те спецификације које се односе на мерну опрему. Од одељка 6. нумерисање овог прилога одговара Глобалном техничком правилнику бр. 11 (*1) (GTR бр. 11) и Прилогу 4.B низу измена 04 Правилника UNECE-а бр. 96 (*2). Међутим, неке тачке GTR-а бр. 11. нису потребне у овом прилогу или су измењене у складу с техничким напретком.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Глобални технички правилник бр. 11 о емисијама мотора пољопривредних и шумарских трактора и недрумских покретних машина на основу Глобалног регистра, састављен 18. новембра 2004, на основу члана 6. Споразума о утврђивању глобалних техничких прописа за возила на тачковима, опрему и делове који могу бити уграђени и/или употребљени у возилима на точковима.”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Правилник бр. 96 Привредне комисије Уједињених нација за Европу (UNECE) – Уједначене одредбе у вези с хомологацијом мотора с компресионим паљењем (C.I.) који се уграђују у пољопривредне и шумарске тракторе те у недрумске погонске машине, с обзиром на емисије загађивача из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Општи преглед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прилог садржи техничке одредбе потребне за испитивање емисија наведене у наставку. Додатне одредбе наведене су у тачки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Одељак 5: Захтеви у погледу радног учинка, укључујући одређивање испитних брзина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Одељак 6: Услови испитивања, укључујући методу за узимање у обзир емисија гасова из кућишта коленастог вратила, методу за утврђивање и узимање у обзир континуиране и неучестале регенерације система за накнаду обраду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 Одељак 7: Испитни поступци, укључујући мапирање мотора, припрему испитног циклуса и поступак спровођења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Одељак 8: Мерни поступци, укључујући умеравање и проверу рада инструмената те проверу исправности инструмента за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Одељак 9: Мерна опрема, укључујући мерне инструменте, поступке разређивања, поступке узорковања те аналитичке гасове и стандарде масе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Додатак 1: Поступак мерења броја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Повезани прилози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1"/>
        <w:gridCol w:w="6829"/>
        <w:gridCol w:w="187"/>
        <w:gridCol w:w="321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Еволуација и обрачун података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Прилог 10 ове уредбе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Испитни поступци за моторе с двојним горивом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Прилог 9 ове уредбе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Прилог 7 ове уредбе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Испитни циклуси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Прилог 5 ове уредбе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који се испитују морају испуњавати захтеве у погледу радног учинка утврђене Одељком 5. ако се испитивање спроводи у складу с условима испитивања утврђеним Одељком 6. те у складу с испитним поступцима утврђеним у Одељку 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Захтеви у погледу радног учинка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5.1. Емисије гасовитих и чврстих загађујућих материја те CO</w:t>
      </w:r>
      <w:r w:rsidRPr="00B03342">
        <w:rPr>
          <w:rFonts w:ascii="Arial" w:hAnsi="Arial" w:cs="Arial"/>
          <w:color w:val="000000"/>
          <w:vertAlign w:val="subscript"/>
          <w:lang w:eastAsia="sr-Latn-RS"/>
        </w:rPr>
        <w:t>2</w:t>
      </w:r>
      <w:r w:rsidRPr="00B03342">
        <w:rPr>
          <w:rFonts w:ascii="Arial" w:hAnsi="Arial" w:cs="Arial"/>
          <w:color w:val="000000"/>
          <w:lang w:eastAsia="sr-Latn-RS"/>
        </w:rPr>
        <w:t> и NH</w:t>
      </w:r>
      <w:r w:rsidRPr="00B03342">
        <w:rPr>
          <w:rFonts w:ascii="Arial" w:hAnsi="Arial" w:cs="Arial"/>
          <w:color w:val="000000"/>
          <w:vertAlign w:val="subscript"/>
          <w:lang w:eastAsia="sr-Latn-RS"/>
        </w:rPr>
        <w:t>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Загађујуће су материја: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азотови оксиди , NOx;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угљо-водоници, изражени као укупни угљо-водоници, HC или THC;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угљо-моноксид, CO;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честице материја, PM;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број честица, PN.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Измерене вредности гасовитих и чврстих загађујућих материја и CO2 у ауспуху мотора односе се на специфичне ефективне емисије у грамима по киловатчасу (g/kWh) или броју по киловатчасу (#/кWh) за PN.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Мере се оне гасовите и чврсте загађујуће материје чије су граничне вредности примењиве на поткатегорију мотора који се испитује. Резултати који обухватају: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емисије из кућишта коленастог вратила у складу с одељком 6.10. овог прилога, према 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факторе прилагођивања за неучесталу регенерацију система за накнадну обраду одређени у складу с одељком 6.6. овог прилога, према потреби;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фактор погоршања, као последњи корак прорачуна, утврђен у складу с Прилогом 11 ове уредбе, не смеју прећи примењиве граничне вредности. CO2 се мери и наводи у извештају за све поткатегорије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се морају утврђивати на основу радних циклуса (стационарни и/или динамички испитни циклуси), како је описано у Одељку 7. и у Прилога 5 ове уредбе. Мерни системи морају проћи провере умерености и рада утврђене Одељком 8. које се обављају мерном опремом описаном у Одељку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Хомологацијско тело може одобрити друге системе или анализаторе ако се покаже да дају еквивалентне резултате у складу с тачком 5.1.1 овог прилога. Резултати се рачунају у складу са захтевима из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5.1.1. Еквивалентност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Одређивање еквивалентности система мора се базирати на корелационој студији седам (или више) парова узорака из разматраног система и једног од система из овог прилога. „Резултати” се односе на специфичну вредност емисије пондерисану према циклусу. Корелационо испитивање спроводи се у истој лабораторији, испитној ћелији те на истом мотору, а пожељно је да се спроводи истовремено. Еквивалентност просечних вредности пара узорка добијених у горе описаној испитној ћелији лабораторије и стањима мотора мора се утврдити F-тестом и t-тестом како је описано у Додатку 3. Прилога 10 ове уредбе Нетипичне вредности одређују се у складу с стандардом ISO 5725 и искључују из базе података. Системе за Корелационо испитивање мора одобрити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 Општи захтеви у погледу испитних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5.2.1. Хомологацијско испитивање спроводи се применом одговарајућег NRSC-a и, према потреби, NRTC-a или LSI-NRTC-a, одређеним у члану 24. и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5.2.2. Техничке спецификације и карактеристике NRSC-а утврђене су у Додатку 1. (NRSC с дискретним начинима рада) и Додатку 2. (модални NRSC с прелазима) Прилога 5 ове уредбе. Према избору произвођача, NRSC испитивање може се спровести као NRSC с дискретним начинима рада или, кад је то могуће, као модални NRSC с прелазима како је утврђено тачком 7.4.1.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5.2.3. Техничке спецификације и карактеристике NRTC-a и LSI-NRTC-a утврђене су Додатком 3. Прилога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5.2.4. Испитни циклуси наведени у тачки 7.4. овог прилога и Прилогу 5 ове уредбе. базирају се на процентима највећих вредности закретног момента или снаге и испитних брзина које треба утврдити ради правилног спровођења испитних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100 % брзине (највећа испитна брзина (MTS) или номинална брзина)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међубрзина како је одређено у тачки 5.2.5.4.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брзине обртања у празном ходу како је одређено у тачки 5.2.5.5.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Одређивање испитних брзина утврђено је тачком 5.2.5, а употреба закретног момента и снаге тачком 5.2.6.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 Испитне брзине обртања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5.2.5.1. Највећа испитна брзина (MTS)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MTS се обрачунава у складу с тачком 5.2.5.1.1. или тачком 5.2.5.1.3.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5.2.5.1.1. „5.2.5.1.1. Прорачун MTS-а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сврху прорачуна MTS-а поступак израде карактеристичног дијаграма у динамичком испитивању врши се у складу с тачком 7.4 овог прилога. MTS се затим одређује на основу односа вредности брзине обртаја мотора и снаге из карактеристичног дијаграма. MTS се прорачунава једном од следећих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(а)прорачун на основу вредности ниског и високог брзине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74"/>
        <w:gridCol w:w="182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MTS = n</w:t>
            </w:r>
            <w:r w:rsidRPr="00B03342">
              <w:rPr>
                <w:rFonts w:ascii="Arial" w:hAnsi="Arial" w:cs="Arial"/>
                <w:vertAlign w:val="subscript"/>
                <w:lang w:eastAsia="sr-Latn-RS"/>
              </w:rPr>
              <w:t>lo </w:t>
            </w:r>
            <w:r w:rsidRPr="00B03342">
              <w:rPr>
                <w:rFonts w:ascii="Arial" w:hAnsi="Arial" w:cs="Arial"/>
                <w:lang w:eastAsia="sr-Latn-RS"/>
              </w:rPr>
              <w:t>+ 0,95 (n</w:t>
            </w:r>
            <w:r w:rsidRPr="00B03342">
              <w:rPr>
                <w:rFonts w:ascii="Arial" w:hAnsi="Arial" w:cs="Arial"/>
                <w:vertAlign w:val="subscript"/>
                <w:lang w:eastAsia="sr-Latn-RS"/>
              </w:rPr>
              <w:t>hi</w:t>
            </w:r>
            <w:r w:rsidRPr="00B03342">
              <w:rPr>
                <w:rFonts w:ascii="Arial" w:hAnsi="Arial" w:cs="Arial"/>
                <w:lang w:eastAsia="sr-Latn-RS"/>
              </w:rPr>
              <w:t> - n</w:t>
            </w:r>
            <w:r w:rsidRPr="00B03342">
              <w:rPr>
                <w:rFonts w:ascii="Arial" w:hAnsi="Arial" w:cs="Arial"/>
                <w:vertAlign w:val="subscript"/>
                <w:lang w:eastAsia="sr-Latn-RS"/>
              </w:rPr>
              <w:t>lo</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hi</w:t>
      </w:r>
      <w:r w:rsidRPr="00B03342">
        <w:rPr>
          <w:rFonts w:ascii="Arial" w:hAnsi="Arial" w:cs="Arial"/>
          <w:color w:val="000000"/>
          <w:lang w:eastAsia="sr-Latn-RS"/>
        </w:rPr>
        <w:t> висока брзина како је дефинисано у члану 1. ставу 12,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lo </w:t>
      </w:r>
      <w:r w:rsidRPr="00B03342">
        <w:rPr>
          <w:rFonts w:ascii="Arial" w:hAnsi="Arial" w:cs="Arial"/>
          <w:color w:val="000000"/>
          <w:lang w:eastAsia="sr-Latn-RS"/>
        </w:rPr>
        <w:t>ниска брзина како је дефинисано у члану 1. ставу 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(б)прорачун на основу методе најдужег вектора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83"/>
        <w:gridCol w:w="381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MTS = n</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i</w:t>
      </w:r>
      <w:r w:rsidRPr="00B03342">
        <w:rPr>
          <w:rFonts w:ascii="Arial" w:hAnsi="Arial" w:cs="Arial"/>
          <w:color w:val="000000"/>
          <w:lang w:eastAsia="sr-Latn-RS"/>
        </w:rPr>
        <w:t> просечна вредност најмањих и највећих брзина при којој је вредност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једнака 98% износа максималне вредности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постоји само једна брзина при којој је вредност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једнака 98% износа максималне вредности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83"/>
        <w:gridCol w:w="381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MTS = n</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i </w:t>
      </w:r>
      <w:r w:rsidRPr="00B03342">
        <w:rPr>
          <w:rFonts w:ascii="Arial" w:hAnsi="Arial" w:cs="Arial"/>
          <w:color w:val="000000"/>
          <w:lang w:eastAsia="sr-Latn-RS"/>
        </w:rPr>
        <w:t>брзина при којој се јавља максимална вредност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брзина обртаја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варијабла индексирања која представља једну забележену вредност карактеристичног дијаграма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norm i </w:t>
      </w:r>
      <w:r w:rsidRPr="00B03342">
        <w:rPr>
          <w:rFonts w:ascii="Arial" w:hAnsi="Arial" w:cs="Arial"/>
          <w:color w:val="000000"/>
          <w:lang w:eastAsia="sr-Latn-RS"/>
        </w:rPr>
        <w:t>брзина мотора стандардлизована дељењем са n</w:t>
      </w:r>
      <w:r w:rsidRPr="00B03342">
        <w:rPr>
          <w:rFonts w:ascii="Arial" w:hAnsi="Arial" w:cs="Arial"/>
          <w:color w:val="000000"/>
          <w:vertAlign w:val="subscript"/>
          <w:lang w:eastAsia="sr-Latn-RS"/>
        </w:rPr>
        <w:t>Pmax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P</w:t>
      </w:r>
      <w:r w:rsidRPr="00B03342">
        <w:rPr>
          <w:rFonts w:ascii="Arial" w:hAnsi="Arial" w:cs="Arial"/>
          <w:color w:val="000000"/>
          <w:vertAlign w:val="subscript"/>
          <w:lang w:eastAsia="sr-Latn-RS"/>
        </w:rPr>
        <w:t>norm i </w:t>
      </w:r>
      <w:r w:rsidRPr="00B03342">
        <w:rPr>
          <w:rFonts w:ascii="Arial" w:hAnsi="Arial" w:cs="Arial"/>
          <w:color w:val="000000"/>
          <w:lang w:eastAsia="sr-Latn-RS"/>
        </w:rPr>
        <w:t>снага мотора стандардлизована дељењем са Pmax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Pmax</w:t>
      </w:r>
      <w:r w:rsidRPr="00B03342">
        <w:rPr>
          <w:rFonts w:ascii="Arial" w:hAnsi="Arial" w:cs="Arial"/>
          <w:color w:val="000000"/>
          <w:lang w:eastAsia="sr-Latn-RS"/>
        </w:rPr>
        <w:t> просек најмање и највеће брзине при којој је снага једнака 98 % вредности Pmax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линеарна интерполација употребљава се између вредности из карактеристичног дијаграма за одређивање: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брзина при којима је снага једнака 98 % вредности Pmax, ако постоји само једна брзина при којој је снага једнака 98 % вредности Pmax, n</w:t>
      </w:r>
      <w:r w:rsidRPr="00B03342">
        <w:rPr>
          <w:rFonts w:ascii="Arial" w:hAnsi="Arial" w:cs="Arial"/>
          <w:color w:val="000000"/>
          <w:vertAlign w:val="subscript"/>
          <w:lang w:eastAsia="sr-Latn-RS"/>
        </w:rPr>
        <w:t>Pmax</w:t>
      </w:r>
      <w:r w:rsidRPr="00B03342">
        <w:rPr>
          <w:rFonts w:ascii="Arial" w:hAnsi="Arial" w:cs="Arial"/>
          <w:color w:val="000000"/>
          <w:lang w:eastAsia="sr-Latn-RS"/>
        </w:rPr>
        <w:t> мора бити брзина при којој се јавља Pmax;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брзина при којој је вредност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једнака 98 % максималне вредности (n</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 + P</w:t>
      </w:r>
      <w:r w:rsidRPr="00B03342">
        <w:rPr>
          <w:rFonts w:ascii="Arial" w:hAnsi="Arial" w:cs="Arial"/>
          <w:color w:val="000000"/>
          <w:vertAlign w:val="superscript"/>
          <w:lang w:eastAsia="sr-Latn-RS"/>
        </w:rPr>
        <w:t>2</w:t>
      </w:r>
      <w:r w:rsidRPr="00B03342">
        <w:rPr>
          <w:rFonts w:ascii="Arial" w:hAnsi="Arial" w:cs="Arial"/>
          <w:color w:val="000000"/>
          <w:vertAlign w:val="subscript"/>
          <w:lang w:eastAsia="sr-Latn-RS"/>
        </w:rPr>
        <w:t>norm i</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5.2.5.1.2. Употреба декларисаног MTS-a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је MTS обрачунат у складу с тачком 5.2.5.1.1. или 5.2.5.1.3. овог прилога унутар ± 3 % MTS-а који је декларисао произвођач, за испитивање емисија може се употребити је декларисани MTS. Ако се допуштено одступање прекорачи, за испитивање емисија мора се употребити измерени MTS.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5.2.5.1.3. Употреба прилагођеног MTS-a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падајући део криве пуног оптерећења има јако стрм нагиб, то може проузроковати проблеме у вожњи 105 % брзина у NRTC-у. У том је случају допуштено, уз претходно одобрење техничке службе, употребити алтернативну вредност MTS-а одређену једном од следећих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MTS се може мало смањити (максимално 3%) како би се омогућило правилно спровођење NRTC-а;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обрачунавањем алтернативног MTS-а помоћу једначине(6-4):</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45"/>
        <w:gridCol w:w="14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MTS = ((n </w:t>
            </w:r>
            <w:r w:rsidRPr="00B03342">
              <w:rPr>
                <w:rFonts w:ascii="Arial" w:hAnsi="Arial" w:cs="Arial"/>
                <w:vertAlign w:val="subscript"/>
                <w:lang w:eastAsia="sr-Latn-RS"/>
              </w:rPr>
              <w:t>max</w:t>
            </w:r>
            <w:r w:rsidRPr="00B03342">
              <w:rPr>
                <w:rFonts w:ascii="Arial" w:hAnsi="Arial" w:cs="Arial"/>
                <w:lang w:eastAsia="sr-Latn-RS"/>
              </w:rPr>
              <w:t> – n </w:t>
            </w:r>
            <w:r w:rsidRPr="00B03342">
              <w:rPr>
                <w:rFonts w:ascii="Arial" w:hAnsi="Arial" w:cs="Arial"/>
                <w:vertAlign w:val="subscript"/>
                <w:lang w:eastAsia="sr-Latn-RS"/>
              </w:rPr>
              <w:t>idle</w:t>
            </w:r>
            <w:r w:rsidRPr="00B03342">
              <w:rPr>
                <w:rFonts w:ascii="Arial" w:hAnsi="Arial" w:cs="Arial"/>
                <w:lang w:eastAsia="sr-Latn-RS"/>
              </w:rPr>
              <w:t>)/1,05) + n </w:t>
            </w:r>
            <w:r w:rsidRPr="00B03342">
              <w:rPr>
                <w:rFonts w:ascii="Arial" w:hAnsi="Arial" w:cs="Arial"/>
                <w:vertAlign w:val="subscript"/>
                <w:lang w:eastAsia="sr-Latn-RS"/>
              </w:rPr>
              <w:t>idle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(6-4)</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 </w:t>
      </w:r>
      <w:r w:rsidRPr="00B03342">
        <w:rPr>
          <w:rFonts w:ascii="Arial" w:hAnsi="Arial" w:cs="Arial"/>
          <w:color w:val="000000"/>
          <w:vertAlign w:val="subscript"/>
          <w:lang w:eastAsia="sr-Latn-RS"/>
        </w:rPr>
        <w:t>max</w:t>
      </w:r>
      <w:r w:rsidRPr="00B03342">
        <w:rPr>
          <w:rFonts w:ascii="Arial" w:hAnsi="Arial" w:cs="Arial"/>
          <w:color w:val="000000"/>
          <w:lang w:eastAsia="sr-Latn-RS"/>
        </w:rPr>
        <w:t> = брзина обртања мотора при којој функција регулатора мотора регулише брзину обртања тако да је наредба руковаоца на максимуму а примењено оптерећење нула („максимална брзина без оптерећења”)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 </w:t>
      </w:r>
      <w:r w:rsidRPr="00B03342">
        <w:rPr>
          <w:rFonts w:ascii="Arial" w:hAnsi="Arial" w:cs="Arial"/>
          <w:color w:val="000000"/>
          <w:vertAlign w:val="subscript"/>
          <w:lang w:eastAsia="sr-Latn-RS"/>
        </w:rPr>
        <w:t>idle</w:t>
      </w:r>
      <w:r w:rsidRPr="00B03342">
        <w:rPr>
          <w:rFonts w:ascii="Arial" w:hAnsi="Arial" w:cs="Arial"/>
          <w:color w:val="000000"/>
          <w:lang w:eastAsia="sr-Latn-RS"/>
        </w:rPr>
        <w:t> = брзина обртања у празном ходу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5.2.5.2. Номинална брзина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Номинална брзина за моторе промењиве брзине које треба подвргнути испитивању емисија који нису они који се испитују NRSC-ом при сталној брзини, дефинисаном у члану 1. став 31. ове уредбе, мора се одредити на основу примењивог поступка мапирања утврђеног у тачки 7.6. овог прилога. Номиналну брзину за моторе промењиве брзине испитиване NRSC-ом при сталној брзини мора декларисати произвођач на основу карактеристика мотора. Номиналну брзину за моторе сталне брзине мора декларисати произвођач на основу карактеристика регулатора. Ако се испитују емисије типа мотора с алтернативним брзинама, мора се декларисати и испитати свака алтернативна брзина.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је номинална брзина одређена на основу поступка мапирања из Одељка 7.6. унутар ± 150 min</w:t>
      </w:r>
      <w:r w:rsidRPr="00B03342">
        <w:rPr>
          <w:rFonts w:ascii="Arial" w:hAnsi="Arial" w:cs="Arial"/>
          <w:color w:val="000000"/>
          <w:vertAlign w:val="superscript"/>
          <w:lang w:eastAsia="sr-Latn-RS"/>
        </w:rPr>
        <w:t>– 1</w:t>
      </w:r>
      <w:r w:rsidRPr="00B03342">
        <w:rPr>
          <w:rFonts w:ascii="Arial" w:hAnsi="Arial" w:cs="Arial"/>
          <w:color w:val="000000"/>
          <w:lang w:eastAsia="sr-Latn-RS"/>
        </w:rPr>
        <w:t> вредности коју је декларисао произвођач за моторе категорије NRS с регулатором или унутар ± 350 min</w:t>
      </w:r>
      <w:r w:rsidRPr="00B03342">
        <w:rPr>
          <w:rFonts w:ascii="Arial" w:hAnsi="Arial" w:cs="Arial"/>
          <w:color w:val="000000"/>
          <w:vertAlign w:val="superscript"/>
          <w:lang w:eastAsia="sr-Latn-RS"/>
        </w:rPr>
        <w:t>– 1</w:t>
      </w:r>
      <w:r w:rsidRPr="00B03342">
        <w:rPr>
          <w:rFonts w:ascii="Arial" w:hAnsi="Arial" w:cs="Arial"/>
          <w:color w:val="000000"/>
          <w:lang w:eastAsia="sr-Latn-RS"/>
        </w:rPr>
        <w:t> или ± 4 % за моторе категорије NRS без регулатора, зависно што је мање, или унутар ± 100 min</w:t>
      </w:r>
      <w:r w:rsidRPr="00B03342">
        <w:rPr>
          <w:rFonts w:ascii="Arial" w:hAnsi="Arial" w:cs="Arial"/>
          <w:color w:val="000000"/>
          <w:vertAlign w:val="superscript"/>
          <w:lang w:eastAsia="sr-Latn-RS"/>
        </w:rPr>
        <w:t>– 1</w:t>
      </w:r>
      <w:r w:rsidRPr="00B03342">
        <w:rPr>
          <w:rFonts w:ascii="Arial" w:hAnsi="Arial" w:cs="Arial"/>
          <w:color w:val="000000"/>
          <w:lang w:eastAsia="sr-Latn-RS"/>
        </w:rPr>
        <w:t> за све остале категорије мотора, може се употребити је декларисана вредност. Ако се допуштено одступање прекорачи, мора се употребити номинална брзина одређена на основу мапирања.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моторе категорије NRSh 100 % испитна брзина мора бити унутар ± 350 min. номиналне брзине према произвођачевој декларацији.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5.2.5.3. Брзина обртања при максималном закретном моменту за моторе променљиве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Према потреби, брзина обртаја при максималном обртном моменту одређена на основу криве максималног обртног момента утврђене на основу примењивог поступка мапирања мотора у тачки 7.6.1. или тачки 7.6.2. овог прилога мора бити једна од следећих брзина: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брзина при којој је забележен највећи закретни момент;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просек најнижих и највиших брзина при којима је закретни момент једнак 98 % максималног закретног момента. Ако је потребно, за утврђивање брзина при којима је закретни момент једнак 98 % максималног закретног момента мора се употребити линеарна интерполација.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брзина обртања при максималном закретном моменту одређена на основу криве максималног закретног момента унутар ± 4 % брзине обртања при максималном закретном моменту коју је навео произвођач за моторe категорије NRS или унутар ± 2,5 % брзине обртања при максималном закретном моменту коју је навео произвођач за све остале категорије мотора, декларисана вредност може се употребљавати за потребе ове уредбе. Ако се одступање пређе, мора се употребити брзина обртања при максималном закретном моменту одређена на основу криве максималног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5.2.5.4. Међубрзина обртања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Међубрзина мора бити у складу с једним од следећих захтева: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моторе који су конструисани за рад у распону брзина на криви закретног момента при пуном оптерећењу међубрзина мора бити брзина обртања при максималном закретном моменту ако се постигне између 60 и 75 %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брзина обртања при максималном закретном моменту износи мање од 60 % номиналне брзине, међубрзина износи 60%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је брзина обртања при максималном закретном моменту већа од 75 % номиналне брзине, тада је међубрзина 75% номиналне брзине. Ако мотор може радити само на брзинама већима од 75% номиналне брзине, међубрзина је најнижа брзина при којој мотор може радити;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за моторе који нису конструисани за рад у распону брзина на криви закретног момента при пуном оптерећењу у условима у стабилном стању, међубрзина износи између 60 и 70 %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за моторе који се испитују на циклусу G1, осим за моторе категорије ATS, међубрзина износи 85 %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за моторе категорије ATS који се испитују у циклусу G1, међубрзина износи 60 или 85 % номиналне брзине, зависно о томе која је брзина ближа стварној брзини обртања при максималном закретном моменту.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се за 100 % испитне брзине уместо номиналне брзине употребљава MTS, MTS замењује номиналну брзину и при одређивању међубрзине.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5.2.5.5. Брзина обртања у празном ходу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обртања у празном ходу најнижа је брзина мотора при минималном оптерећењу (већем од нултог оптерећења или једнаком нултом оптерећењу) при којој функција регулатора мотора контролише брзину обртања мотора. Ако мотор нема функцију регулатора која контролише брзину обртања у празном ходу, брзина обртања у празном ходу значи вредност коју наведе произвођач за најнижу могућу брзину обртања мотора при минималном оптерећењу. Брзина обртања у празном ходу топлог мотора је брзина обртања у празном ходу загрејаног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5.2.5.6. Испитна брзина за моторе сталне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Регулатори мотора сталне брзине не морају брзину увек одржавати једнако сталном. Обично се брзина може смањити (за 0,1 до 10 %) испод брзине при нултом оптерећењу тако да се минимална брзина постигне близу тачке максималне снаге мотора. Испитна брзина за моторе сталне брзине може се задати регулатором уграђеним на мотор или наредбом за брзину на испитном постољу ако то представља регулатор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употребљава регулатор уграђен на мотор, 100 % брзине мора бити регулаторска брзина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за симулацију регулатора употребљава сигнал захтева за брзину на испитном постољу, 100 % брзине при нултом оптерећењу мора бити брзина без оптерећења коју је произвођач навео за ту поставку регулатора, а 100 % брзине при пуном оптерећењу мора бити номинална брзина за ту поставку регулатора. За одређивање брзине за остале начине испитивања мора се употребити интерполација.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регулатор има поставку изохроног рада или ако се номинална брзина и брзина без оптерећења које је је декларисао произвођач разликују за највише 3%, за 100% брзине при свим тачкама оптерећења сме се употребљавати само једна вредност коју је је декларисао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5.2.6. Закретни момент и снага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5.2.6.1. Закретни момент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Вредности закретног момента у испитним циклусима проценти су који, за предметни начин испитивања, представљају једну од следећих ставки: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однос захтеваног закретног момента и максималног могућег закретног момента при одређеној испитној брзини (сви циклуси осим D2 и Е2);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однос захтеваног закретног момента и закретног момента који одговара номиналној нето снази коју је пријавио произвођач (циклуси D2 и Е2).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5.2.6.2. Снага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Вредности снаге у испитним циклусима проценти су који, за предметни начин испитивања, представљају једну од следећих ставки: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испитни циклус Е3 вредности снаге проценти су максималне нето снаге при 100 % брзине јер се тај циклус базира на теоретској карактеристичној криви пропелера за пловила које покрећу тешки мотори без ограничења дужине;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испитни циклус F вредности снаге проценти су максималне нето снаге при датој испитној брзини, осим за брзину обртања у празном ходу кад су проценат максималне нето снаге при 100 %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Услови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 Лабораторијски услови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Морају се измерити апсолутна температура (Т </w:t>
      </w:r>
      <w:r w:rsidRPr="00B03342">
        <w:rPr>
          <w:rFonts w:ascii="Arial" w:hAnsi="Arial" w:cs="Arial"/>
          <w:color w:val="000000"/>
          <w:vertAlign w:val="subscript"/>
          <w:lang w:eastAsia="sr-Latn-RS"/>
        </w:rPr>
        <w:t>а</w:t>
      </w:r>
      <w:r w:rsidRPr="00B03342">
        <w:rPr>
          <w:rFonts w:ascii="Arial" w:hAnsi="Arial" w:cs="Arial"/>
          <w:color w:val="000000"/>
          <w:lang w:eastAsia="sr-Latn-RS"/>
        </w:rPr>
        <w:t>) ваздуха у мотору на усису у Келвинима и суви атмосферски притисак (p </w:t>
      </w:r>
      <w:r w:rsidRPr="00B03342">
        <w:rPr>
          <w:rFonts w:ascii="Arial" w:hAnsi="Arial" w:cs="Arial"/>
          <w:color w:val="000000"/>
          <w:vertAlign w:val="subscript"/>
          <w:lang w:eastAsia="sr-Latn-RS"/>
        </w:rPr>
        <w:t>s</w:t>
      </w:r>
      <w:r w:rsidRPr="00B03342">
        <w:rPr>
          <w:rFonts w:ascii="Arial" w:hAnsi="Arial" w:cs="Arial"/>
          <w:color w:val="000000"/>
          <w:lang w:eastAsia="sr-Latn-RS"/>
        </w:rPr>
        <w:t>) у kPa, а параметар f </w:t>
      </w:r>
      <w:r w:rsidRPr="00B03342">
        <w:rPr>
          <w:rFonts w:ascii="Arial" w:hAnsi="Arial" w:cs="Arial"/>
          <w:color w:val="000000"/>
          <w:vertAlign w:val="subscript"/>
          <w:lang w:eastAsia="sr-Latn-RS"/>
        </w:rPr>
        <w:t>a</w:t>
      </w:r>
      <w:r w:rsidRPr="00B03342">
        <w:rPr>
          <w:rFonts w:ascii="Arial" w:hAnsi="Arial" w:cs="Arial"/>
          <w:color w:val="000000"/>
          <w:lang w:eastAsia="sr-Latn-RS"/>
        </w:rPr>
        <w:t> мора се одредити у складу с одредбама у наставку и једначином (6-5) или (6-6). Ако се атмосферски притисак мери у воду, мора се осигурати да су губици притисака на прелазу између атмосфере и места мерења занемариви, а промене у статичком притиску вода које су резултат протока узете у обзир. Ако је реч о моторима с више цилиндара који имају одвојене групе издувних грана, као што је случај код мотора с „V” распоредом, мора се узети просечна температура одвојених група. Параметар fa наводи се уз резултате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с природним усисом и мотори с механичким преднабијањем:</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CFA42AC" wp14:editId="07DC960E">
            <wp:extent cx="5057140" cy="516890"/>
            <wp:effectExtent l="0" t="0" r="0" b="0"/>
            <wp:docPr id="279" name="Picture 279" descr="The formula shows f sub a equals the fraction 99 over P sub s multiplied by the quantity T sub a over 298 raised to the power of 0.7 with the equation number 6-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formula shows f sub a equals the fraction 99 over P sub s multiplied by the quantity T sub a over 298 raised to the power of 0.7 with the equation number 6-5.&#10;&#10;Description generated by A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7140" cy="516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с турбодувачима с хлађењем улазног ваздуха или без њега: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4755B32" wp14:editId="15386B47">
            <wp:extent cx="5057140" cy="516890"/>
            <wp:effectExtent l="0" t="0" r="0" b="0"/>
            <wp:docPr id="278" name="Picture 278" descr="The formula shows fa as the product of the ratio of 99 to Pa raised to the power of 0.7 and the ratio of Ta to 298 raised to the power of 1.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formula shows fa as the product of the ratio of 99 to Pa raised to the power of 0.7 and the ratio of Ta to 298 raised to the power of 1.5.&#10;&#10;Description generated by A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57140" cy="516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6.1.1. Да би се испитивање сматрало важећим, морају бити испуњени следећи услови: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f</w:t>
      </w:r>
      <w:r w:rsidRPr="00B03342">
        <w:rPr>
          <w:rFonts w:ascii="Arial" w:hAnsi="Arial" w:cs="Arial"/>
          <w:color w:val="000000"/>
          <w:vertAlign w:val="subscript"/>
          <w:lang w:eastAsia="sr-Latn-RS"/>
        </w:rPr>
        <w:t>a</w:t>
      </w:r>
      <w:r w:rsidRPr="00B03342">
        <w:rPr>
          <w:rFonts w:ascii="Arial" w:hAnsi="Arial" w:cs="Arial"/>
          <w:color w:val="000000"/>
          <w:lang w:eastAsia="sr-Latn-RS"/>
        </w:rPr>
        <w:t> мора бити унутар распона 0,93 ≤ f a ≤ 1,07, осим како је допуштено тач. 6.1.2. и 6.1.4.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б) температура улазног ваздуха мора се одржавати на 298 ± 5 K (25 ± 5°C), измерено испред било којег саставног дела мотора, осим како је допуштено тач. 6.1.3. и 6.1.4. те како се захтева тач. 6.1.5. и 6.1.6.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6.1.2. Ако надморска висина лабораторија у којем се мотор испитује прелази 600 m, f </w:t>
      </w:r>
      <w:r w:rsidRPr="00B03342">
        <w:rPr>
          <w:rFonts w:ascii="Arial" w:hAnsi="Arial" w:cs="Arial"/>
          <w:color w:val="000000"/>
          <w:vertAlign w:val="subscript"/>
          <w:lang w:eastAsia="sr-Latn-RS"/>
        </w:rPr>
        <w:t>a</w:t>
      </w:r>
      <w:r w:rsidRPr="00B03342">
        <w:rPr>
          <w:rFonts w:ascii="Arial" w:hAnsi="Arial" w:cs="Arial"/>
          <w:color w:val="000000"/>
          <w:lang w:eastAsia="sr-Latn-RS"/>
        </w:rPr>
        <w:t> сме, уз одобрење произвођача, прећи 1,07 уз услов да p </w:t>
      </w:r>
      <w:r w:rsidRPr="00B03342">
        <w:rPr>
          <w:rFonts w:ascii="Arial" w:hAnsi="Arial" w:cs="Arial"/>
          <w:color w:val="000000"/>
          <w:vertAlign w:val="subscript"/>
          <w:lang w:eastAsia="sr-Latn-RS"/>
        </w:rPr>
        <w:t>s</w:t>
      </w:r>
      <w:r w:rsidRPr="00B03342">
        <w:rPr>
          <w:rFonts w:ascii="Arial" w:hAnsi="Arial" w:cs="Arial"/>
          <w:color w:val="000000"/>
          <w:lang w:eastAsia="sr-Latn-RS"/>
        </w:rPr>
        <w:t> не сме бити мањи од 80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6.1.3. Ако је снага мотора који се испитује већа од 560 kW, максимална температура улазног ваздуха сме, уз одобрење произвођача, прећи 303 K (30 °C) уз услов да не сме прећи 308 K (35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6.1.4. Ако надморска висина лабораторија у којем се мотор испитује прелази 300 m, а снага мотора који се испитује је већа од 560 kW, f </w:t>
      </w:r>
      <w:r w:rsidRPr="00B03342">
        <w:rPr>
          <w:rFonts w:ascii="Arial" w:hAnsi="Arial" w:cs="Arial"/>
          <w:color w:val="000000"/>
          <w:vertAlign w:val="subscript"/>
          <w:lang w:eastAsia="sr-Latn-RS"/>
        </w:rPr>
        <w:t>a</w:t>
      </w:r>
      <w:r w:rsidRPr="00B03342">
        <w:rPr>
          <w:rFonts w:ascii="Arial" w:hAnsi="Arial" w:cs="Arial"/>
          <w:color w:val="000000"/>
          <w:lang w:eastAsia="sr-Latn-RS"/>
        </w:rPr>
        <w:t> сме, уз одобрење произвођача, прећи 1,07 уз услов да p</w:t>
      </w:r>
      <w:r w:rsidRPr="00B03342">
        <w:rPr>
          <w:rFonts w:ascii="Arial" w:hAnsi="Arial" w:cs="Arial"/>
          <w:color w:val="000000"/>
          <w:vertAlign w:val="subscript"/>
          <w:lang w:eastAsia="sr-Latn-RS"/>
        </w:rPr>
        <w:t>s</w:t>
      </w:r>
      <w:r w:rsidRPr="00B03342">
        <w:rPr>
          <w:rFonts w:ascii="Arial" w:hAnsi="Arial" w:cs="Arial"/>
          <w:color w:val="000000"/>
          <w:lang w:eastAsia="sr-Latn-RS"/>
        </w:rPr>
        <w:t> не сме бити мањи од 80 kPa, а максимална температура улазног ваздуха сме прећи 303 K (30°C) уз услов да не сме прећи 308 K (35°C).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6.1.5. У случају породице мотора категорије NRS с мање од 19 kW, која се искључиво састоји од типа мотора предвиђеног за бацаче снега, температура улазног ваздуха мора се одржавати у распону од 273 до 268 K (од 0 до – 5°C).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6.1.6. Моторима категорије SMB температура улазног ваздуха мора се одржавати на вредности од 263 ± 5 K (– 10 ± 5 °C), осим како је допуштено тачком 6.1.6.1.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6.1.6.1. Моторима категорије SMB опремљенима електронички регулисаним убризгавањем горива које прилагођава проток горива температури улазног ваздуха температура улазног ваздуха, према избору произвођача, сме се алтернативно одржавати на вредности од 298 ± 5 K (25 ± 5°C).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6.1.7. Допуштено је употребљавати: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мерач атмосферског притисака чија се излазна вредност употребљава као атмосферски притисак за цели испитни простор који има више од једне динамометарске испитне ћелије све док опрема за управљање улазним ваздухом одржава притисак околине на месту где се испитује мотор унутар ± 1 kPa заједничког атмосферског притиска;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мерач влаге за мерење влаге улазног ваздуха за цели испитни простор који има више од једне динамометарске испитне ћелије све док опрема за управљање улазним ваздухом одржава тачку рошења на месту где се испитује мотор унутар ± 0,5 К заједничке измерене влаге;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 Мотори с хлађењем компримованог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 се систем хлађења компримованог ваздуха с укупним капацитетом улаза ваздуха који одговара уграђеном производном мотору у употреби. Сваки се лабораторијски систем хлађења компримованог ваздуха конструише тако да се смањи акумулација кондензата. Пре испитивања емисија сав се акумулирани кондензат мора испустити, а сви одводи потпуно затворити. Одводи морају бити затворени током испитивања емисија. Услови који се односе на расхладно средство морају се одржавати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током целог се испитивања мора одржавати температура расхладног средства од минимално 293 К (20 °С) на улазу хладњака компримованог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при номиналној брзини и пуном оптерећењу задаје се вредност протока расхладног средства тако да се постигне температура ваздуха унутар ± 5 К (± 5 °С) вредности коју је произвођач предвидео после излаза хладњака компримованог ваздуха. Температура ваздуха на излазу мери се на месту које одреди произвођач. Задана вредност протока расхладног средства употребљава се током целог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произвођач мотора наведе граничне вредности за пад притиска у систему хлађења компримованог ваздуха, мора се осигурати да је пад притиска у целом систему хлађења компримованог ваздуха у стању мотора које одреди произвођач унутар граничних вредности које је навео произвођач. Пад притиска мери се на местима које одреди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уместо номиналне брзине за испитни циклус употребљава MTS дефинисан у тачки 5.2.5.1, онда се та брзина сме употребљавати уместо номиналне брзине при одређивању температуре компримованог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Циљ је добити резултате емисије који су репрезентативни за рад током употребе. Ако се добром инжењерском проценом оцени да би спецификације из овог Одељка резултирале нерепрезентативним испитивањем (нпр. прекомерно хлађење улазног ваздуха), могу се употребити сложеније Задате вредности и контроле пада притисака ваздуха за пуњење, температуре расхладног средства и протока како би се добили репрезентативнији резултати.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 Снага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6.3.1. Основа за мерење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Основа је мерења специфичних емисија некоригована нето снага.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6.3.2. Помоћни уређаји који се морају уградити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време испитивања помоћни уређаји потребни за управљање мотором морају се уградити на испитни сто у складу са захтевима из Додатка 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уградња потребних помоћних уређаја ради испитивања није могућа, снага коју они апсорбују мора се утврдити и одузети од измерене снаге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6.3.3. Помоћни уређаји који се морају уклонити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Одређени помоћни уређаји чија је дефиниција повезана с радом недрумских покретних машина и који могу бити монтирани на мотор уклањају се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се помоћни уређаји не могу уклонити, снага коју они апсорбују у условима без оптерећења мора се утврдити и додати измереној снази мотора (види напомену г у Додатку 2.). Ако је та вредност већа од 3 % максималне снаге при испитној брзини обртања, може је проверити техничка служба. Снага коју апсорбују помоћни уређаји мора се употребити за прилагођавање задатих вредности и прорачунавање рада који произведе мотор за време испитног циклуса у складу с тачком 7.7.1.3. или тачком 7.7.2.3.(б)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6.3.4 Одређивање снаге помоћних уређаја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примењиво у складу с тач. 6.3.2. и 6.3.3. овог прилога, произвођач мотора мора за цело радно подручје примењивих испитних циклуса доставити вредности снаге помоћних уређаја и методу мерења/прорачуна за утврђивање те снаге, а хомологацијско тело мора их одобрити.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6.3.5. Циклусни рад мотора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Обрачун референтног и стварног циклусног рада (видети тачку 7.8.3.4.) базира се на снази мотора у складу с тачком 6.3.1. У том су случају P </w:t>
      </w:r>
      <w:r w:rsidRPr="00B03342">
        <w:rPr>
          <w:rFonts w:ascii="Arial" w:hAnsi="Arial" w:cs="Arial"/>
          <w:color w:val="000000"/>
          <w:vertAlign w:val="subscript"/>
          <w:lang w:eastAsia="sr-Latn-RS"/>
        </w:rPr>
        <w:t>f</w:t>
      </w:r>
      <w:r w:rsidRPr="00B03342">
        <w:rPr>
          <w:rFonts w:ascii="Arial" w:hAnsi="Arial" w:cs="Arial"/>
          <w:color w:val="000000"/>
          <w:lang w:eastAsia="sr-Latn-RS"/>
        </w:rPr>
        <w:t> и P </w:t>
      </w:r>
      <w:r w:rsidRPr="00B03342">
        <w:rPr>
          <w:rFonts w:ascii="Arial" w:hAnsi="Arial" w:cs="Arial"/>
          <w:color w:val="000000"/>
          <w:vertAlign w:val="subscript"/>
          <w:lang w:eastAsia="sr-Latn-RS"/>
        </w:rPr>
        <w:t>r</w:t>
      </w:r>
      <w:r w:rsidRPr="00B03342">
        <w:rPr>
          <w:rFonts w:ascii="Arial" w:hAnsi="Arial" w:cs="Arial"/>
          <w:color w:val="000000"/>
          <w:lang w:eastAsia="sr-Latn-RS"/>
        </w:rPr>
        <w:t> из једначине (6-7) нула, a P је једнако P </w:t>
      </w:r>
      <w:r w:rsidRPr="00B03342">
        <w:rPr>
          <w:rFonts w:ascii="Arial" w:hAnsi="Arial" w:cs="Arial"/>
          <w:color w:val="000000"/>
          <w:vertAlign w:val="subscript"/>
          <w:lang w:eastAsia="sr-Latn-RS"/>
        </w:rPr>
        <w:t>m</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су помоћни уређаји/опрема уграђени у складу с тачкама 6.3.2. и/или 6.3.3, снага коју они апсорбују мора се употребити за корекцију сваке тренутне вредности снаге P </w:t>
      </w:r>
      <w:r w:rsidRPr="00B03342">
        <w:rPr>
          <w:rFonts w:ascii="Arial" w:hAnsi="Arial" w:cs="Arial"/>
          <w:color w:val="000000"/>
          <w:vertAlign w:val="subscript"/>
          <w:lang w:eastAsia="sr-Latn-RS"/>
        </w:rPr>
        <w:t>m,i</w:t>
      </w:r>
      <w:r w:rsidRPr="00B03342">
        <w:rPr>
          <w:rFonts w:ascii="Arial" w:hAnsi="Arial" w:cs="Arial"/>
          <w:color w:val="000000"/>
          <w:lang w:eastAsia="sr-Latn-RS"/>
        </w:rPr>
        <w:t> у циклусу једначином (6-8):</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68"/>
        <w:gridCol w:w="213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i</w:t>
            </w:r>
            <w:r w:rsidRPr="00B03342">
              <w:rPr>
                <w:rFonts w:ascii="Arial" w:hAnsi="Arial" w:cs="Arial"/>
                <w:lang w:eastAsia="sr-Latn-RS"/>
              </w:rPr>
              <w:t> = P </w:t>
            </w:r>
            <w:r w:rsidRPr="00B03342">
              <w:rPr>
                <w:rFonts w:ascii="Arial" w:hAnsi="Arial" w:cs="Arial"/>
                <w:vertAlign w:val="subscript"/>
                <w:lang w:eastAsia="sr-Latn-RS"/>
              </w:rPr>
              <w:t>m,i</w:t>
            </w:r>
            <w:r w:rsidRPr="00B03342">
              <w:rPr>
                <w:rFonts w:ascii="Arial" w:hAnsi="Arial" w:cs="Arial"/>
                <w:lang w:eastAsia="sr-Latn-RS"/>
              </w:rPr>
              <w:t> – P </w:t>
            </w:r>
            <w:r w:rsidRPr="00B03342">
              <w:rPr>
                <w:rFonts w:ascii="Arial" w:hAnsi="Arial" w:cs="Arial"/>
                <w:vertAlign w:val="subscript"/>
                <w:lang w:eastAsia="sr-Latn-RS"/>
              </w:rPr>
              <w:t>f,i</w:t>
            </w:r>
            <w:r w:rsidRPr="00B03342">
              <w:rPr>
                <w:rFonts w:ascii="Arial" w:hAnsi="Arial" w:cs="Arial"/>
                <w:lang w:eastAsia="sr-Latn-RS"/>
              </w:rPr>
              <w:t> + P </w:t>
            </w:r>
            <w:r w:rsidRPr="00B03342">
              <w:rPr>
                <w:rFonts w:ascii="Arial" w:hAnsi="Arial" w:cs="Arial"/>
                <w:vertAlign w:val="subscript"/>
                <w:lang w:eastAsia="sr-Latn-RS"/>
              </w:rPr>
              <w:t>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AUX</w:t>
            </w:r>
            <w:r w:rsidRPr="00B03342">
              <w:rPr>
                <w:rFonts w:ascii="Arial" w:hAnsi="Arial" w:cs="Arial"/>
                <w:lang w:eastAsia="sr-Latn-RS"/>
              </w:rPr>
              <w:t> = P </w:t>
            </w:r>
            <w:r w:rsidRPr="00B03342">
              <w:rPr>
                <w:rFonts w:ascii="Arial" w:hAnsi="Arial" w:cs="Arial"/>
                <w:vertAlign w:val="subscript"/>
                <w:lang w:eastAsia="sr-Latn-RS"/>
              </w:rPr>
              <w:t>r,i</w:t>
            </w:r>
            <w:r w:rsidRPr="00B03342">
              <w:rPr>
                <w:rFonts w:ascii="Arial" w:hAnsi="Arial" w:cs="Arial"/>
                <w:lang w:eastAsia="sr-Latn-RS"/>
              </w:rPr>
              <w:t> – P </w:t>
            </w:r>
            <w:r w:rsidRPr="00B03342">
              <w:rPr>
                <w:rFonts w:ascii="Arial" w:hAnsi="Arial" w:cs="Arial"/>
                <w:vertAlign w:val="subscript"/>
                <w:lang w:eastAsia="sr-Latn-RS"/>
              </w:rPr>
              <w:t>f,i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(6-8)</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7"/>
        <w:gridCol w:w="101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m,i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снага мотора,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f,i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коју апсорбују помоћни уређаји/опрема која се требала уградити ради испитивања, али није била уграђена,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коју апсорбују помоћни уређаји/опрема која се требала уклонити ради испитивања, али била је уграђена, kW.</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6.4. Улазни ваздух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6.4.1.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употребљавати систем улазног ваздуха уграђен у мотор или репрезентативан за типичну конфигурацију у употреби. То укључује системе за хлађење компримованог ваздуха и за повраћај издувних гасова (EGR).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6.4.2. Ограничење притисака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 се систем довода ваздуха мотора или лабораторијски испитни систем који представља ограничење притисака улазног ваздуха унутар ± 300 Pa од максималне вредности коју наведе произвођач за чисти филтер ваздуха при номиналној брзини и пуном оптерећењу. Ако то није могуће због конструкције лабораторијског испитног система за довод ваздуха, допушта се ограничење притисака које не прелази вредност коју је навео произвођач за прљави филтер, уз претходно одобрење техничке службе. Статички диференцијални притисак ограничења притисака мери се на месту и у задатим вредностима брзине и закретног момента које одреди произвођач. Ако произвођач не одреди место, тај се притисак мора мерити испред било које везе турбодувача или повраћаја издувних гасова с доводом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уместо номиналне брзине за испитни циклус употребљава MTS дефинисан у тачки 5.2.5.1, онда се та брзина сме употребљавати уместо номиналне брзине при одређивању ограничења притисака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6.5. Издувни систем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употребљавати издувни систем уграђен у мотор или репрезентативан за типичну конфигурацију у употреби. Издувни систем мора бити у складу са захтевима у погледу узорковања издувних емисија како је утврђено тачком 9.3. Употребљава се издувни систем мотора или лабораторијски испитни систем који представља статични издувни подпритисак унутар распона од 80 до 100 % максималног ограничења притисака издувног гаса при номиналној брзини и пуном оптерећењу. Ограничење притисака издувног гаса може се наместити вентилом. Ако је максимално ограничење притисака издувног гаса 5 kPa или мање, задата вредност не сме бити мања од 1,0 kPa од максимума. Ако се уместо номиналне брзине за испитни циклус употребљава MTS дефинисан у тачки 5.2.5.1, онда се та брзина сме употребљавати уместо номиналне брзине при одређивању ограничења притисака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 Мотор са системом за накнадну обраду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Ако је мотор опремљен системом за накнаду обраду издувних гасова који није монтиран директно на мотор, издувна цев мора имати једнак пронос као што се стварно употребљава за барем четири проноса цеви испред проширеног дела у којем се налази уређај за накнадну обраду. Удаљеност од принагибнице издувне гране или излаза турбодувача до система за накнадну обраду издувних гасова мора бити једнака као код недрумских покретних машина или одговарати спецификацијама удаљености које наведе произвођач. Цев се, ако тако наведе произвођач, мора изоловати ради постизања температуре на улазу накнадне обраде у складу са спецификацијом произвођача. Ако произвођач наведе додатне захтеве у погледу уградње, и њих се нужно придржавати у испитној конфигурацији. Подпритисак или ограничење притисака издувних гасова задају се у складу с тачком 6.5. овог прилога. За уређаје за накнадну обраду с променљивим ограничењем притисака издувног гаса, максимално ограничење притисака издувног гаса из тачке 6.5. овог прилога дефинише се у условима за накнадну обраду (стабилизујење/старење и </w:t>
      </w:r>
      <w:r w:rsidRPr="00B03342">
        <w:rPr>
          <w:rFonts w:ascii="Arial" w:hAnsi="Arial" w:cs="Arial"/>
          <w:color w:val="000000"/>
          <w:lang w:eastAsia="sr-Latn-RS"/>
        </w:rPr>
        <w:lastRenderedPageBreak/>
        <w:t>регенерација/оптерећење) које наведе произвођач. Посуда за накнадну обраду може се уклонити током лажних испитивања и током мапирања мотора те заменити еквивалентном посудом с неактивном подршком катализатора.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које се мере у испитном циклусу морају репрезентовати мисије у пољу. Ако је мотор опремљен системом за накнадну обраду издувних гасова који захтева реагенс, реагенс који се употребљава за сва испитивања мора декларисати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моторе категорије NRE, NRG, IWP, IWA, RLR, NRS, NRSh, SMB, и ATS опремљене системима за накнадну обраду издувних гасова који се регенеришу на неучесталој (периодичној) основи, како је описано у тачки 6.6.2, резултати емисија морају се прилагодити тако да се у обзир узму регенерацијски догађаји. У том случају просечна емисија зависи о фреквенцији регенерацијских догађаја у смислу дела испитивања током којих се регенерација догађа. За системе за накнадну обраду чији се регенерацијски процес догађа на одржив начин или барем једанпут у примењивом динамичком (NRTC или LSI-NRTC) испитном циклусу или RMC-у („континуирана регенерација”) у складу с тачком 6.6.1. није потребан посебан испитни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6.6.1. Континуирана регенерација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систем за накнадну обраду издувних гасова на основу континуиране регенерације емисије се мере на систему за накнадну обраду који је стабилизован како би резултирао понашањем емисија које се може понављати. Процес регенерације мора се догодити најмање једанпут током NRTC-a с топлим покретањем, LSI-NRTC или NRSC испитивања, а произвођач мора је декларисати уобичајене услове у којима се догађа регенерација (оптерећење гаром, температура, подпритисак издувног гаса итд.). Како би се доказало да је процес регенерације континуиран, морају се спровести најмање три NRTC-a, LSI-NRTC-a или NRSC-a с топлим покретањем. Кад је реч о NRTC-у с топлим покретањем, мотор се мора загрејати у складу с тачком 7.8.2.1, затим се кондиционира у складу с тачком 7.4.2.1.(б), а онда се спроводи први NRTC с топлим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Накнадна NRTC-ови с топлим покретањем почињу након кондиционирања у складу с тачком 7.4.2.1.(б). За време испитивања бележе се температуре и притисци издувног гаса (температура испред и иза система за накнадну обраду издувног гаса, подпритисак издувног гаса итд.). Систем за накнадну обраду издувног гаса сматра се задовољавајућим ако се услови које је одредио произвођач током испитивања догађају унутар довољног времена, а резултати емисије од средње вредности или 0,005 g/kWh, зависно што је веће, нису распршени за више од ± 25 %.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6.6.2. Неучестала регенерација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 се одредба примењује само на моторе са системом за накнадну обраду издувних гасова који се регенерише неучестало, типично у мање од 100 сати стандардног рада мотора. За те се моторе морају одредити адитивни или мултипликативни фактори за прилагођавање навише или наниже како је наведено у тачки 6.6.2.4. („фактор прилагођавања”).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и развој фактора прилагођавања захтева се само за један примењиви динамички испитни циклус (NRTC или LSI-NRTC) или RMC. Развијени фактори смеју се примењивати на резултате осталих примењивих испитних циклуса, укључујући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одговарајући фактори прилагођавања нису доступни из испитивања помоћу динамичких испитних циклуса (NRTC или LSI-NRTC) или RMC-a, фактори прилагођавања морају се утврдити примењивим NRSC испитивањем с дискретним начинима рада. Фактори развијени помоћу NRSC испитивања с дискретним начинима рада примењују се само на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и развој фактора прилагођавања не мора се спровести и на RMC-у и на NRSC-у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6.6.2.1. Захтев за утврђивањем фактора прилагођавања помоћу NRTC-a, LSI-NRTC-a или RMC-a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се морају мерити у најмање три NRTC-a, LSI-NRTC-a или RMC-a с топлим покретањем, једним с регенерацијским догађајем и два без њега на стабилизујеном систему за накнадну обраду. Процес регенерације мора се догодити најмање једном током NRTC-a, LSI-NRTC-a или RMC-a с регенерацијским догађајем. Ако регенерација траје дуже од једног NRTC-a, LSI-NRTC-a или RMC-a, спроводе се узастопна NRTC, LSI-NRTC или RMC испитивања, а емисије се настављају мерити без гашења мотора све док регенерација не заврши те се рачуна просек испитивања. Ако регенерација заврши за време неког од испитивања, испитивање се наставља до својег краја.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Одговарајући фактор прилагођавања мора се утврдити за целокупни примењиви циклус једначинама од 6-10 до 6-13.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6.6.2.2. Захтев за утврђивање фактора прилагођавања помоћу NRSC испитивања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што се систем за накнадну обраду издувних гасова стабилизује, емисије се морају измерити у најмање три спровођења сваког испитног начина рада примењивог NRSC-a с дискретним начинима рада у којем је могуће испунити услове регенерације, једном с регенерацијским догађајем и двапут без њега. Мерење PM-а спроводи се вишефилтерском методом описаном у тачки 7.8.1.2.(в). Ако је регенерација почела, али није завршила до краја периода узорковања за одређени испитни начин рада, период узорковања продужује се до завршетка регенерације. Ако је један начин рада спроведен више пута, обрачунава се просечни резултат. Поступак се понавља за сваки испитни начин рада. Одговарајући фактор прилагођавања утврђује се помоћу једначина од 6-10 до 6-13 за оне начине рада примењивог циклуса у којима се догађа регенерација.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6.6.2.3. Општи поступак за развој фактора прилагођавања за неучестале регенерације (IRAF-ови).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мора навести параметара уобичајених услова у којима се догађа процес регенерације (оптерећење гаром, температура, подпритисак издувних гасова итд.). Произвођач мора навести и фреквенцију регенерацијских догађаја као број испитивања током којих долази до регенерације. Тачан поступак одређивања те учесталости одређује хомологацијско тело на основу добре инжењерске праксе.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испитивање регенерације произвођач је дужан осигурати већ оптерећен систем за накнадну обраду издувних гасова. Током те фазе кондиционирања мотора не сме наступити регенерација. Произвођач може спроводити узастопна испитивања из примењивог циклуса док се систем за накнадну обраду издувних гасова не оптерети. Мерење емисија не захтева се за сва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Просечне емисије између регенерацијских фаза утврђују се из аритметичке средине неколико приближно једнако удаљених испитивања примењивог циклуса. Као минимум спровешће ће се барем један примењиви циклус што је ближе могуће пре испитивања регенерације и један примењиви циклус одмах након испитивања регенерације.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време испитивања регенерације бележе се сви подаци потребни за уочавање регенерације (емисије CO или NO</w:t>
      </w:r>
      <w:r w:rsidRPr="00B03342">
        <w:rPr>
          <w:rFonts w:ascii="Arial" w:hAnsi="Arial" w:cs="Arial"/>
          <w:color w:val="000000"/>
          <w:vertAlign w:val="subscript"/>
          <w:lang w:eastAsia="sr-Latn-RS"/>
        </w:rPr>
        <w:t>x</w:t>
      </w:r>
      <w:r w:rsidRPr="00B03342">
        <w:rPr>
          <w:rFonts w:ascii="Arial" w:hAnsi="Arial" w:cs="Arial"/>
          <w:color w:val="000000"/>
          <w:lang w:eastAsia="sr-Latn-RS"/>
        </w:rPr>
        <w:t>, температура испред и иза система за накнадну обраду издувних гасова, подпритисак издувних гасова итд.). Током процеса регенерације примењиве граничне вредности емисије смеју се премашити. Испитни поступак шематски је приказан на слици 6.1.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6.1. Шема неучестале регенерације с n мерења и nr мерења током регенерације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0783BAA" wp14:editId="0F95BD6E">
            <wp:extent cx="5057140" cy="3808730"/>
            <wp:effectExtent l="0" t="0" r="0" b="1270"/>
            <wp:docPr id="277" name="Picture 277" descr="A graph showing average emissions during normal operation and increased emissions during regeneration cycles plotted against the number of cycles with annotations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graph showing average emissions during normal operation and increased emissions during regeneration cycles plotted against the number of cycles with annotations in a non-English language.&#10;&#10;Description generated by A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7140" cy="380873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Просечни специфични степен емисије повезан с испитивањима спроведенима у складу с тач. 6.6.2.1. или 6.6.2.2. [g/kWh или #/kWh] пондерише се помоћу једначине (6–9) (видети слику 6.1.):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E90E22D" wp14:editId="1741C18D">
            <wp:extent cx="5057140" cy="715645"/>
            <wp:effectExtent l="0" t="0" r="0" b="8255"/>
            <wp:docPr id="276" name="Picture 276" descr="The equation shows the weighted average of two vectors e-bar sub w as the sum of n times e-bar plus n sub r times e-bar sub r divided by n plus n sub 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equation shows the weighted average of two vectors e-bar sub w as the sum of n times e-bar plus n sub r times e-bar sub r divided by n plus n sub r.&#10;&#10;Description generated by A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7140" cy="7156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број испитивања у којима се регенерација не догађа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r </w:t>
      </w:r>
      <w:r w:rsidRPr="00B03342">
        <w:rPr>
          <w:rFonts w:ascii="Arial" w:hAnsi="Arial" w:cs="Arial"/>
          <w:color w:val="000000"/>
          <w:lang w:eastAsia="sr-Latn-RS"/>
        </w:rPr>
        <w:t>број испитивања у којима се регенерација догађа (минимално једно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ē просечна специфична емисија из испитивања у којем се регенерација не догађа [g/kWh или #/кWх]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ē просечна специфична емисија из испитивања у којем се догађа регенерација [g/kWh или #/кWх]”;</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Према жељи произвођача и на основу добре инжењерске процене, регенерацијски фактор прилагођавања k </w:t>
      </w:r>
      <w:r w:rsidRPr="00B03342">
        <w:rPr>
          <w:rFonts w:ascii="Arial" w:hAnsi="Arial" w:cs="Arial"/>
          <w:color w:val="000000"/>
          <w:vertAlign w:val="subscript"/>
          <w:lang w:eastAsia="sr-Latn-RS"/>
        </w:rPr>
        <w:t>r</w:t>
      </w:r>
      <w:r w:rsidRPr="00B03342">
        <w:rPr>
          <w:rFonts w:ascii="Arial" w:hAnsi="Arial" w:cs="Arial"/>
          <w:color w:val="000000"/>
          <w:lang w:eastAsia="sr-Latn-RS"/>
        </w:rPr>
        <w:t>, којим се изражава просечна количина емисије, може се обрачунати као мултипликативни или адитивни за све гасовите загађујуће материја и, ако постоји примењива гранична вредности, за PM и PN, помоћу једначина од (6-10) до (6-13):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0AAF299" wp14:editId="4929B026">
            <wp:extent cx="5057140" cy="1208405"/>
            <wp:effectExtent l="0" t="0" r="0" b="0"/>
            <wp:docPr id="275" name="Picture 275" descr="The image shows mathematical formulas related to adjustment factors with variables and corresponding equation numbers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image shows mathematical formulas related to adjustment factors with variables and corresponding equation numbers in parentheses.&#10;&#10;Description generated by A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140" cy="120840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6.6.2.4. Примена фактора прилагођавања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Фактори прилагођавања навише множе се или додају измереним степенима емисије за сва испитивања у којима нема регенерације. Фактори прилагођавања наниже множе се или додају измереним брзинама емисије за сва испитивања у којима се </w:t>
      </w:r>
      <w:r w:rsidRPr="00B03342">
        <w:rPr>
          <w:rFonts w:ascii="Arial" w:hAnsi="Arial" w:cs="Arial"/>
          <w:color w:val="000000"/>
          <w:lang w:eastAsia="sr-Latn-RS"/>
        </w:rPr>
        <w:lastRenderedPageBreak/>
        <w:t>догађа регенерација. Појава регенерације мора се утврђивати на начин који је јасан за време свих испитивања. Ако се појава регенерације не утврди, примењује се фактор прилагођавања навише.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складу са Прилогом 10 ове уредбе о обрачунима специфичних ефективних емисија, регенерацијски фактор прилагођавања: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се утврђује за цели пондерисани циклус, примењује се на резултате примењивог NRTC-a, LSI-NRTC-a и NRSC-a;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утврђује посебно за појединачне начине рада примењивог циклуса с дискретним начинима рада, примењује се на резултате начина рада примењивог NRSC-а с дискретним начинима рада код којих се регенерација догоди пре обрачуна циклусних пондерисаних вредности емисије. У том се случају за мерење PM-а може употребљавати вишефилтерска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може се проширити на друге чланове исте породице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може се проширити на друге породице мотора унутар исте породице мотора по систему за накнадну обраду, како је дефинисано, уз претходно одобрење хомологацијског тела на основу техничких доказа да су емисије сличне, а које мора доставити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Примењују се следеће опције: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произвођач може одлучити изоставити факторе прилагођавања за једну или више од својих породица мотора (или верзија) због малог учинка регенерације или непрактичности утврђивања појаве регенерације. У тим се случајевима не употребљава никакав фактор прилагођавања, а произвођач је одговоран за усклађеност с граничним вредностима емисије за сва испитивања, без обзира на појаву регенерације;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хомологацијско тело може, на захтев произвођача, регенерацијске догађаје урачунати друкчије него што је прописано тачком (а). Међутим, та се могућност односи само на догађаје који се догађају изузетно ретко и који се у пракси не могу узети у обзир применом фактора прилагођивања описаних у тачки 6.6.2.3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6.7. Систем за хлађење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употребљавати систем за хлађење мотора с довољним капацитетом за одржавање мотора, односно температура улазног ваздуха, уља, расхладног средства, блока и главе, на стандардној радној температури коју одређује произвођач. Могу се употребљавати лабораторијски помоћни уређаји за хлађење и вентилатори.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6.8. Уље за подмазивање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Уље за подмазивање мора навести произвођач и мора бити репрезентативно за уље за подмазивање доступно на тржишту; спецификације уља за подмазивање које се употребљава у испитивању морају се забележити и навести у резултатима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6.9. Спецификација референтног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Температура горива мора бити у складу с препорукама произвођача. Температура горива мора се мерити на улазу пумпе за убризгавање горива или онако како је специфицирао произвођач, а место мерења мора се забележити.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6.10. Емисије кућишта коленастог вратила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се одељак примењује на моторе категорије NRE, NRG, IWP, IWA, RLR, NRS, NRSh, SMB и ATS који су у складу с граничним вредностима емисија степена В. утврђенима Прилогом 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кућишта коленастог вратила које се избацују директно у околну атмосферу морају се додати емисијама издувних гасова (физички или математички) током свих испитивања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Произвођачи који искоришћавају тај изузетак морају уграђивати моторе тако да се емисије кућишта коленастог вратила могу усмерити у систем за узорковање емисија. За потребе ове тачке сматра се да се емисије кућишта коленастог вратила које се усмеравају у издув испред накнадне обраде издувних гасова током свих врста рада не избацују директно у околну атмосферу.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отвореног кућишта коленастог вратила морају се усмерити у издувни систем ради мерења емисија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цевни материјали морају имати глатке ивице, бити електрично водљиви и не смеју реаговати с емисијама кућишта коленастог вратила. Дужине цеви морају бити што је могуће мање;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број кривина на лабораторијским цевима кућишта коленастог вратила мора бити најмањи могући, а полупречник свих кривина које је немогуће изоставити мора бити највећи могући;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лабораторијске издувне цеви кућишта коленастог вратила морају одговарати спецификацијама произвођача мотора за подпритисак кућишта коленастог вратила;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цеви кућишта коленастог вратила спајају се с неразређеним издувним гасовима иза било којег система за накнадну обраду издувних гасова и иза било каквог уграђеног ограничења издувних гасова те довољно испред било каквих сонди за узорковање како би се осигурало потпуно мешање с издувним системом мотора пре узорковања. Издувна цев кућишта коленастог вратила мора улазити у слободни ток издувног система како би се избегли ефекти граничног слоја и како би мешање било што боље. Излаз издувне цеви кућишта коленастог вратила сме бити окренут у било којем смеру у односу на проток неразређеног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Поступци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У овом се поглављу описује утврђивање специфичних емисија ефективних гасовитих и чврстих загађујућих материја мотора који се испитују. Испитни мотор мора имати верзију као основни мотор породице мотора. Лабораторијско испитивање емисија састоји се од мерења емисија и других параметара у испитним циклусима наведенима у Прилога 5 ове уредбе. Обрађени су следећи аспекти: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лабораторијске конфигурације за мерење емисија (тачка 7.2.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поступци верификације пре и после испитивања (тачка 7.3.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испитни циклуси (тачка 7.4.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општи испитни след испитивања (тчка 7.5.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мапирање мотора (тачка 7.6.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израда испитних циклуса (тачка 7.7.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поступак спровођења посебног испитног циклуса (тачка 7.8.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 Начело мерења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Да би се измериле специфичне ефективне емисије мотор мора радити током испитних циклуса утврђених у тачки 7.4. овог прилога, како је примењиво. За мерење специфичних ефективних емисија потребно је утврдити масу загађујућих материја у емисији издувних гасова (тј. HC, CO, NO</w:t>
      </w:r>
      <w:r w:rsidRPr="00B03342">
        <w:rPr>
          <w:rFonts w:ascii="Arial" w:hAnsi="Arial" w:cs="Arial"/>
          <w:color w:val="000000"/>
          <w:vertAlign w:val="subscript"/>
          <w:lang w:eastAsia="sr-Latn-RS"/>
        </w:rPr>
        <w:t>x</w:t>
      </w:r>
      <w:r w:rsidRPr="00B03342">
        <w:rPr>
          <w:rFonts w:ascii="Arial" w:hAnsi="Arial" w:cs="Arial"/>
          <w:color w:val="000000"/>
          <w:lang w:eastAsia="sr-Latn-RS"/>
        </w:rPr>
        <w:t> и PM), број честица у емисији издувних гасова (тј. PN), масу CO</w:t>
      </w:r>
      <w:r w:rsidRPr="00B03342">
        <w:rPr>
          <w:rFonts w:ascii="Arial" w:hAnsi="Arial" w:cs="Arial"/>
          <w:color w:val="000000"/>
          <w:vertAlign w:val="subscript"/>
          <w:lang w:eastAsia="sr-Latn-RS"/>
        </w:rPr>
        <w:t>2</w:t>
      </w:r>
      <w:r w:rsidRPr="00B03342">
        <w:rPr>
          <w:rFonts w:ascii="Arial" w:hAnsi="Arial" w:cs="Arial"/>
          <w:color w:val="000000"/>
          <w:lang w:eastAsia="sr-Latn-RS"/>
        </w:rPr>
        <w:t> у емисији издувних гасова и одговарајући рад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7.2.1. Маса састојака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утврдити укупна маса сваког састојка током примењивог испитног циклуса применом метода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7.2.1.1. Континуирано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континуираном узорковању концентрација састојка мери се континуирано из неразређеног или разређеног издувног гаса. Та се концентрација множи с континуираном брзином протока (неразређеног или разређеног) издувног гаса на локацији за узроковање емисија како би се одредила брзина протока састојка. Емисија састојка континуирано се сабира током испитног интервала. Збир је укупна маса емитованог састојка.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7.2.1.2. Групно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групном узорковању континуирано се издваја узорак неразређеног или разређеног издувног гаса и похрањује се за будућа мерења. Издвојени узорак мора бити пропорционалан брзини протока неразређеног или разређеног издувног гаса. Примери су групног узорковања прикупљање гасних емисија у врећицу и прикупљање PM-a на филтер. Обично је метода обрачуна емисије следећа: групно узорковане концентрације множе се с укупном масом или масеним протоком (неразређеним или разређеним) из којег су издвојене током испитног циклуса. Производ је укупна маса или масени проток емитованог састојка. За обрачун концентрације PM-a мора се поделити PM наталожен на филтер из пропорционално издвојеног издувног гаса с количином филтрираног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7.2.1.3. Комбиновано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Допуштене су све комбинације континуираног и групног узорковања (нпр. PM са групним узроковањем и гасне емисије с континуираним узорковањем).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6.2. приказује два аспекта испитних поступака за мерење емисија: опрему с цевима за узроковање у неразређеном и разређеном издувном гасу и поступке који су потребни за обрачун емисија загађујућих материја у стационарним и динамичким испитним циклусима.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6.2. Испитни поступци за мерење емисија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5F57701A" wp14:editId="38748E88">
            <wp:extent cx="6638400" cy="4320000"/>
            <wp:effectExtent l="0" t="0" r="0" b="4445"/>
            <wp:docPr id="274" name="Picture 274" descr="A detailed organizational flowchart illustrating the hierarchical structure and relationships between various departments and roles within a company or institu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detailed organizational flowchart illustrating the hierarchical structure and relationships between various departments and roles within a company or institution.&#10;&#10;Description generated by A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8400" cy="432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Напомена о слици 6.2: Израз „узроковање PM-a из делимичног протока” обухвата разређивање делимичног протока за издвајање само неразређеног издувног гаса с константним или променљивим односом разређивања.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PM на филтеру подељен с количином филтрираних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Множење просечне концентрације (из континуираног или групног узорковања) с просечним протоком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Филтер PM-a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гасовитих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просечне концентрације гасовитих честица или PN-a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Секундарно разређивање (опционо)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Врећа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Групно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Континуирана анализа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Тренутни однос разређивања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Динамички циклус, стационарни RMC и стационарни циклус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емисија за цело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емисија за сваки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Један филтер PM-a по испитивању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Филтер PM-a по начину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PN по начину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PN по испитивању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Променљиви однос разређивања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Узорковање гасовитих честица, PM-a или PN-a из разређивања пуног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Стални однос разређивања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Стационарни циклус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Динамички и стационарни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Узорковање PM-a или PN-a из делимичног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Множење модалних емисија с факторима пондерисања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Интеграција тренутних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просечне стопе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Просечни проток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стално мерење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Анализа просечне концентрације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Континуирана анализа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цело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Стационарни циклус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Динамички и стационарни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Узорковање неразређеног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Множење модалних емисија с факторима пондерисања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тренутне стопе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Издув</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7.2.2. Утврђивање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Рад се мора утврђивати током испитног циклуса истовременим множењем брзине и кочионог момента ради обрачунавања тренутних вредности кочионе снаге мотора. Кочиона снага мотора мора се интегрисати током испитног циклуса како би се одредио укупни рад.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 Верификација и умеравање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 Поступци пре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7.3.1.1. Општи захтеви за преткондиционирање система за узорковање и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Да би се постигли стабилни услови, систем за узорковање и мотор морају се преткондиционирати пре испитног редоследа како је наведено у овој тачки.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Сврха је преткондиционирања мотора постићи репрезентативност емисија и контролу емисија током радног циклуса и смањити системску грешку како би се постигли стабилни услови за следеће испитивање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се могу мерити током циклуса преткондиционирања, све док се спроводи унапред утврђен број циклуса преткондиционирања и ако је мерни систем покренут у складу са захтевима из тачке 7.3.1.4. овог прилога. Количину преткондиционирања мора одредити произвођач мотора пре почетка преткондиционирања. Преткондиционирање се спроводи како је описано у наставку, уз напомену да су специфични циклуси за преткондиционирање једнаки онима који се примењују за испитивање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с уграђеним системом за накнадну обраду могу радити пре преткондиционирања за одређени циклус прописаног у тач. од 7.3.1.1.1. до 7.3.1.1.4. овог прилога тако да се систем за накнадну обраду регенерише и да се, ако је примењиво, оптерећење гаром поновно успостави.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7.3.1.1.1. Преткондиционирање за динамички циклус с хладним покретањем (NRTC)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се мора преткондиционирати барем једним NRTC-ом с топлим покретањем. Одмах након завршетка сваког циклуса преткондиционирања мотор се мора угасити и мора завршити период кондиционирања угашеног загрејаног мотора. Одмах након завршетка последњег циклуса преткондиционирања мотор се мора угасити и мора почети хлађење мотора како је описано у тачки 7.3.1.2.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7.3.1.1.2. Преткондиционирање за NRTC с топлим покретањем или за 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овој се тачки описује преткондиционирање које се примењује за узорковање емисија из NRTC-a с топлим покретањем без спровођења NRTC-a с хладним покретањем или за LSI-NRTC. Мотор се мора преткондиционирати спровођењем барем једног NRTC-a с топлим покретањем или LSI-NRTC-a, како је примењиво. Одмах након завршетка сваког циклуса преткондиционирања мотор се мора угасити и, чим је могуће, мора почети следећи циклус. Препоручује се да следећи циклус преткондиционирања почне унутар 60 секунди од завршетка задњег циклуса преткондиционирања. Према потреби, након задњег циклуса преткондиционирања примењује се одговарајући период кондиционирања загрејаног мотора (NRTC с топлим покретањем) или хлађења (LSI-NRTC) пре покретања мотора ради испитивања емисија. Ако се не примењују периоди кондиционирања загрејаног мотора или хлађења, препоручује се да се испитивање емисија покрене у року од 60 секунди након завршетка последњег циклуса преткондиционирања.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7.3.1.1.3. Преткондиционирање за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За моторе категорија које нису NRS и NRSh мотор се мора загревати и радити док се температуре мотора (расхладно средство и уље за подмазивање) не стабилизује на 50 % брзине и 50 % закретног момента за било који NRSC испитни циклус с </w:t>
      </w:r>
      <w:r w:rsidRPr="00B03342">
        <w:rPr>
          <w:rFonts w:ascii="Arial" w:hAnsi="Arial" w:cs="Arial"/>
          <w:color w:val="000000"/>
          <w:lang w:eastAsia="sr-Latn-RS"/>
        </w:rPr>
        <w:lastRenderedPageBreak/>
        <w:t>дискретним начинима рада, осим за тип D2, E2 или G, или на номиналној брзини мотора и 50 % закретног момента за било који NRSC испитни циклус с дискретним начинима D2, E2 или G. Вредност 50 % брзине мора се обрачунати у складу с тачком 5.2.5.1. овог прилога у случају мотора код којег се MTS употребљава за генерисање испитних брзина и у складу с тачком 7.7.1.3. овог прилога у свим осталим случајевима. Вредност од 50 % закретног момента дефинише се као 50 % максималног расположивог закретног момента при тој брзини. Испитивање емисија мора почети без заустављања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припада категорији NRS или NRSh, мотор се загрева у складу с препоруком произвођача и добром инжењерском проценом. Пре почетка узорковања емисије мотора мора радити у 1. начину рада одговарајућег испитног циклуса док се температуре мотора не стабилизује. Испитивање емисија мора почети без заустављања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7.3.1.1.4. Преткондиционирање за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мотора мора изабрати један од следећих редоследа преткондиционирања, (а) или (б). Преткондиционирање мотора спроводи се према одабраном редоследу.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се преткондиционира спровођењем барем друге половине RMC-a, на основу броја испитних начина рада. Мотор се не гаси између циклуса. Одмах након завршетка сваког циклуса преткондиционирања мора почети, чим је то могуће, следећи циклус (укључујући испитивање емисија). Ако је могуће, препоручује се да следећи циклус почне унутар 60 секунди од завршетка задњег циклуса преткондиционирања.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се мора загревати и радити док се температуре мотора (расхладно средство и уље за подмазивање) не стабилизује на 50% брзине и 50% закретног момента за било који RMC испитни циклус, осим за тип D2, E2 или G, или на номиналној брзини мотора и 50 % закретног момента за било који RMC испитни циклус типа D2, E2 или G. Вредност 50% брзине мора се обрачунати у складу с тачком 5.2.5.1. овог прилога у случају мотора код којег се MTS употребљава за генерисање испитних брзина и у складу с тачком 7.7.1.3. овог прилога у свим осталим случајевима. Вредност од 50 % закретног момента дефинише се као 50 % максималног расположивог закретног момента при тој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7.3.1.2 Хлађење мотора (NRTC)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Може се применити поступак природнога или присилнога хлађења. За присилно хлађење мора се применити добра инжењерска Процена за постављање система за дување расхладног ваздуха на мотор, за циркулацију расхладног уља кроз систем за подмазивање мотора, за одвођење тога се из расхладног средства кроз расхладни систем мотора и за одвођење тога се из система за накнадну обраду издувних гасова. У случају присилног хлађења система за накнадну обраду расхладни се ваздух не може употребити све док се систем за накнадну обраду емисија издувних гасова не охлади на температуру која је нижа од температуре његове каталитичке активације. Забрањени су сви расхладни поступци који узрокују емисије које нису репрезентативне.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7.3.1.3. Верификација контаминације угљоводоницима (HC)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сумња на то да је мерни систем за издувни гас битно контаминиран HC-ом, постојање те контаминације HC-ом може се проверити нултим гасом и затим исправити. Ако је нужно проверити количину контаминације мерног система и позадинског HC система, то се мора учинити унутар осам сати од почетка сваког испитног циклуса. Вредности се морају забележити како би се после могле исправити. пре те провере нужно је обавити проверу непропусности и умерити анализатор FID-а.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7.3.1.4. Припрема мерне опреме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 почетка узорковања емисија морају се подузети следећи кораци: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провере непропусности морају се обавити унутар осам сати пре узорковања емисија у складу с тачком 8.1.8.7.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скупно узорковање мора се спојити чисти медиј за одлагање, као што су вакуумиране вреће или филтери којима је измерена тара;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сви се мерни инструменти морају покренути у складу с произвођачевим упутствима за инструмент и добром инжењерском проценом;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системи за разређивање, пумпе за узроковање, расхладни вентилатори и системи за прикупљање података морају се покренути;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протоци узорка морају се поставити на жељене нивое, према потреби употребом обилазног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измењивачи топлоте у систему за узорковање морају се унапред загрејати или охладити на температуру унутар распона радне температуре за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(е)мора се допустити да се загрејани или охлађени саставни делови као што су водови за узорковање, филтери, расхладници и пумпе стабилизују на радној температури;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(ж)проток система за разређивање издувног гаса мора се укључити барем 10 минута пре испитног процеса;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(з)умеравање анализатора гаса и нулто умеравање континуираних анализатора морају се спровести у складу с поступком у тачки 7.3.1.5.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(и)сви електронички интегрирајући уређаји морају се нулто уравнотежити или поновно нулто уравнотежити пре почетка сваког испитног интервала.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7.3.1.5. Умеравање анализатора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Морају се одабрати одговарајући распони анализатора гаса. Допуштени су анализатори емисије с аутоматским или ручним пребацивањем распона. Током испитивања динамичким (NRTC или LSI-NRTC) испитним циклусима или RMC-ом те </w:t>
      </w:r>
      <w:r w:rsidRPr="00B03342">
        <w:rPr>
          <w:rFonts w:ascii="Arial" w:hAnsi="Arial" w:cs="Arial"/>
          <w:color w:val="000000"/>
          <w:lang w:eastAsia="sr-Latn-RS"/>
        </w:rPr>
        <w:lastRenderedPageBreak/>
        <w:t>током раздобља узорковања гасовите емисије на крају сваког NRSC-а с дискретним начинима рада не сме се мењати распон емисијских анализатора. Уз то, појачање аналогних операцијских појачала анализатора не сме се мењати током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 континуирани анализатори морају се нулто и распонски уравнотежити гасовима који су међународно следиви и у складу са спецификацијама из тачке 9.5.1 овог прилога. Пламенојонизацијске детекторе (FID) мора се распонски уравнотежити на бази бројева угљеника од један (C1).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7.3.1.6. Преткондиционирање филтера PM-а и мерење таре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Поступке за преткондиционирање филтера PM-а и мерење тара мора се спровести у складу с тачком 8.2.3.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 Поступци након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узорковања емисија морају се учинити кораци наведени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7.3.2.1. Верификација пропорционалног узорковања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сваки пропорционални групни узорак, као што је узорак из вреће или узорак PM-a, проверава се је ли пропорционално узорковање одржавано у складу с тачком 8.2.1. За методу једноструког филтера и дискретни стационарни испитни циклус рачуна се ефективни фактор мерења PM-а. Сви узорци који не испуњавају захтеве наведене у тачки 8.2.1. овог прилога не смеју се узети у обзир.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7.3.2.2. Кондиционирање PM-a и мерење након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Коришћени филтери узорка PM–а стављају се у прекривене или забртвљене спремнике или се држач филтера затвори како би се филтери узорка заштитили од околног загађења. Тако заштићени, напуњени се филтери морају вратити у комору или просторију за кондиционирање филтера PM-а. Филтери узорка PM-а затим се морају кондиционирати и измерети у складу с тачком 8.2.4. овог прилога (накнадно кондиционирање филтера PM-а и поступци мерења укупног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7.3.2.3. Анализа групног узорковања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Чим је могуће, мора се обавити следеће: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сви групни анализатори гаса морају се нулто и распонски умерити најкасније 30 минута након завршетка испитног циклуса или током периода кондиционирања ако је практично проверити јесу ли гасни анализатори и даље стабилни;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сви конвенционални гасни групни узорци анализирају се најкасније 30 минута након завршетка NRTC-а с топлим покретањем или током периода кондиционирања;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позадински се узорци анализирају најкасније 60 минута након завршетка NRTC-а с топлим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7.3.2.4. Верификација напретка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квантификације издувног гаса помак се мора проверити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групне и континуиране анализаторе гаса средња вредност анализатора бележи се након стабилизовања нултог гаса према анализатору. Стабилизација може укључивати време за чишћење анализатора од гаса за узорковање, али и додатно време да се узме у обзир одзив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средња вредност анализатора бележи се након стабилизовања распонског гаса према анализатору. Стабилизација може укључивати време за чишћење анализатора од гаса за узорковање, али и додатно време да се узме у обзир одзив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ти подаци употребљавају се за валидацију и корекцију напретка како је описано у тачки 8.2.2.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Хомологацијско испитивање врши се применом одговарајућег NRSC-а и, према потреби, NRTC-а или LSI-NRTC-а и њезину Прилогу 12 ове уредбе. Техничке спецификације и карактеристике NRSC-а, NRTC-а и LSI-NRTC-а утврђени су у Прилогу 5 ове уредбе, а метода за одређивање поставки обртног момента, снаге и брзине за те испитне циклусе утврђена је у одељку 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7.4.1. Стационарни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Недрумски стационарни испитни циклуси (NRSC) детаљно су описани у Додацима 1. и 2. Прилога 5 ове уредбе као попис дискретних начина рада NRSC-a (радних тачака), при чему свака радна тачка има једну вредност брзине и једну вредност закретног момента. NRSC се мора мерити са загрејаним мотором у погону у складу с произвођачевом спецификацијом. Према избору произвођача, NRSC може се спровести као NRSC с дискретним начинима рада или RMC, како је објашњено у тач. 7.4.1.1. и 7.4.1.2. овог прилога. Испитивање емисије не мора се спровести у складу с обе тач. 7.4.1.1. и 7.4.1.2.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7.4.1.1.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NRSC с дискретним начинима рада циклуси су с топлим покретањем у којима се емисије морају почети мерити након што се мотор покрене, загреје и у погону је како је наведено у тачки 7.8.1.2. овог прилога. Сваки се циклус састоји од низа начина рада с различитим брзинама обртања и оптерећењем (уз одговарајући фактор пондерисања за сваки начин рада) који покривају уобичајен радни распон специфициране категорије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7.4.1.2. Модални NRSC с прелазима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RMC су циклуси с топлим покретањем у којима се емисије морају почети мерити након што се мотор покрене, загреје и у погону је како је наведено у тачки 7.8.2.1. овог прилога. Током RMC-а мотором континуирано управља управљачка јединица </w:t>
      </w:r>
      <w:r w:rsidRPr="00B03342">
        <w:rPr>
          <w:rFonts w:ascii="Arial" w:hAnsi="Arial" w:cs="Arial"/>
          <w:color w:val="000000"/>
          <w:lang w:eastAsia="sr-Latn-RS"/>
        </w:rPr>
        <w:lastRenderedPageBreak/>
        <w:t>испитног стола. Емисије гасовитих и чврстих загађујућих материја морају се континуирано мерити и узорковати током RMC на исти начин као и у динамичким циклусима (NRTC или 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RMC је намењен да се употребљава као метода спровођења стационарног испитивања на псеудодинамички начин. Сваки се RMC састоји од низа стационарних начина рада и линеарним прелазом између њих. Релативно укупно трајање сваког начина рада и његова претходног прелаза одговарају пондерисању NRSC-a с дискретним начинима рада. Промена брзине и оптерећења мотора при преласку с једног начина рада на други мора се линеарно регулисати у времену од 20 ± 1 секунде. Време промене начина рада део је новог начина рада (укључујући први начин рада). У појединим случајевима начини рада не изводе се истим редоследом као NRSC с дискретним начинима рада или су подељени како би се спречиле екстремне промене температуре.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7.4.2. Динамички (NRTC и LSI-NRTC)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Недрумски динамички циклус за моторе категорије NRE (NRTC) и недрумски динамички циклус за велике моторе с паљењем електричном варницом категорије NRS (LSI-NRTC) наведени су у Додатку 3. Прилога 5 ове уредбе. као секундни редослед нормализованих вредности брзине обртања и закретног момента. Како би се спровело испитивање у испитној ћелији мотора, нормализоване вредности морају се претворити у њихове еквивалентне референтне вредности за појединачне моторе који ће се испитивати, и то на основу специфичних вредности брзине и закретног момента идентификованих у карактеристичној криви мотора. То се претварање назива денормализација, а испитни циклус који из тога произлази назива се референтни NRTC или LSI-NRTC испитни циклус за мотор који се испитује (видети тачку 7.7.2.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7.4.2.1. Испитни редослед за 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Графички приказ програма динамометра у нормализованом NRTC-у приказан је на слици 6.3. Програм динамометра у нормализованом NRTC-у, NRTC се мора извести два пута након завршетка преткондиционирања (видети тачку 7.3.1.1.1. овог прилога) у складу са следећим поступком: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испитивање с хладним покретањем почиње или после што се мотор и системи за накнадну обраду издувних гасова охладе на собну температуру природним хлађењем мотора или после присилног хлађења којим су се температуре мотора, расхладног средства и уља, системи за накнадну обраду те сви управљачки уређаји мотора стабилизовали између 293 и 303 К (20 и 30 °С). Мерење емисија при том испитивању почиње покретањем хладног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период кондиционирања почиње одмах након завршетка фазе хладног покретања. Мотор се мора угасити и припремити за испитивање с топлим покретањем кондиционирањем током 20 ± 1 минута;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испитивање с топлим покретањем почиње одмах после раздобља кондиционирања паљењем мотора. Гасни анализатори морају се укључити барем 10 секунди пре завршетка раздобља кондиционирања како би се избегле вршне вредности сигнала због укључивања. Мерење емисија при том испитивању почиње истовремено с паљењем хладног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Специфичне ефективне емисије, изражене у g/kWh, или бројем по киловатчасу (#/kWh) за PN, утврђују се применом поступака из овог одељка и за испитни циклус с хладним покретањем и за испитни циклус с топлим покретањем. Комбиноване пондерисане емисије прорачунавају се пондерисањем резултата добијених у испитивању с хладним покретањем за 10 % и оних добијених у испитивању с топлим покретањем за 90 % како је детаљно описано у Прилогу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7.4.2.2. Испитни редослед за 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LSI-NRTC изводи се једном с топлим покретањем након завршетка преткондиционирања (видети тачку 7.3.1.1.2. овог прилога) у складу са следећим поступком: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се покрене и ради првих 180 секунди радног циклуса, а затим 30 секунди ради у празном ходу без оптерећења. Емисије се не мере током тог редоследа загревања;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након 30-секундног рада у празном ходу мора почети мерење емисија и мотор мора радити током целог радног циклуса од почетка (време 0 секунди).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Специфичне ефективне емисије у g/kWh утврђују се применом поступака из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мотор већ радио пре испитивања, примењује се добра инжењерска процена како би се мотор охладио довољно да мерене емисије тачно репрезентују вредности емисија мотора који се покрене при собној температури. На пример, ако се мотор који се покрене при собној температури у три минуте загреје довољно да почне рад у затвореној петљи и постигне потпуна активност катализатора, тада је пре покретања следећег испитивања потребно минимално хлађење мотора. Поступак загревања мотора може укључивати до 15 минута рада у радном циклусу ако то претходно одобри техничка служба.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7.5. Општи испитни редослед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мерење емисија мотора нужно је спровести следеће кораке: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испитне брзине обртања мотора и испитна оптерећења морају се дефинисати за испитни мотор мерењем максималног закретног момента (за моторе сталне брзине) или криве максималног закретног момента (за моторе променљиве брзине) у функцији брзине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нормални испитни циклуси морају се денормализовати закретним моментом (за моторе сталне брзине) или брзинама обртања и закретним моментима (за моторе променљиве брзине) из претходне тачке 7.5.(а)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мотор, опрема и мерни инструменти унапред се припремају за следеће испитивање емисије или серију испитивања (с хладним и с топлим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поступци пре испитивања спроводе се како би се верификовао исправан рад одређене опреме и анализатора. Сви се анализатори морају умерити. Сви се предиспитни подаци морају забележити;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д) мотор се покреће (NRTC) или се држи у погону (стационарни циклуси и LSI-NRTC) на почетку испитног циклуса, а системи за узорковање покрећу се у исто време;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емисије и други захтевани параметри мере се или бележе током узорковања (за NRTC, LSI-NRTC и RMC током целог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поступци после испитивања спроводе се како би се верификовао исправан рад одређене опреме и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PM филтер мора се претходно кондиционирати, измерити (мерење без оптерећења), оптеретити, поновно кондиционирати, поновно измерити (мерење под оптерећењем), а затим се узорци евалуирају у складу с поступцима пре испитивања (тачка 7.3.1.6. овог прилога) и после испитивања (тачка 7.3.2.2.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еволуирају се резултати испитивања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слици 6.4. приказан је преглед поступака потребних за спровођење NRMM испитних циклуса уз мерење емисија издувних гасова из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6.4. Испитни редослед</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A8CBF43" wp14:editId="34924E99">
            <wp:extent cx="6687185" cy="6059170"/>
            <wp:effectExtent l="0" t="0" r="0" b="0"/>
            <wp:docPr id="273" name="Picture 273" descr="A flowchart in a technical style outlines the process of motor cycle braking, including steps for detecting braking defects, applying braking force, and managing braking system respon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flowchart in a technical style outlines the process of motor cycle braking, including steps for detecting braking defects, applying braking force, and managing braking system responses.&#10;&#10;Description generated by A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87185" cy="605917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припремање свих система за узорковање (укључујући умеравање анализатора) и прикупљање података ако се примењују динамички и стационарни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израда карактеристичног дијаграма мотора крива максималног обртног момента или правац рада при сталној брзини ако се не примењује динамички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фаза испитивања емисија издувних гасова с топлим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фаза испитивања емисија издувних гасова с хладним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преткондиционирање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спровођење најмање једног пробног циклуса, према потреби за проверу мотора/испитивања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генерисање референтног динамичког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дефинисање стационарног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израда карактеристичног дијаграма мотора (крива максималног обртног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динамички испитни циклус (NRTC и 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стационарни испитни циклус (дискретни начини рада &amp;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прорачун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прикупљање података 2) поступци после испитивања 3) евалуације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емисија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преткондиционирање и загревање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топло кондиционирање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природно или присилно хлађење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7.5.1. Покретање мотора и поновно покретање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7.5.1.1. Покретање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се покреће: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мотор затаји у било којем тренутку током испитивања NRTC-ом с хладним покретањем, цело се испитивање поништава.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мотор затаји у било којем тренутку током испитивања NRTC-ом с топлим покретањем, само се то испитивање поништава. Мотор се мора кондиционирати у складу с тачком 7.8.3. овог прилога, а испитивање с топлим покретањем мора се поновити. У том се случају испитивање с хладним покретањем не мора поновити.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Паљење се мора зауставити унутар 1 секунде након покретања мотора. Ако се мотор не покрене након 15 секунди паљења, паљење се мора зауставити и мора се утврдити разлог због којег покретање није успело, осим ако се у корисничком приручнику или у сервисном приручнику не описује дуже време паљења него што је уобичајено.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7.5.1.2. Отказивање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мотор затаји у било којем тренутку током NRTC-a с хладним покретањем, испитивање се поништава.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мотор затаји у било којем тренутку током NRTC-a с топлим покретањем, испитивање се поништава. Мотор се мора кондиционирати у складу с тачком 7.4.2.1.(б) овог прилога, а део с топлим покретањем мора се поновити. У том се случају део с хладним покретањем не мора понављати.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мотор затаји у било којем тренутку током LSI-NRTC-a, испитивање се поништава.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ако мотор затаји у било којем тренутку током NRSC-a (дискретног или с прелазима), испитивање се мора поништити и поновити тако да се најпре спроведе поступак загревања мотора. Ако се у мерењу PM-a употребљава метода вишеструког филтера (један филтер за узорковање за сваки начин рада), испитивање се мора наставити стабилизацијом мотора у претходном начину рада за кондиционирање температуре мотора, а затим покретањем мерења у начину рада у којем је мотор затајио.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7.5.1.3. Рад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„Руковаоц” може бити особа (тј. ручно управљање) или регулатор (тј. аутоматско управљање) што механички или електронички сигнализира улазну вредност којом се захтева одређена излазна вредност мотора. Улазна се вредност може задати папучицом или сигналом акцелератора, ручицом или сигналом регулатора гаса, ручицом или сигналом горива, ручицом или сигналом брзине обртања или то може бити задата вредност или сигнал регулатора.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 Мапирање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 почетка мапирања мотора мотор се мора загрејати, а поткрај загревања мора радити барем 10 минута максималном снагом или према препоруци произвођача и доброј инжењерској процени како би се стабилизујеле температуре моторног расхладног средства и уља за подмазивање. Кад се мотор стабилизује, спроводи се мапирање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произвођач током спровођења испитивања праћења у употреби о праћењу емисија мотора у употреби намерава употребљавати сигнал закретног момента који шаље ECU, ако је мотор тако опремљен, онда се током мапирања мотора додатно спроводи верификација из Додатка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Осим код мотора сталних брзина, мапирање мотора спроводи се с потпуно отвореном ручицом горива или регулатором применом дискретних брзина узлазним редоследом. Минимална и максимална брзина мапирања дефинишу се како следи: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66"/>
        <w:gridCol w:w="881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Минимална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мапирања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загрејаног мотора у празном ходу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је</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мапирања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 </w:t>
            </w:r>
            <w:r w:rsidRPr="00B03342">
              <w:rPr>
                <w:rFonts w:ascii="Arial" w:hAnsi="Arial" w:cs="Arial"/>
                <w:vertAlign w:val="subscript"/>
                <w:lang w:eastAsia="sr-Latn-RS"/>
              </w:rPr>
              <w:t>hi</w:t>
            </w:r>
            <w:r w:rsidRPr="00B03342">
              <w:rPr>
                <w:rFonts w:ascii="Arial" w:hAnsi="Arial" w:cs="Arial"/>
                <w:lang w:eastAsia="sr-Latn-RS"/>
              </w:rPr>
              <w:t> × 1,02 или брзина при којој максимални закретни момент падне на нулу, зависно о томе која је вредност мања.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 </w:t>
      </w:r>
      <w:r w:rsidRPr="00B03342">
        <w:rPr>
          <w:rFonts w:ascii="Arial" w:hAnsi="Arial" w:cs="Arial"/>
          <w:color w:val="000000"/>
          <w:vertAlign w:val="subscript"/>
          <w:lang w:eastAsia="sr-Latn-RS"/>
        </w:rPr>
        <w:t>hi</w:t>
      </w:r>
      <w:r w:rsidRPr="00B03342">
        <w:rPr>
          <w:rFonts w:ascii="Arial" w:hAnsi="Arial" w:cs="Arial"/>
          <w:color w:val="000000"/>
          <w:lang w:eastAsia="sr-Latn-RS"/>
        </w:rPr>
        <w:t> висока брзина како је дефинисано у члану 1. став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највећа могућа брзина несигурна или нерепрезентативна (нпр. за моторе без регулатора), мапирање до максималне сигурне брзине или максималне репрезентативне брзине ради се на основу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7.6.1. Мапирање мотора за NRSC променљиве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Кад се мапира мотор за NRSC променљиве брзине (само за моторе који не морају пролазити NRTC или LSI-NRTC циклус), довољан број једнако размакнутих задатих тачака мора се изабрати на основу добре инжењерске процене. У свакој се задатој тачки брзина мора стабилизовати, а закретном моменту допушта се стабилизација од барем 15 секунди. Средња вредност брзине и закретног момента бележе се у свакој задатој тачки. Препоручује се обрачун средње вредности брзине и закретног момента на основу забележених података из последњих 4 до 6 секунди. Ако је потребно, за одређивање NRSC испитних брзина и закретних момената употребљава се линеарна интерполација. Кад мотори морају додатно радити и у NRTC-у или LSI-NRTC-у, крива мапирања мотора за NRTC употребљава се за одређивање стационарних испитних брзина и закретних момената.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Мапирање мотора може се, према избору произвођача, спровести и у складу с поступком из тачке 7.6.2.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7.6.2. Мапирање мотора за NRTC и LSI-NRTC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Мапирање мотора мора се спровести према следећем поступку: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је без оптерећења и ради у празном ходу;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за моторе с регулатором ниске брзине наредба руковаоца намешта се на минимум, динамометар или други уређај за оптерећење употребљава се постизање нултог закретног момента на примарном излазном вратилу мотора, а мотору се допушта да регулише брзину. Мери се брзина загрејаног мотора у празном ходу;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за моторе без регулатора ниске брзине динамометар се намести на постизање нултог закретног момента на примарном излазном вратилу мотора, а наредба руковаоца намести се за регулисање брзине на најнижу могућу брзину обртања мотора коју је је декларисао произвођач уз минимално оптерећење (позната и као је декларисана брзина загрејаног мотора у празном ходу);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Закретни момент у празном ходу који декларише произвођач може се употребљавати за све моторе променљиве брзине (без обзира на то имају ли регулатор ниске брзине), ако је ненулти закретни момент у празном ходу репрезентативан за рад током употребе;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наредба руковаоца мора се наместити на максимум, а брзина мотора регулисати између брзине обртања загрејаног мотора у празном ходу и 95 % брзине загрејаног мотора у празном ходу. за моторе с референтним радним циклусима којима је најнижа брзина већа од брзине загрејаног мотора у празном ходу мапирање може почети између најниже референтне брзине и 95 % најниже референтне брзине;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брзина мотора повећава се просечном брзином од 8 ± 1 min</w:t>
      </w:r>
      <w:r w:rsidRPr="00B03342">
        <w:rPr>
          <w:rFonts w:ascii="Arial" w:hAnsi="Arial" w:cs="Arial"/>
          <w:color w:val="000000"/>
          <w:vertAlign w:val="superscript"/>
          <w:lang w:eastAsia="sr-Latn-RS"/>
        </w:rPr>
        <w:t>-1</w:t>
      </w:r>
      <w:r w:rsidRPr="00B03342">
        <w:rPr>
          <w:rFonts w:ascii="Arial" w:hAnsi="Arial" w:cs="Arial"/>
          <w:color w:val="000000"/>
          <w:lang w:eastAsia="sr-Latn-RS"/>
        </w:rPr>
        <w:t>/s или се мотор мапира при континуираном уједначеном порасту брзине тако да је потребно од 4 до 6 минута за повећање с минималне на максималну брзину мапирања. Распон брзине мапирања почиње између брзине загрејаног мотора у празном ходу и 95 % брзине загрејаног мотора у празном ходу, а завршава на највишој брзини изнад максималне снаге на којој се развија мање од 70 % максималне снаге. Ако је та највиша могућа брзина несигурна или нерепрезентативна (нпр. за моторе без регулатора), за мапирање до максималне сигурне брзине или максималне репрезентативне брзине употребљава се добра инжењерска процена. Брзина мотора и тачке закретног момента бележе се брзином узорковања од најмање 1 Hz;</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ако произвођач сматра да наведене технике мапирања нису сигурне или нису репрезентативне за било који од предметних мотора, могу се употребљавати алтернативне технике мапирања. Тим се алтернативним техникама мора осматрати сврха наведених поступака мапирања да се утврди максимални расположиви закретни момент при свим брзинама мотора које су постигнуте током испитних циклуса. Одступања од техника мапирања наведених у овом Одељку због сигурности или репрезентативности мора одобрити хомологацијско тело, заједно с оправдањем њихове употребе. Међутим, крива закретног момента мотора с регулатором или турбодувачем ни у којем се случају не утврђује на падајућим брзинама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мотор није потребно мапирати пре сваког испитног циклуса. Но мора се поновно мапирати ако: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је прошло неразумно много времена од задњег мапирања, што се одређује добром инжењерском проценом;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су на мотору рађене физичке промене или поновна умеравања што би могло утицати на рад мотора;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атмосферски притисак близу улаза ваздуха на мотору није унутар ± 5 kPa вредности која је забележена при задњем мапирању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7.6.3. Мапирање мотора за NRSC константне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Мотором се може управљати фабричким регулатором сталне брзине или се регулатор сталне брзине може симулирати регулисањем брзине мотора управљачким системом који ради на наредбу руковаоца. Мора се употребљавати изокрони регулатор или, према потреби, регулатор пада брзине обртања.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7.6.3.1. Провера номиналне снаге за моторе који се испитују на циклусима D2 или E2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учинити следећа провера: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кад се брзина обртања регулише регулатором или симулираним регулатором помоћу наредбе руковаоца, мотор мора радити на номиналној брзини и номиналној снази колико год је потребно за постизање стабилног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закретни момент повећава се док мотор може одржавати регулисану брзину. У тој се тачки мора забележити снага. Пре него што се спроведе та провера, произвођач и техничка служба која спроводи проверу морају договорити начин како сигурно одредити да је та тачка постигнута зависно о карактеристикама регулатора. Снага забележена у тачки (б) не сме премашити номиналну снагу за више од 12,5 %. Забележена снага не сме премашити номиналну снагу за више од 12,5 %. Ако се наведена вредност премаши, произвођач мора ревидирати декларисану номиналну снагу.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7.6.3.2. Поступак мапирања за NRSC сталне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Кад се брзина регулише регулатором или симулираним регулатором помоћу наредбе руковаоца, мотор ради на регулисаној брзини без оптерећења (високој брзини, не ниској брзини у празном ходу) најмање 15 секунди, осим ако тај мотор не може извести тај задатак;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повећавање закретног момента сталном брзином мора се употребљавати динамометар. Мапира се тако да је потребно више од 2 минуте за убрзање од регулисане брзине без оптерећења до максималног закретног момента који одговара номиналној снази мотора који се испитује у циклусима D2 или E2 или до максималног закретног момента у случају других испитних циклуса сталне брзине. Током мапирања мотора стварна брзина и закретни момент бележе се фреквенцијом од најмање 1 Hz;</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је реч о мотору сталне брзине с регулатором који се може поновно поставити на алтернативне брзине, мотор се мора испитати при свакој примењивој сталној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моторе сталне брзине, у договору с хомологацијским телом, друге методе за бележење максималног закретног момента и снаге при одређеним радним брзинама примењују се на основу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су за моторе испитане циклусима који нису D2 или E2 расположиве и измерене и је декларисаоне вредности максималног закретног момента, је декларисана вредност може се употребљавати уместо измерене вредности ако износи између 95 и 100 % измерене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 Генерисање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7.7.1. Генерисање NRSC-a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основу ове тачке морају се генерисати брзине обртања и оптерећења мотора на којима мотор мора радити током стационарних испитивања NRSC-ом с дискретним начином рада или RMC-ом.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7.7.1.1. Генерисање испитних брзина NRSC-a за моторе који се испитују NRSC-ом и NRTC-ом или LSI-NRTC-ом. За моторе који се испитују NRTC-ом или LSI-NRTC-ом поврх NRSC-a MTS из тачке 5.2.5.1. употребљава се као 100 % брзине и за динамичка испитивања и за стационарна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MTS се употребљава уместо номиналне брзине кад се међубрзина одређује у складу с тачком 5.2.5.4. Брзина обртања у празном ходу одређује се у складу с тачком 5.2.5.5.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7.7.1.2. Генерисање испитних брзина NRSC-a за моторе који се испитују само NRSC-ом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моторе који се не испитују динамичким (NRTC или LSI-NRTC) циклусом номинална брзина наведена у тачки 5.2.5.3. овог прилога употребљава се као 100 %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одређивање међубрзине у складу с тачком 5.2.5.4. овог прилога употребљава се номинална брзина. Ако су у NRSC-у додатне брзине наведене као проценат, те се брзине морају обрачунавати као проценат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обртања у празном ходу одређује се у складу с тачком 5.2.5.5.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 претходно одобрење техничке службе, MTS може се употребљавати уместо номиналне брзине за генерисање испитних брзина у овој тачки.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7.7.1.3. Генерисање NRSC оптерећења за сваки испитни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Проценат оптерећења за сваки изабрани начин рада одабраног испитног циклуса мора се узети из одговарајуће табеле NRSC-a у Додатку 1. или 2. Прилога 5 ове уредбе. Зависно о испитном циклусу, проценат оптерећења у наведеним табелама изражен је као снага или као закретни момент у складу с тачком 5.2.6. овог прилога и напоменама за сваку табелу.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 од 100 % при одређеној испитној брзини мора бити измерена или је декларисана вредност из карактеристичне криве добијене у складу с тач. 7.6.1, 7.6.2. или 7.6.3. овог прилога изражена као снага (kW).</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Поставке мотора за сваки се испитни начин рада рачунају се помоћу следеће формуле (6-14):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BDE1494" wp14:editId="41C8592B">
            <wp:extent cx="5057140" cy="501015"/>
            <wp:effectExtent l="0" t="0" r="0" b="0"/>
            <wp:docPr id="272" name="Picture 272" descr="A mathematical formula expressing S as the product of the sum of Pmax and PAUX with L divided by 100, minus PAUX.&#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mathematical formula expressing S as the product of the sum of Pmax and PAUX with L divided by 100, minus PAUX.&#10;&#10;Description generated by A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1"/>
        <w:gridCol w:w="997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поставка динамометра у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забележена или је декларисана снага при испитној брзини у условима испитивања (које је одредио произвођач) у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 декларисана укупна снага коју су апсорбовали помоћни уређаји дефинисана у једначина 6-8 (видети тачку 6.3.5.) при одређеној испитној брзини у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у процентима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Може се декларисати минимални закретни момент загрејаног мотора који је репрезентативан за рад у употреби и применити за сваку тачку оптерећења која би иначе била испод те вредности ако тип мотора неће стандардно радити испод тог минималног закретног момента, нпр. зато што ће бити спојен на недрумске покретне машине који не раде испод одређеног минималног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у случају циклуса E2 и D2 мора декларисати номиналну снагу и те се вредности морају употребљавати као 100 % снаге током припреме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7.7.2. Генерисање брзине и оптерећења за NRTC и LSI-NRTC за сваку испитну тачку (денормализација)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основу ове тачке морају се генерисати одговарајуће брзине и оптерећења мотора на којима мотор мора радити за време NRTC или LSI-NRTC испитивања. У Додатку 3. Прилога 5 ове уредбе дефинисани су важећи испитни циклуси у нормализованом облику. Нормализовани испитни циклус састоји се од редоследа спарених вредности за проценат брзине и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Нормализоване вредности брзине и закретног момента морају се трансформисати применом следећих договорних правила: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нормализована брзина претвара се у редослед референтних брзина, n ref, у складу с тачком 7.7.2.2.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нормални закретни момент изражен је као проценат мапираног закретног момента из криве генерисане у складу с тачком 7.6.2. овог прилога при одговарајућој референтној брзини. Те нормализоване вредности претварају се у редослед референтних закретних момената, T ref, у складу с тачком 7.7.2.3.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вредности референтне брзине и референтног закретног момента изражене у кохерентним јединицама множе се како би се обрачунале референтне вредности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7.7.2.1.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7.7.2.2. Денормализација брзине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мотора денормализује се помоћу следеће једначине (6-15):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E119393" wp14:editId="435736C8">
            <wp:extent cx="5057140" cy="429260"/>
            <wp:effectExtent l="0" t="0" r="0" b="8890"/>
            <wp:docPr id="271" name="Picture 271" descr="A mathematical formula expressing n_ref as the sum of n_idle and the product of percent speed divided by 100 and the difference between MTS and n_idle, labeled as equation 6-1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mathematical formula expressing n_ref as the sum of n_idle and the product of percent speed divided by 100 and the difference between MTS and n_idle, labeled as equation 6-15.&#10;&#10;Description generated by A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57140" cy="42926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6"/>
        <w:gridCol w:w="957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брзина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испитна брзина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 </w:t>
            </w:r>
            <w:r w:rsidRPr="00B03342">
              <w:rPr>
                <w:rFonts w:ascii="Arial" w:hAnsi="Arial" w:cs="Arial"/>
                <w:vertAlign w:val="subscript"/>
                <w:lang w:eastAsia="sr-Latn-RS"/>
              </w:rPr>
              <w:t>idle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обртања у празном ходу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брзине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нормализоване брзине NRTC-a или LSI-NRTC-a преузете из Додатка 3. Прилога 5 ове уредбе.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7.7.2.3. Денормализација закретног момента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Вредности закретног момента у програму динамометра мотора из Додатка 3. Прилога 5 ове уредбе. нормализују се до максималног закретног момента при одговарајућој брзини. Вредности закретног момента референтног циклуса денормализују се помоћу карактериситичне криве одређене у складу с тачком 7.6.2. овог прилога, помоћу једначине (6-16):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3DD8255" wp14:editId="63DDAB07">
            <wp:extent cx="5057140" cy="445135"/>
            <wp:effectExtent l="0" t="0" r="0" b="0"/>
            <wp:docPr id="270" name="Picture 270" descr="A mathematical formula showing torque reference as the ratio of percentage torque to maximum torque divided by 1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mathematical formula showing torque reference as the ratio of percentage torque to maximum torque divided by 100.&#10;&#10;Description generated by A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одговарајућу референтну брзину како је наведено у тачки 7.7.2.2.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75"/>
        <w:gridCol w:w="902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T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референтни закретни момент за дату референтну брзину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 закретни момент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максимални обртни момент за дату испитну брзину из мапирања мотора спроведеног у складу с тачком 7.6.2, према потреби прилагођену у складу с тачком 7.7.2.3.(б)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закретног момента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нормализованог закретног момента NRTC-а или LSI-NRTC-а из Додатка 3. Прилога 5 ове уредбе.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Минимални закретни момент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Може се је декларисати минимални закретни момент који је репрезентативан за рад током употребе. На пример ако је мотор типично спојен на недрумске покретне машине које иначе не раде испод одређеног минималног закретног момента, тај закретни момент може се декларисати и употребљавати за сваку тачку оптерећења која би иначе била испод те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Прилагођавање закретног момента мотора због помоћних уређаја уграђених ради испитивања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су помоћни уређаји монтирани у складу с Додатком 2, не сме се прилагођавати максимални закретни момент за дату испитну брзину преузету из мапирања мотора спроведеног у складу с тачком 7.6.2.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у складу с тач. 6.3.2. или 6.3.3. овог прилога потребни помоћни уређаји који су требали бити монтирани за испитивање нису постављени или су постављени помоћни уређаји које је требало уклонити за испитивање, вредност Т </w:t>
      </w:r>
      <w:r w:rsidRPr="00B03342">
        <w:rPr>
          <w:rFonts w:ascii="Arial" w:hAnsi="Arial" w:cs="Arial"/>
          <w:color w:val="000000"/>
          <w:vertAlign w:val="subscript"/>
          <w:lang w:eastAsia="sr-Latn-RS"/>
        </w:rPr>
        <w:t>max</w:t>
      </w:r>
      <w:r w:rsidRPr="00B03342">
        <w:rPr>
          <w:rFonts w:ascii="Arial" w:hAnsi="Arial" w:cs="Arial"/>
          <w:color w:val="000000"/>
          <w:lang w:eastAsia="sr-Latn-RS"/>
        </w:rPr>
        <w:t> мора се прилагодити помоћу једначине (6-17).</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911"/>
        <w:gridCol w:w="258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max</w:t>
            </w:r>
            <w:r w:rsidRPr="00B03342">
              <w:rPr>
                <w:rFonts w:ascii="Arial" w:hAnsi="Arial" w:cs="Arial"/>
                <w:lang w:eastAsia="sr-Latn-RS"/>
              </w:rPr>
              <w:t> = T </w:t>
            </w:r>
            <w:r w:rsidRPr="00B03342">
              <w:rPr>
                <w:rFonts w:ascii="Arial" w:hAnsi="Arial" w:cs="Arial"/>
                <w:vertAlign w:val="subscript"/>
                <w:lang w:eastAsia="sr-Latn-RS"/>
              </w:rPr>
              <w:t>map</w:t>
            </w:r>
            <w:r w:rsidRPr="00B03342">
              <w:rPr>
                <w:rFonts w:ascii="Arial" w:hAnsi="Arial" w:cs="Arial"/>
                <w:lang w:eastAsia="sr-Latn-RS"/>
              </w:rPr>
              <w:t> – T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(6-17)</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72"/>
        <w:gridCol w:w="342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AUX</w:t>
            </w:r>
            <w:r w:rsidRPr="00B03342">
              <w:rPr>
                <w:rFonts w:ascii="Arial" w:hAnsi="Arial" w:cs="Arial"/>
                <w:lang w:eastAsia="sr-Latn-RS"/>
              </w:rPr>
              <w:t> = T</w:t>
            </w:r>
            <w:r w:rsidRPr="00B03342">
              <w:rPr>
                <w:rFonts w:ascii="Arial" w:hAnsi="Arial" w:cs="Arial"/>
                <w:vertAlign w:val="subscript"/>
                <w:lang w:eastAsia="sr-Latn-RS"/>
              </w:rPr>
              <w:t>r</w:t>
            </w:r>
            <w:r w:rsidRPr="00B03342">
              <w:rPr>
                <w:rFonts w:ascii="Arial" w:hAnsi="Arial" w:cs="Arial"/>
                <w:lang w:eastAsia="sr-Latn-RS"/>
              </w:rPr>
              <w:t> – T</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(6-18)</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4"/>
        <w:gridCol w:w="1004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map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неприлагођени максимални закретни момент за дату испитну брзину преузету из мапирања мотора спроведеног у складу с тачком 7.6.2.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потребан за покретање помоћних уређаја које је требало монтирати, но који нису били постављени у сврху испитивања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потребан за покретање помоћних уређаја које је требало уклонити у сврху испитивања, но који су били постављени за испитивање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7.7.2.4. Пример поступка денормализације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Пример денормализације за следећу испитну тачку: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брзине = 43 %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закретног момента = 82 %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Задате су следеће вредности: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MTS = 2 200 min</w:t>
      </w:r>
      <w:r w:rsidRPr="00B03342">
        <w:rPr>
          <w:rFonts w:ascii="Arial" w:hAnsi="Arial" w:cs="Arial"/>
          <w:color w:val="000000"/>
          <w:vertAlign w:val="superscript"/>
          <w:lang w:eastAsia="sr-Latn-RS"/>
        </w:rPr>
        <w:t>– 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 </w:t>
      </w:r>
      <w:r w:rsidRPr="00B03342">
        <w:rPr>
          <w:rFonts w:ascii="Arial" w:hAnsi="Arial" w:cs="Arial"/>
          <w:color w:val="000000"/>
          <w:vertAlign w:val="subscript"/>
          <w:lang w:eastAsia="sr-Latn-RS"/>
        </w:rPr>
        <w:t>idle</w:t>
      </w:r>
      <w:r w:rsidRPr="00B03342">
        <w:rPr>
          <w:rFonts w:ascii="Arial" w:hAnsi="Arial" w:cs="Arial"/>
          <w:color w:val="000000"/>
          <w:lang w:eastAsia="sr-Latn-RS"/>
        </w:rPr>
        <w:t> = 600 min</w:t>
      </w:r>
      <w:r w:rsidRPr="00B03342">
        <w:rPr>
          <w:rFonts w:ascii="Arial" w:hAnsi="Arial" w:cs="Arial"/>
          <w:color w:val="000000"/>
          <w:vertAlign w:val="superscript"/>
          <w:lang w:eastAsia="sr-Latn-RS"/>
        </w:rPr>
        <w:t>–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даје резултат</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9F71591" wp14:editId="27033657">
            <wp:extent cx="5057140" cy="636270"/>
            <wp:effectExtent l="0" t="0" r="0" b="0"/>
            <wp:docPr id="269" name="Picture 269" descr="An equation showing the calculation of n_ref involving multiplication, subtraction, division, addition, and an equals sign with units of min to the power of negative on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 equation showing the calculation of n_ref involving multiplication, subtraction, division, addition, and an equals sign with units of min to the power of negative one.&#10;&#10;Description generated by 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7140" cy="63627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Уз максимални закретни момент од 700 Nm очитан с карактеристичне криве при 1288 min</w:t>
      </w:r>
      <w:r w:rsidRPr="00B03342">
        <w:rPr>
          <w:rFonts w:ascii="Arial" w:hAnsi="Arial" w:cs="Arial"/>
          <w:color w:val="000000"/>
          <w:vertAlign w:val="superscript"/>
          <w:lang w:eastAsia="sr-Latn-RS"/>
        </w:rPr>
        <w:t>– 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1487934" wp14:editId="145E9251">
            <wp:extent cx="3522345" cy="485140"/>
            <wp:effectExtent l="0" t="0" r="1905" b="0"/>
            <wp:docPr id="268" name="Picture 268" descr="A mathematical equation showing the calculation of torque with values multiplied and divided to equal 574 Newton met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mathematical equation showing the calculation of torque with values multiplied and divided to equal 574 Newton meters.&#10;&#10;Description generated by A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22345" cy="4851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 Поступак спровођења специфичног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7.8.1. Редослед испитивања емисије за NRSC с дискретним начином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7.8.1.1. Загревање мотора за стационарни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Мора се спровести поступак пре испитивања у складу са тачком 7.3.1. овог прилога, укључујући умеравање анализатора. Мотор се загрева у редоследу преткондиционирања из тачке 7.3.1.1.3. овог прилога Одмах након те тачке кондиционирања мора почети мерење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7.8.1.2. Спровођење NRSC-а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Испитивање се мора изводити узлазним редоследом бројева начина рада како је наведено за испитни циклус (видети Додатак 1. Прилог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Сваки начин рада траје најмање 10 минута. У сваком начину рада мотор се стабилизира најмање 5 минута. Гасовите емисије и, ако је примењиво, PN узоркују се од 1 до 3 минуте на крају сваког начина рада, а PM емисије узоркују се у складу с тачком (в).</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 доводећи у питање претходни став, ако се испитују мотори с паљењем електричном искром циклусима G1, G2 или G3 или ако се проводе мерења у складу с Прилогом 13 ове уредбе, сваки начин рада мора трајати најмање три минуте. У том се случају гасовите емисије и, ако је примењиво, PN узоркују током најмање две последње минуте у сваком начину рада, а PM емисије узоркују се у складу с тачком (в). Трајање начина рада и узорковања могу се продужити како би се побољшала тачност.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Дужина начина рада мора се забележити и навести у извештају.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PM емисије узорковање PM-а може се учинити једнофилтерском или вишефилтерском методом. Будући да се резултати тих метода могу незнатно разликовати, коришћена се метода мора навести заједно с резултатима.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методи појединачног филтера током узорковања морају се узимати у обзир фактори пондерисања спецификовани у поступку испитног циклуса и стварни проток издувних гасова за тај начин рада, и то тако да се прилагоди проток узорка и/или време узорковања. Ефективни фактор пондерисања за узорковање PM-а мора бити унутар ± 0,005 фактора пондерисања начина рада о којему је реч.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Узорковање се мора спровести што је могуће касније унутар сваког начина рада. У методи појединачног филтера завршетак узорковања PM-а мора се поклапати унутар ± 5 секунди са завршетком мерења гасовитих емисија. Време узорковања по начину рада мора бити најмање 20 секунди за методу појединачног филтера и најмање 60 секунди за методу вишеструког филтера. За системе без могућности обилазног тока време узорковања по начину рада мора бити најмање 60 секунди за обе методе, једнофилтерску и вишефилтерску.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Брзина обртања и оптерећење мотора, температура улазног ваздуха, проток горива те, кад је то примењиво, проток ваздуха или издувног гаса мере се за сваки начин рада у истом интервалу који се употребљава за мерење концентрација гасовитих материја.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Све додатне податке потребне за обрачунавање нужно је забележити.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Ако мотор затаји или се узорковање емисије прекине у било којем тренутку након почетка узорковања емисије у NRSC-у с дискретним начином рада и методи појединачног филтера, испитивање се поништава и понавља почевши од поступка загревања мотора. Ако се PM мери применом методе вишеструког филтера (један филтер за узорковање за сваки начин рада), испитивање се наставља стабилизацијом мотора у претходном начину рада за кондиционирање температуре мотора, а затим почетком мерења у начину рада у којему је мотор затајио.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Спроводе се поступци након испитивања према тачки 7.3.2.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7.8.1.3. Валидацијски критеријуми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Током сваког начина рада у датом стационарном испитном циклусу, након почетног прелазног периода, измерена брзина не сме одступати од референтне брзине за више од ± 1 % номиналне брзине или ± 3 min</w:t>
      </w:r>
      <w:r w:rsidRPr="00B03342">
        <w:rPr>
          <w:rFonts w:ascii="Arial" w:hAnsi="Arial" w:cs="Arial"/>
          <w:color w:val="000000"/>
          <w:vertAlign w:val="superscript"/>
          <w:lang w:eastAsia="sr-Latn-RS"/>
        </w:rPr>
        <w:t>– 1</w:t>
      </w:r>
      <w:r w:rsidRPr="00B03342">
        <w:rPr>
          <w:rFonts w:ascii="Arial" w:hAnsi="Arial" w:cs="Arial"/>
          <w:color w:val="000000"/>
          <w:lang w:eastAsia="sr-Latn-RS"/>
        </w:rPr>
        <w:t>, зависно о томе која је већа, осим брзине обртања у празном ходу која мора бити унутар допуштених одступања које декларише произвођач. Измерени закретни момент не сме одступати од референтног закретног момента за више од ± 2 % максималног закретног момента при датој испитној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7.8.2. Редослед испитивања емисије за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7.8.2.1. Загревање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спровести поступак пре испитивања у складу са тачки 7.3.1. овог прилога, укључујући умеравање анализатора. Мотор се загрева редоследом преткондиционирања из тачке 7.3.1.1.4. овог прилога. Одмах након тог поступка кондиционирања мотора брзина обртања и закретни момент мотора, ако већ нису задати за први испитни начин рада, морају се променити у линеарном прелазу од 20 ± 1 секунда на први испитни начин рада. Између 5 и 10 секунди након краја тог прелаза мора почети мерење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7.8.2.2. Спровођење RMC-а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се изводи према редним бројевима начина рада како је наведено за испитни циклус (видети Додатак 2. Прилог 5 ове уредбе). Ако не постоји RMC за конкретни NRSC, спроводи се поступак NRSC-а с дискретним начинима рада из тачке 7.8.1.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у сваком начину рада мора радити прописано време. Прелаз из једног начина рада у други ради се линеарно у 20 ± 1 секунда у складу с допуштеним одступањима прописанима у тачки 7.8.2.4.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Референтне вредности брзине и закретног момента за RMC генеришу се минималном фреквенцијом од 1 Hz и тај се редослед тачака мора употребљавати за извођење циклуса. Током прелаза између начина рада денормализоване референтне вредности брзине и закретног момента линеарно се мењају између двају начина рада како би се генерисале референтне тачке. Нормализоване референтне вредности закретног момента не смеју се линеарно мењати између двају начина рада, а затим </w:t>
      </w:r>
      <w:r w:rsidRPr="00B03342">
        <w:rPr>
          <w:rFonts w:ascii="Arial" w:hAnsi="Arial" w:cs="Arial"/>
          <w:color w:val="000000"/>
          <w:lang w:eastAsia="sr-Latn-RS"/>
        </w:rPr>
        <w:lastRenderedPageBreak/>
        <w:t>денормализовати. Ако прелаз брзине и закретног момента пролази кроз тачку изнад криве закретног момента мотора, он се мора наставити ради задавања референтних закретних момената, а наредба руковаоца сме ићи до максимума.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Током целог RMC-а (током сваког начина рада и укључујући прелазе између начина рада) мери се концентрација сваке гасовите загађујуће материја те се узоркују PM и PN ако постоји примењива гранична вредност. Гасовите загађујуће материја могу се мерити неразређене или разређене, а затим се бележе континуирано; ако се мере разређене, могу се узорковати и у врећу за узорковање. Узорак лебдећих честица разређује се кондиционираним и чистим ваздухом. Током целокупног поступка испитивања узима се један узорак и, ако је реч о PM-у, скупља на један филтер за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обрачун специфичних ефективних емисија рачуна се стварни циклусни рад интегрисањем стварне снаге мотора у целом циклусу.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7.8.2.3. Редослед испитивања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Спровођење RMC-а, узорковање издувних гасова, бележење података и интегрисање измерених вредности мора почети истовремено.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Брзина и закретни момент регулишу се за први начин рада у испитном циклусу.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мотор затаји у било којем тренутку спровођења RMC-а, испитивање се поништава. Мотор се мора преткондиционирати, а испитивање поновити.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На крају RMC-а узорковање се наставља, осим узорковања PM-а, при чему сви системи настављају радити како би се омогућило да прође време одзива система. Затим се узорковање и бележење заустављају, укључујући бележење позадинских узорака. Напослетку, сви се интегришући уређаји заустављају, а крај испитног циклуса означава се у забележеним подацима.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Морају се спровести поступци након испитивања према тачки 7.3.2.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7.8.2.4. Валидацијски критеријуми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RMC испитивања валидирају се регресијском анализом како је описано у тач. 7.8.3.3. и 7.8.3.5. овог прилога. Допуштена одступања RMC-а су приказана су у табели 6.1. у наставку. Допуштена одступања RMC-а различита од одступања NRTC-а из табеле 6.2. Током провођења испитивања мотора референтне снаге веће од 560 кW могу се примењивати допуштена одступања регресијског правца из табеле 6.2. и брисање тачака из табеле 6.3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6.1. Допуштена одступања регресијског правца RMC-a</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69"/>
        <w:gridCol w:w="1992"/>
        <w:gridCol w:w="3391"/>
        <w:gridCol w:w="274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color w:val="000000"/>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обртања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Стандардна грешка процене (СЕЕ) y на 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максимално 1 % номиналне брзине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максимално 2 % макс. закретног момента мотора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максимално 2 % макс. снаге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Нагиб регресијског правца, a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0,99 до 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Коефицијент детерминације, r </w:t>
            </w:r>
            <w:r w:rsidRPr="00B03342">
              <w:rPr>
                <w:rFonts w:ascii="Arial" w:hAnsi="Arial" w:cs="Arial"/>
                <w:vertAlign w:val="super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0,990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0,950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0,950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y прекид тока регресијског правца, a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 номиналне брзине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20 Nm или 2 % максималног закретног момента, зависно што је веће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4 kW или 2 % максималне снаге, зависно што је веће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RMC испитивање не спроводи на постољу за динамичко испитивање, на којем нису доступне секундарне вредности брзине и закретног момента, употребљавају се валидацијски критеријуми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за допуштена одступања брзине и закретног момента у сваком начину рада наведени су у тачки 7.8.1.3. овог прилога. На линеарне прелазе брзине и закретног момента од 20 секунди између стационарних испитних начина рада RMC-а у (тачка 7.4.1.2. овог прилога) примењују се следећа допуштена одступања брзине и оптерећења: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брзина се мора одржавати линеарном унутар ± 2 % номиналне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закретни момент мора се одржавати линеарним унутар ± 5 % максималног закретног момента при номиналној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 Динамички (NRTC и LSI-NRTC)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Наредбе за референтне брзине и закретне моменте извршавају се редом како би се спровели NRTC и LSI-NRTC. Наредбе за брзину и закретни момент издају се фреквенцијом од најмање 5 Hz. С обзиром на то да је референтни испитни циклус специфициран на 1 Hz, наредбе за брзину и закретни момент између тих вредности морају се линеарно интерполисати од референтних вредности закретног момента генерисаних при генерисању испитног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Мале денормализоване вредности брзине близу брзине обртања загрејаног мотора у празном ходу могу проузроковати активацију регулатора ниске брзине у празном ходу, а закретни момент мотора може премашити референтни закретни момент чак и ако је наредба руковаоца на минимуму. У тим случајевима препоручује се регулисање динамометра како би приоритет имало слеђење референтног закретног момента уместо референтне брзине и како би се омогућило мотору да управља брзином.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У условима хладног покретања мотори могу употребљавати уређаје за појачани празни ход како би се мотор и систем за накнадну обраду издувних гасова брзо загрејали. У тим ће условима врло ниске нормализоване брзине генерисати референтне брзине ниже од те повишене брзине обртања у празном ходу. У том се случају препоручује регулисање динамометра како би приоритет имало слеђење референтног закретног момента и како би се омогућило мотору да регулише брзину док је наредба руковаоца на минимуму.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Током испитивања емисије референтне брзине и закретни моменти те одзив брзине обртања и момента мотора бележе се минималном фреквенцијом од 1 Hz, но препоручује се фреквенција од 5 Hz или чак 10 Hz. Та је већа фреквенција бележења важна јер помаже смањити системску грешку коју изазива кашњење између референтних и измерених одзива брзине и закретног момента. Референтне и одзивне вредности брзина и закретних момената могу се бележити и при нижим фреквенцијама (до 1 Hz) ако се бележе просечне вредности током интервала између забележених вредности. Просечне вредности рачунају се на основу вредности одзива ажурираних фреквенцијом од минимално 5 Hz. Наведене забележене вредности употребљавају се за рачунање статистичких података о валидацији циклуса и укупног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7.8.3.1. Спровођење NRTC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спровести поступак пре испитивања према тачки 7.3.1. овог прилога, укључујући преткондиционирање, хлађење и умеравање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почиње како је описано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редослед почиње одмах након покретања мотора из охлађеног стања описаног у тачки 7.3.1.2. овог прилога ако је реч о NRTC-у с хладним покретањем или из периода кондиционирања загрејаног мотора ако се ради о NRTC-у с топлим покретањем. Затим почиње редослед из тачке 7.4.2.1.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Бележење података, узорковање издувних гасова и интегрисање измерених вредности мора почети истовремено с покретањем мотора. Испитни циклус мора почети кад се покрене мотор и спроводи се према распореду из Додатка 3. Прилога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На крају циклуса узорковање се наставља, при чему сви системи настављају радити како би се омогућило да прође време одзива система. Затим се узорковање и бележење заустављају, укључујући бележење позадинских узорака. Напослетку, сви се интегришући уређаји заустављају, а крај испитног циклуса означава се у забележеним подацима.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Спроводе се поступци након испитивања у складу с тачком 7.3.2.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7.8.3.2. Спровођење LSI-NRTC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спровести поступак пре испитивања у складу са ставом 7.3.1. овог прилога, укључујући преткондиционирање и умеравање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мора почети како је описано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Испитивања почиње према редоследу из тачке 7.4.2.2.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Бележење података, узорковање издувних гасова и интегрисање измерених вредности почиње истовремено с покретањем LSI-NRTC-а на крају 30-секундног рада у празном ходу наведеног у тачки 7.4.2.2.(б) овог прилога. Испитни циклус спроводи се према распореду из Додатка 3. Прилога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На крају циклуса узорковање се наставља, упри чему сви системи настављају радити како би се омогућило да прође време одзива система. Затим се узорковање и бележење заустављају, укључујући бележење позадинских узорака. Напослетку, сви интегришући уређаји се заустављају, а крај испитног циклуса означава се у забележеним подацима.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Спроводе се поступци након испитивања у складу с тачком 7.3.2.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7.8.3.3. овог прилога. Критеријуми за валидацију циклуса за динамичке (NRTC и LSI-NRTC) испитне циклусе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проверила исправност испитивања, критеријуми за валидацију циклуса из ове тачке примењују се на референтне и одзивне вредности брзине, закретног момента, снаге и укупног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7.8.3.4. Обрачун циклусног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Пре обрачуна циклусног рада морају се изоставити све вредности брзине и закретног момента забележене током покретања мотора. Тачке с негативним вредностима закретног момента морају се рачунати као нулти рад. Стварни циклусни рад W </w:t>
      </w:r>
      <w:r w:rsidRPr="00B03342">
        <w:rPr>
          <w:rFonts w:ascii="Arial" w:hAnsi="Arial" w:cs="Arial"/>
          <w:color w:val="000000"/>
          <w:vertAlign w:val="subscript"/>
          <w:lang w:eastAsia="sr-Latn-RS"/>
        </w:rPr>
        <w:t>act</w:t>
      </w:r>
      <w:r w:rsidRPr="00B03342">
        <w:rPr>
          <w:rFonts w:ascii="Arial" w:hAnsi="Arial" w:cs="Arial"/>
          <w:color w:val="000000"/>
          <w:lang w:eastAsia="sr-Latn-RS"/>
        </w:rPr>
        <w:t> (kWh) обрачунава се на основу вредности одзива брзине и закретног момента мотора. Референтни циклусни рад W </w:t>
      </w:r>
      <w:r w:rsidRPr="00B03342">
        <w:rPr>
          <w:rFonts w:ascii="Arial" w:hAnsi="Arial" w:cs="Arial"/>
          <w:color w:val="000000"/>
          <w:vertAlign w:val="subscript"/>
          <w:lang w:eastAsia="sr-Latn-RS"/>
        </w:rPr>
        <w:t>ref</w:t>
      </w:r>
      <w:r w:rsidRPr="00B03342">
        <w:rPr>
          <w:rFonts w:ascii="Arial" w:hAnsi="Arial" w:cs="Arial"/>
          <w:color w:val="000000"/>
          <w:lang w:eastAsia="sr-Latn-RS"/>
        </w:rPr>
        <w:t> (kWh) обрачунава се на основу референтних вредности брзине и закретног момента мотора. Стварни циклусни рад W </w:t>
      </w:r>
      <w:r w:rsidRPr="00B03342">
        <w:rPr>
          <w:rFonts w:ascii="Arial" w:hAnsi="Arial" w:cs="Arial"/>
          <w:color w:val="000000"/>
          <w:vertAlign w:val="subscript"/>
          <w:lang w:eastAsia="sr-Latn-RS"/>
        </w:rPr>
        <w:t>act</w:t>
      </w:r>
      <w:r w:rsidRPr="00B03342">
        <w:rPr>
          <w:rFonts w:ascii="Arial" w:hAnsi="Arial" w:cs="Arial"/>
          <w:color w:val="000000"/>
          <w:lang w:eastAsia="sr-Latn-RS"/>
        </w:rPr>
        <w:t> употребљава се за упоређивање с референтним циклусним радом W </w:t>
      </w:r>
      <w:r w:rsidRPr="00B03342">
        <w:rPr>
          <w:rFonts w:ascii="Arial" w:hAnsi="Arial" w:cs="Arial"/>
          <w:color w:val="000000"/>
          <w:vertAlign w:val="subscript"/>
          <w:lang w:eastAsia="sr-Latn-RS"/>
        </w:rPr>
        <w:t>ref</w:t>
      </w:r>
      <w:r w:rsidRPr="00B03342">
        <w:rPr>
          <w:rFonts w:ascii="Arial" w:hAnsi="Arial" w:cs="Arial"/>
          <w:color w:val="000000"/>
          <w:lang w:eastAsia="sr-Latn-RS"/>
        </w:rPr>
        <w:t> и за обрачун специфичних ефективних емисија (видети тачку 7.2.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 </w:t>
      </w:r>
      <w:r w:rsidRPr="00B03342">
        <w:rPr>
          <w:rFonts w:ascii="Arial" w:hAnsi="Arial" w:cs="Arial"/>
          <w:color w:val="000000"/>
          <w:vertAlign w:val="subscript"/>
          <w:lang w:eastAsia="sr-Latn-RS"/>
        </w:rPr>
        <w:t>act</w:t>
      </w:r>
      <w:r w:rsidRPr="00B03342">
        <w:rPr>
          <w:rFonts w:ascii="Arial" w:hAnsi="Arial" w:cs="Arial"/>
          <w:color w:val="000000"/>
          <w:lang w:eastAsia="sr-Latn-RS"/>
        </w:rPr>
        <w:t> мора бити између 85 % и 105 % вредности W </w:t>
      </w:r>
      <w:r w:rsidRPr="00B03342">
        <w:rPr>
          <w:rFonts w:ascii="Arial" w:hAnsi="Arial" w:cs="Arial"/>
          <w:color w:val="000000"/>
          <w:vertAlign w:val="subscript"/>
          <w:lang w:eastAsia="sr-Latn-RS"/>
        </w:rPr>
        <w:t>ref</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7.8.3.5. Валидацијски статистички подаци (видети Додатак 2.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Линеарна регресија између референтних и одзивних вредности рачуна се за брзину, закретни момент и снагу.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минимизирала системска грешка коју изазива кашњење између референтних и одзивних вредности циклуса, цели се редослед сигнала одзива брзине обртања мотора и закретног момента може убрзати или успорити у односу на референтни редослед брзине и закретног момента. Ако се одзивни сигнали помакну, брзина обртања и закретни момент морају се помакнути за исти износ и у истом смеру.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 се метода најмањих квадрата с једначином која најбоље одговара у облику утврђеном једначином (6-19):</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04"/>
        <w:gridCol w:w="349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y= a </w:t>
            </w:r>
            <w:r w:rsidRPr="00B03342">
              <w:rPr>
                <w:rFonts w:ascii="Arial" w:hAnsi="Arial" w:cs="Arial"/>
                <w:vertAlign w:val="subscript"/>
                <w:lang w:eastAsia="sr-Latn-RS"/>
              </w:rPr>
              <w:t>1</w:t>
            </w:r>
            <w:r w:rsidRPr="00B03342">
              <w:rPr>
                <w:rFonts w:ascii="Arial" w:hAnsi="Arial" w:cs="Arial"/>
                <w:lang w:eastAsia="sr-Latn-RS"/>
              </w:rPr>
              <w:t> x + a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3"/>
        <w:gridCol w:w="1007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одзивна вредност брзине (min</w:t>
            </w:r>
            <w:r w:rsidRPr="00B03342">
              <w:rPr>
                <w:rFonts w:ascii="Arial" w:hAnsi="Arial" w:cs="Arial"/>
                <w:vertAlign w:val="superscript"/>
                <w:lang w:eastAsia="sr-Latn-RS"/>
              </w:rPr>
              <w:t>– 1</w:t>
            </w:r>
            <w:r w:rsidRPr="00B03342">
              <w:rPr>
                <w:rFonts w:ascii="Arial" w:hAnsi="Arial" w:cs="Arial"/>
                <w:lang w:eastAsia="sr-Latn-RS"/>
              </w:rPr>
              <w:t>), закретног момента (Nm) или снаге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a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нагиб регресијског правца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референтна вредност брзине (min</w:t>
            </w:r>
            <w:r w:rsidRPr="00B03342">
              <w:rPr>
                <w:rFonts w:ascii="Arial" w:hAnsi="Arial" w:cs="Arial"/>
                <w:vertAlign w:val="superscript"/>
                <w:lang w:eastAsia="sr-Latn-RS"/>
              </w:rPr>
              <w:t>– 1</w:t>
            </w:r>
            <w:r w:rsidRPr="00B03342">
              <w:rPr>
                <w:rFonts w:ascii="Arial" w:hAnsi="Arial" w:cs="Arial"/>
                <w:lang w:eastAsia="sr-Latn-RS"/>
              </w:rPr>
              <w:t>), закретног момента (Nm) или снаге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a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y прекид тока регресијског правца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Стандардну грешку процене y на x и коефицијент детерминације (r </w:t>
      </w:r>
      <w:r w:rsidRPr="00B03342">
        <w:rPr>
          <w:rFonts w:ascii="Arial" w:hAnsi="Arial" w:cs="Arial"/>
          <w:color w:val="000000"/>
          <w:vertAlign w:val="superscript"/>
          <w:lang w:eastAsia="sr-Latn-RS"/>
        </w:rPr>
        <w:t>2</w:t>
      </w:r>
      <w:r w:rsidRPr="00B03342">
        <w:rPr>
          <w:rFonts w:ascii="Arial" w:hAnsi="Arial" w:cs="Arial"/>
          <w:color w:val="000000"/>
          <w:lang w:eastAsia="sr-Latn-RS"/>
        </w:rPr>
        <w:t>) морају се обрачунати за сваки регресијски правац у складу с Додатком 3.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Препоручује се да се та анализа спроведе при 1 Hz. Да би се испитивање сматрало важећим, морају бити испуњени критеријуми из табеле 6.2.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6.2. Одступања регресијског правца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91"/>
        <w:gridCol w:w="1837"/>
        <w:gridCol w:w="3479"/>
        <w:gridCol w:w="27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color w:val="000000"/>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Стандардна грешка процене y na 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5,0 % макс. испитне брзине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10,0 % макс. мапираног закретног момента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10,0 % макс. мапиране снаге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Нагиб регресијског правца, a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0,95 до 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0,83 – 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0,89 – 1,03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Коефицијент детерминације, r </w:t>
            </w:r>
            <w:r w:rsidRPr="00B03342">
              <w:rPr>
                <w:rFonts w:ascii="Arial" w:hAnsi="Arial" w:cs="Arial"/>
                <w:vertAlign w:val="super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0,970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0,850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минимално 0,910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y прекид тока регресијског правца, a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 брзине празног хода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20 Nm или ± 2 % макс. закретног момента, зависно што је веће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4 kW или ± 2 % макс. снаге, зависно што је веће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Само за потребе регресије, брисање тачака допуштено је према табели 6.3. пре обрачуна регресије. Међутим, те се тачке не смеју брисати за обрачун циклусног рада и емисија. Тачка празног хода дефинише се као тачка нормализованог референтног закретног момента од 0 % и нормализоване референтне брзине обртања од 0 %. Брисање тачака може се применити на целину или на било који део циклуса; морају се навести тачке на које се примењује брисање тачака.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6.3. Допуштена брисања тачака из регресијске анализе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65"/>
        <w:gridCol w:w="4022"/>
        <w:gridCol w:w="261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Догађај</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Услови (n=брзина обртања мотора, Т=обртни момент)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Допуштена брисања тачака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наредба руковаоца (тачка празног хода)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ref = </w:t>
            </w:r>
            <w:r w:rsidRPr="00B03342">
              <w:rPr>
                <w:rFonts w:ascii="Arial" w:hAnsi="Arial" w:cs="Arial"/>
                <w:lang w:eastAsia="sr-Latn-RS"/>
              </w:rPr>
              <w:t>n</w:t>
            </w:r>
            <w:r w:rsidRPr="00B03342">
              <w:rPr>
                <w:rFonts w:ascii="Arial" w:hAnsi="Arial" w:cs="Arial"/>
                <w:vertAlign w:val="subscript"/>
                <w:lang w:eastAsia="sr-Latn-RS"/>
              </w:rPr>
              <w:t>idle </w:t>
            </w:r>
            <w:r w:rsidRPr="00B03342">
              <w:rPr>
                <w:rFonts w:ascii="Arial" w:hAnsi="Arial" w:cs="Arial"/>
                <w:lang w:eastAsia="sr-Latn-RS"/>
              </w:rPr>
              <w:t>и</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ref </w:t>
            </w:r>
            <w:r w:rsidRPr="00B03342">
              <w:rPr>
                <w:rFonts w:ascii="Arial" w:hAnsi="Arial" w:cs="Arial"/>
                <w:lang w:eastAsia="sr-Latn-RS"/>
              </w:rPr>
              <w:t>= 0% и</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act </w:t>
            </w:r>
            <w:r w:rsidRPr="00B03342">
              <w:rPr>
                <w:rFonts w:ascii="Arial" w:hAnsi="Arial" w:cs="Arial"/>
                <w:lang w:eastAsia="sr-Latn-RS"/>
              </w:rPr>
              <w:t>&gt; (T</w:t>
            </w:r>
            <w:r w:rsidRPr="00B03342">
              <w:rPr>
                <w:rFonts w:ascii="Arial" w:hAnsi="Arial" w:cs="Arial"/>
                <w:vertAlign w:val="subscript"/>
                <w:lang w:eastAsia="sr-Latn-RS"/>
              </w:rPr>
              <w:t>ref</w:t>
            </w:r>
            <w:r w:rsidRPr="00B03342">
              <w:rPr>
                <w:rFonts w:ascii="Arial" w:hAnsi="Arial" w:cs="Arial"/>
                <w:lang w:eastAsia="sr-Latn-RS"/>
              </w:rPr>
              <w:t> – 0,02 T</w:t>
            </w:r>
            <w:r w:rsidRPr="00B03342">
              <w:rPr>
                <w:rFonts w:ascii="Arial" w:hAnsi="Arial" w:cs="Arial"/>
                <w:vertAlign w:val="subscript"/>
                <w:lang w:eastAsia="sr-Latn-RS"/>
              </w:rPr>
              <w:t>maxmappedtorque</w:t>
            </w:r>
            <w:r w:rsidRPr="00B03342">
              <w:rPr>
                <w:rFonts w:ascii="Arial" w:hAnsi="Arial" w:cs="Arial"/>
                <w:lang w:eastAsia="sr-Latn-RS"/>
              </w:rPr>
              <w:t>) и</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ref</w:t>
            </w:r>
            <w:r w:rsidRPr="00B03342">
              <w:rPr>
                <w:rFonts w:ascii="Arial" w:hAnsi="Arial" w:cs="Arial"/>
                <w:lang w:eastAsia="sr-Latn-RS"/>
              </w:rPr>
              <w:t> &lt; (T</w:t>
            </w:r>
            <w:r w:rsidRPr="00B03342">
              <w:rPr>
                <w:rFonts w:ascii="Arial" w:hAnsi="Arial" w:cs="Arial"/>
                <w:vertAlign w:val="subscript"/>
                <w:lang w:eastAsia="sr-Latn-RS"/>
              </w:rPr>
              <w:t>ref</w:t>
            </w:r>
            <w:r w:rsidRPr="00B03342">
              <w:rPr>
                <w:rFonts w:ascii="Arial" w:hAnsi="Arial" w:cs="Arial"/>
                <w:lang w:eastAsia="sr-Latn-RS"/>
              </w:rPr>
              <w:t> + 0,02 T</w:t>
            </w:r>
            <w:r w:rsidRPr="00B03342">
              <w:rPr>
                <w:rFonts w:ascii="Arial" w:hAnsi="Arial" w:cs="Arial"/>
                <w:vertAlign w:val="subscript"/>
                <w:lang w:eastAsia="sr-Latn-RS"/>
              </w:rPr>
              <w:t>maxmappedtorque</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и снага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наредба руковаоца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 1,02 n</w:t>
            </w:r>
            <w:r w:rsidRPr="00B03342">
              <w:rPr>
                <w:rFonts w:ascii="Arial" w:hAnsi="Arial" w:cs="Arial"/>
                <w:vertAlign w:val="subscript"/>
                <w:lang w:eastAsia="sr-Latn-RS"/>
              </w:rPr>
              <w:t>ref </w:t>
            </w:r>
            <w:r w:rsidRPr="00B03342">
              <w:rPr>
                <w:rFonts w:ascii="Arial" w:hAnsi="Arial" w:cs="Arial"/>
                <w:lang w:eastAsia="sr-Latn-RS"/>
              </w:rPr>
              <w:t>и T</w:t>
            </w:r>
            <w:r w:rsidRPr="00B03342">
              <w:rPr>
                <w:rFonts w:ascii="Arial" w:hAnsi="Arial" w:cs="Arial"/>
                <w:vertAlign w:val="subscript"/>
                <w:lang w:eastAsia="sr-Latn-RS"/>
              </w:rPr>
              <w:t>act</w:t>
            </w:r>
            <w:r w:rsidRPr="00B03342">
              <w:rPr>
                <w:rFonts w:ascii="Arial" w:hAnsi="Arial" w:cs="Arial"/>
                <w:lang w:eastAsia="sr-Latn-RS"/>
              </w:rPr>
              <w:t>&gt; T</w:t>
            </w:r>
            <w:r w:rsidRPr="00B03342">
              <w:rPr>
                <w:rFonts w:ascii="Arial" w:hAnsi="Arial" w:cs="Arial"/>
                <w:vertAlign w:val="subscript"/>
                <w:lang w:eastAsia="sr-Latn-RS"/>
              </w:rPr>
              <w:t>ref </w:t>
            </w: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&gt; n</w:t>
            </w:r>
            <w:r w:rsidRPr="00B03342">
              <w:rPr>
                <w:rFonts w:ascii="Arial" w:hAnsi="Arial" w:cs="Arial"/>
                <w:vertAlign w:val="subscript"/>
                <w:lang w:eastAsia="sr-Latn-RS"/>
              </w:rPr>
              <w:t>ref </w:t>
            </w:r>
            <w:r w:rsidRPr="00B03342">
              <w:rPr>
                <w:rFonts w:ascii="Arial" w:hAnsi="Arial" w:cs="Arial"/>
                <w:lang w:eastAsia="sr-Latn-RS"/>
              </w:rPr>
              <w:t>и T</w:t>
            </w:r>
            <w:r w:rsidRPr="00B03342">
              <w:rPr>
                <w:rFonts w:ascii="Arial" w:hAnsi="Arial" w:cs="Arial"/>
                <w:vertAlign w:val="subscript"/>
                <w:lang w:eastAsia="sr-Latn-RS"/>
              </w:rPr>
              <w:t>act </w:t>
            </w:r>
            <w:r w:rsidRPr="00B03342">
              <w:rPr>
                <w:rFonts w:ascii="Arial" w:hAnsi="Arial" w:cs="Arial"/>
                <w:lang w:eastAsia="sr-Latn-RS"/>
              </w:rPr>
              <w:t>≤ T</w:t>
            </w:r>
            <w:r w:rsidRPr="00B03342">
              <w:rPr>
                <w:rFonts w:ascii="Arial" w:hAnsi="Arial" w:cs="Arial"/>
                <w:vertAlign w:val="subscript"/>
                <w:lang w:eastAsia="sr-Latn-RS"/>
              </w:rPr>
              <w:t>ref </w:t>
            </w: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&gt; 1,02 n</w:t>
            </w:r>
            <w:r w:rsidRPr="00B03342">
              <w:rPr>
                <w:rFonts w:ascii="Arial" w:hAnsi="Arial" w:cs="Arial"/>
                <w:vertAlign w:val="subscript"/>
                <w:lang w:eastAsia="sr-Latn-RS"/>
              </w:rPr>
              <w:t>ref </w:t>
            </w:r>
            <w:r w:rsidRPr="00B03342">
              <w:rPr>
                <w:rFonts w:ascii="Arial" w:hAnsi="Arial" w:cs="Arial"/>
                <w:lang w:eastAsia="sr-Latn-RS"/>
              </w:rPr>
              <w:t>и T</w:t>
            </w:r>
            <w:r w:rsidRPr="00B03342">
              <w:rPr>
                <w:rFonts w:ascii="Arial" w:hAnsi="Arial" w:cs="Arial"/>
                <w:vertAlign w:val="subscript"/>
                <w:lang w:eastAsia="sr-Latn-RS"/>
              </w:rPr>
              <w:t>ref</w:t>
            </w:r>
            <w:r w:rsidRPr="00B03342">
              <w:rPr>
                <w:rFonts w:ascii="Arial" w:hAnsi="Arial" w:cs="Arial"/>
                <w:lang w:eastAsia="sr-Latn-RS"/>
              </w:rPr>
              <w:t> &lt; T</w:t>
            </w:r>
            <w:r w:rsidRPr="00B03342">
              <w:rPr>
                <w:rFonts w:ascii="Arial" w:hAnsi="Arial" w:cs="Arial"/>
                <w:vertAlign w:val="subscript"/>
                <w:lang w:eastAsia="sr-Latn-RS"/>
              </w:rPr>
              <w:t>act</w:t>
            </w:r>
            <w:r w:rsidRPr="00B03342">
              <w:rPr>
                <w:rFonts w:ascii="Arial" w:hAnsi="Arial" w:cs="Arial"/>
                <w:lang w:eastAsia="sr-Latn-RS"/>
              </w:rPr>
              <w:t>≤(T</w:t>
            </w:r>
            <w:r w:rsidRPr="00B03342">
              <w:rPr>
                <w:rFonts w:ascii="Arial" w:hAnsi="Arial" w:cs="Arial"/>
                <w:vertAlign w:val="subscript"/>
                <w:lang w:eastAsia="sr-Latn-RS"/>
              </w:rPr>
              <w:t>ref</w:t>
            </w:r>
            <w:r w:rsidRPr="00B03342">
              <w:rPr>
                <w:rFonts w:ascii="Arial" w:hAnsi="Arial" w:cs="Arial"/>
                <w:lang w:eastAsia="sr-Latn-RS"/>
              </w:rPr>
              <w:t> + 0,02 T</w:t>
            </w:r>
            <w:r w:rsidRPr="00B03342">
              <w:rPr>
                <w:rFonts w:ascii="Arial" w:hAnsi="Arial" w:cs="Arial"/>
                <w:vertAlign w:val="subscript"/>
                <w:lang w:eastAsia="sr-Latn-RS"/>
              </w:rPr>
              <w:t>maxmappedtorque</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и обртни момент или брзина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наредба руковаоца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&lt; n</w:t>
            </w:r>
            <w:r w:rsidRPr="00B03342">
              <w:rPr>
                <w:rFonts w:ascii="Arial" w:hAnsi="Arial" w:cs="Arial"/>
                <w:vertAlign w:val="subscript"/>
                <w:lang w:eastAsia="sr-Latn-RS"/>
              </w:rPr>
              <w:t>ref </w:t>
            </w:r>
            <w:r w:rsidRPr="00B03342">
              <w:rPr>
                <w:rFonts w:ascii="Arial" w:hAnsi="Arial" w:cs="Arial"/>
                <w:lang w:eastAsia="sr-Latn-RS"/>
              </w:rPr>
              <w:t>и T</w:t>
            </w:r>
            <w:r w:rsidRPr="00B03342">
              <w:rPr>
                <w:rFonts w:ascii="Arial" w:hAnsi="Arial" w:cs="Arial"/>
                <w:vertAlign w:val="subscript"/>
                <w:lang w:eastAsia="sr-Latn-RS"/>
              </w:rPr>
              <w:t>act </w:t>
            </w:r>
            <w:r w:rsidRPr="00B03342">
              <w:rPr>
                <w:rFonts w:ascii="Arial" w:hAnsi="Arial" w:cs="Arial"/>
                <w:lang w:eastAsia="sr-Latn-RS"/>
              </w:rPr>
              <w:t>≥ T</w:t>
            </w:r>
            <w:r w:rsidRPr="00B03342">
              <w:rPr>
                <w:rFonts w:ascii="Arial" w:hAnsi="Arial" w:cs="Arial"/>
                <w:vertAlign w:val="subscript"/>
                <w:lang w:eastAsia="sr-Latn-RS"/>
              </w:rPr>
              <w:t>ref </w:t>
            </w: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 0,98 n</w:t>
            </w:r>
            <w:r w:rsidRPr="00B03342">
              <w:rPr>
                <w:rFonts w:ascii="Arial" w:hAnsi="Arial" w:cs="Arial"/>
                <w:vertAlign w:val="subscript"/>
                <w:lang w:eastAsia="sr-Latn-RS"/>
              </w:rPr>
              <w:t>ref </w:t>
            </w:r>
            <w:r w:rsidRPr="00B03342">
              <w:rPr>
                <w:rFonts w:ascii="Arial" w:hAnsi="Arial" w:cs="Arial"/>
                <w:lang w:eastAsia="sr-Latn-RS"/>
              </w:rPr>
              <w:t>и T</w:t>
            </w:r>
            <w:r w:rsidRPr="00B03342">
              <w:rPr>
                <w:rFonts w:ascii="Arial" w:hAnsi="Arial" w:cs="Arial"/>
                <w:vertAlign w:val="subscript"/>
                <w:lang w:eastAsia="sr-Latn-RS"/>
              </w:rPr>
              <w:t>act</w:t>
            </w:r>
            <w:r w:rsidRPr="00B03342">
              <w:rPr>
                <w:rFonts w:ascii="Arial" w:hAnsi="Arial" w:cs="Arial"/>
                <w:lang w:eastAsia="sr-Latn-RS"/>
              </w:rPr>
              <w:t>&lt; T</w:t>
            </w:r>
            <w:r w:rsidRPr="00B03342">
              <w:rPr>
                <w:rFonts w:ascii="Arial" w:hAnsi="Arial" w:cs="Arial"/>
                <w:vertAlign w:val="subscript"/>
                <w:lang w:eastAsia="sr-Latn-RS"/>
              </w:rPr>
              <w:t>ref </w:t>
            </w: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&lt; 0,98 n</w:t>
            </w:r>
            <w:r w:rsidRPr="00B03342">
              <w:rPr>
                <w:rFonts w:ascii="Arial" w:hAnsi="Arial" w:cs="Arial"/>
                <w:vertAlign w:val="subscript"/>
                <w:lang w:eastAsia="sr-Latn-RS"/>
              </w:rPr>
              <w:t>ref</w:t>
            </w:r>
            <w:r w:rsidRPr="00B03342">
              <w:rPr>
                <w:rFonts w:ascii="Arial" w:hAnsi="Arial" w:cs="Arial"/>
                <w:lang w:eastAsia="sr-Latn-RS"/>
              </w:rPr>
              <w:t> и T</w:t>
            </w:r>
            <w:r w:rsidRPr="00B03342">
              <w:rPr>
                <w:rFonts w:ascii="Arial" w:hAnsi="Arial" w:cs="Arial"/>
                <w:vertAlign w:val="subscript"/>
                <w:lang w:eastAsia="sr-Latn-RS"/>
              </w:rPr>
              <w:t>ref</w:t>
            </w:r>
            <w:r w:rsidRPr="00B03342">
              <w:rPr>
                <w:rFonts w:ascii="Arial" w:hAnsi="Arial" w:cs="Arial"/>
                <w:lang w:eastAsia="sr-Latn-RS"/>
              </w:rPr>
              <w:t> &gt; T</w:t>
            </w:r>
            <w:r w:rsidRPr="00B03342">
              <w:rPr>
                <w:rFonts w:ascii="Arial" w:hAnsi="Arial" w:cs="Arial"/>
                <w:vertAlign w:val="subscript"/>
                <w:lang w:eastAsia="sr-Latn-RS"/>
              </w:rPr>
              <w:t>act</w:t>
            </w:r>
            <w:r w:rsidRPr="00B03342">
              <w:rPr>
                <w:rFonts w:ascii="Arial" w:hAnsi="Arial" w:cs="Arial"/>
                <w:lang w:eastAsia="sr-Latn-RS"/>
              </w:rPr>
              <w:t>≥ (T</w:t>
            </w:r>
            <w:r w:rsidRPr="00B03342">
              <w:rPr>
                <w:rFonts w:ascii="Arial" w:hAnsi="Arial" w:cs="Arial"/>
                <w:vertAlign w:val="subscript"/>
                <w:lang w:eastAsia="sr-Latn-RS"/>
              </w:rPr>
              <w:t>ref</w:t>
            </w:r>
            <w:r w:rsidRPr="00B03342">
              <w:rPr>
                <w:rFonts w:ascii="Arial" w:hAnsi="Arial" w:cs="Arial"/>
                <w:lang w:eastAsia="sr-Latn-RS"/>
              </w:rPr>
              <w:t> - 0,02 T</w:t>
            </w:r>
            <w:r w:rsidRPr="00B03342">
              <w:rPr>
                <w:rFonts w:ascii="Arial" w:hAnsi="Arial" w:cs="Arial"/>
                <w:vertAlign w:val="subscript"/>
                <w:lang w:eastAsia="sr-Latn-RS"/>
              </w:rPr>
              <w:t>maxmappedtorque</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и обртни момент или брзина</w:t>
            </w:r>
          </w:p>
        </w:tc>
      </w:tr>
      <w:tr w:rsidR="00DA0CD9" w:rsidRPr="00B03342" w:rsidTr="00E26D3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 чему је:</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ref </w:t>
            </w:r>
            <w:r w:rsidRPr="00B03342">
              <w:rPr>
                <w:rFonts w:ascii="Arial" w:hAnsi="Arial" w:cs="Arial"/>
                <w:lang w:eastAsia="sr-Latn-RS"/>
              </w:rPr>
              <w:t>референтна брзина (видети одељак 7.7.2 овог прилога)</w:t>
            </w:r>
          </w:p>
          <w:p w:rsidR="00DA0CD9" w:rsidRPr="00B03342" w:rsidRDefault="00DA0CD9" w:rsidP="00E26D3C">
            <w:pPr>
              <w:rPr>
                <w:rFonts w:ascii="Arial" w:hAnsi="Arial" w:cs="Arial"/>
                <w:lang w:eastAsia="sr-Latn-RS"/>
              </w:rPr>
            </w:pPr>
            <w:r w:rsidRPr="00B03342">
              <w:rPr>
                <w:rFonts w:ascii="Arial" w:hAnsi="Arial" w:cs="Arial"/>
                <w:lang w:eastAsia="sr-Latn-RS"/>
              </w:rPr>
              <w:lastRenderedPageBreak/>
              <w:t>n</w:t>
            </w:r>
            <w:r w:rsidRPr="00B03342">
              <w:rPr>
                <w:rFonts w:ascii="Arial" w:hAnsi="Arial" w:cs="Arial"/>
                <w:vertAlign w:val="subscript"/>
                <w:lang w:eastAsia="sr-Latn-RS"/>
              </w:rPr>
              <w:t>idle </w:t>
            </w:r>
            <w:r w:rsidRPr="00B03342">
              <w:rPr>
                <w:rFonts w:ascii="Arial" w:hAnsi="Arial" w:cs="Arial"/>
                <w:lang w:eastAsia="sr-Latn-RS"/>
              </w:rPr>
              <w:t>брзина обртања у празном ходу</w:t>
            </w:r>
          </w:p>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act </w:t>
            </w:r>
            <w:r w:rsidRPr="00B03342">
              <w:rPr>
                <w:rFonts w:ascii="Arial" w:hAnsi="Arial" w:cs="Arial"/>
                <w:lang w:eastAsia="sr-Latn-RS"/>
              </w:rPr>
              <w:t>стварна (измерена) брзина</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ref </w:t>
            </w:r>
            <w:r w:rsidRPr="00B03342">
              <w:rPr>
                <w:rFonts w:ascii="Arial" w:hAnsi="Arial" w:cs="Arial"/>
                <w:lang w:eastAsia="sr-Latn-RS"/>
              </w:rPr>
              <w:t>референтни обртни момент (видети одељак 7.7.2 овог прилога)</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act </w:t>
            </w:r>
            <w:r w:rsidRPr="00B03342">
              <w:rPr>
                <w:rFonts w:ascii="Arial" w:hAnsi="Arial" w:cs="Arial"/>
                <w:lang w:eastAsia="sr-Latn-RS"/>
              </w:rPr>
              <w:t>стварни (измерени) обртни момент</w:t>
            </w:r>
          </w:p>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maxmappedtorque </w:t>
            </w:r>
            <w:r w:rsidRPr="00B03342">
              <w:rPr>
                <w:rFonts w:ascii="Arial" w:hAnsi="Arial" w:cs="Arial"/>
                <w:lang w:eastAsia="sr-Latn-RS"/>
              </w:rPr>
              <w:t>највиша вредност дијаграма обртног момента при пуном оптерећењу у складу са одељком 7.6 овог прилога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8. Мерни поступци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 Умеравања и провере радног учинка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овој се тачки описују захтевана умеравања и верификације мерних система. Видети тачку 9.4. овог прилога за спецификације које вреде за појединачне инструменте.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Умеравања или верификације уопште се морају спроводити над целим мерним ланцем.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умеравање или верификација за део мерног система није одређена, тај се део система умерава и учинак му се верификује фреквенцијом која је у складу с препорукама произвођача мерног система те добром инжењерском проценом.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постигла допуштена одступања за умеравања и верификације, морају се употребљавати међународно признати следећи еталони.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8.1.2. Сумирана умеравања и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табели 6.4. сумирани су умеравања и верификације описани у Одељку 8. овог прилога и наведено је кад се морају спроводити.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6.4. Сумирана умеравања и верификација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37"/>
        <w:gridCol w:w="606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Тип умеравања или верификације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Минимална фреквенција (</w:t>
            </w:r>
            <w:r w:rsidRPr="00B03342">
              <w:rPr>
                <w:rFonts w:ascii="Arial" w:hAnsi="Arial" w:cs="Arial"/>
                <w:vertAlign w:val="superscript"/>
                <w:lang w:eastAsia="sr-Latn-RS"/>
              </w:rPr>
              <w:t>1</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8.1.3: Тачност, поновљивост и шум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Тачност: није нужно, али се препоручује за почетну инсталацију.</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Поновљивост: није нужно, али се препоручује за почетну инсталацију.</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Шум: није нужно, али се препоручује за почетну инсталацију.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8.1.4: Верификација линеарности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након почетне инсталације, у року од 370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након почетне инсталације, у року од 370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Брзине протока улазног ваздуха, ваздуха за разређивање и разређеног издувног гаса те групног узорка: након почетне инсталације, у року од 370 дана пре испитивања и након већег одржавања, осим ако се проток верификује пропанском провером или методом равнотеже угљеника или кисеоника.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неразређеног издувног гаса: након почетне инсталације, у року од 185 дана пре испитивања и након већег одржавања, осим ако се проток верификује пропанском провером или методом равнотеже угљеника или кисеоника.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Разделници гаса: након почетне инсталације, у року од 370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Анализатори гаса (осим ако није друкчије наведено): након почетне инсталације, у року од 35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FTIR анализатор: након инсталације, у року од 370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PM вага: након почетне инсталације, у року од 370 дана пре испитивања и након већега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Самостални притисак и температура: након почетне инсталације, у року од 370 дана пре испитивања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xml:space="preserve">8.1.5: Верификација одзива континуираног система анализатора гаса те ажурирања и бележења – за анализаторе гаса који се не компензују </w:t>
            </w:r>
            <w:r w:rsidRPr="00B03342">
              <w:rPr>
                <w:rFonts w:ascii="Arial" w:hAnsi="Arial" w:cs="Arial"/>
                <w:lang w:eastAsia="sr-Latn-RS"/>
              </w:rPr>
              <w:lastRenderedPageBreak/>
              <w:t>континуирано за друге врсте гасова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Након почетне инсталације или измене система која би могла утицати на одзив.</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8.1.6: Верификација одзива континуираног система анализатора гаса те ажурирања и бележења – за анализаторе гаса који се континуирано компензују за друге врсте гасова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или измене система која би могла утицати на одзив.</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8.1.7.1: Закретни момент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8.1.7.2: Притисак, температура, тачка рошења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8.1.8.1: Проток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8.1.8.2: Проток улазног ваздуха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8.1.8.3: Проток издувног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8.1.8.4: Проток разређеног издувног гаса(CVS и PFD)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8.1.8.5: Верификација CVS-a/PFD-а и склопа за групно узорковање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у року од 35 дана пре испитивања и након већег одржавања. (Пропанска провера)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8.1.8.8: Пропуштање вакуума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инсталације система за узорковање. Пре сваког лабораторијског испитивања у складу с тачком 7.1: у року од осам сати пре почетка првог испитног интервала сваког редоследа радног циклуса и након одржавања попут замене предфилтера.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8.1.9.1: Интерференција H</w:t>
            </w:r>
            <w:r w:rsidRPr="00B03342">
              <w:rPr>
                <w:rFonts w:ascii="Arial" w:hAnsi="Arial" w:cs="Arial"/>
                <w:vertAlign w:val="subscript"/>
                <w:lang w:eastAsia="sr-Latn-RS"/>
              </w:rPr>
              <w:t>2</w:t>
            </w:r>
            <w:r w:rsidRPr="00B03342">
              <w:rPr>
                <w:rFonts w:ascii="Arial" w:hAnsi="Arial" w:cs="Arial"/>
                <w:lang w:eastAsia="sr-Latn-RS"/>
              </w:rPr>
              <w:t>O за CO</w:t>
            </w:r>
            <w:r w:rsidRPr="00B03342">
              <w:rPr>
                <w:rFonts w:ascii="Arial" w:hAnsi="Arial" w:cs="Arial"/>
                <w:vertAlign w:val="subscript"/>
                <w:lang w:eastAsia="sr-Latn-RS"/>
              </w:rPr>
              <w:t>2</w:t>
            </w:r>
            <w:r w:rsidRPr="00B03342">
              <w:rPr>
                <w:rFonts w:ascii="Arial" w:hAnsi="Arial" w:cs="Arial"/>
                <w:lang w:eastAsia="sr-Latn-RS"/>
              </w:rPr>
              <w:t> NDIR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8.1.9.2: Интерференција CO</w:t>
            </w:r>
            <w:r w:rsidRPr="00B03342">
              <w:rPr>
                <w:rFonts w:ascii="Arial" w:hAnsi="Arial" w:cs="Arial"/>
                <w:vertAlign w:val="subscript"/>
                <w:lang w:eastAsia="sr-Latn-RS"/>
              </w:rPr>
              <w:t>2</w:t>
            </w:r>
            <w:r w:rsidRPr="00B03342">
              <w:rPr>
                <w:rFonts w:ascii="Arial" w:hAnsi="Arial" w:cs="Arial"/>
                <w:lang w:eastAsia="sr-Latn-RS"/>
              </w:rPr>
              <w:t> и H</w:t>
            </w:r>
            <w:r w:rsidRPr="00B03342">
              <w:rPr>
                <w:rFonts w:ascii="Arial" w:hAnsi="Arial" w:cs="Arial"/>
                <w:vertAlign w:val="subscript"/>
                <w:lang w:eastAsia="sr-Latn-RS"/>
              </w:rPr>
              <w:t>2</w:t>
            </w:r>
            <w:r w:rsidRPr="00B03342">
              <w:rPr>
                <w:rFonts w:ascii="Arial" w:hAnsi="Arial" w:cs="Arial"/>
                <w:lang w:eastAsia="sr-Latn-RS"/>
              </w:rPr>
              <w:t>O за CO NDIR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8.1.10.1: Умеравање пламенојонизацијског детектора (FID)</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Оптимизација и верификација пламенојонизацијског детектора угљо-водоника (HC FID)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Умеравање, оптимизација и утврђивање одзива CH</w:t>
            </w:r>
            <w:r w:rsidRPr="00B03342">
              <w:rPr>
                <w:rFonts w:ascii="Arial" w:hAnsi="Arial" w:cs="Arial"/>
                <w:vertAlign w:val="subscript"/>
                <w:lang w:eastAsia="sr-Latn-RS"/>
              </w:rPr>
              <w:t>4</w:t>
            </w:r>
            <w:r w:rsidRPr="00B03342">
              <w:rPr>
                <w:rFonts w:ascii="Arial" w:hAnsi="Arial" w:cs="Arial"/>
                <w:lang w:eastAsia="sr-Latn-RS"/>
              </w:rPr>
              <w:t>: након почетне инсталације и након већег одржавања.</w:t>
            </w:r>
          </w:p>
          <w:p w:rsidR="00DA0CD9" w:rsidRPr="00B03342" w:rsidRDefault="00DA0CD9" w:rsidP="00E26D3C">
            <w:pPr>
              <w:rPr>
                <w:rFonts w:ascii="Arial" w:hAnsi="Arial" w:cs="Arial"/>
                <w:lang w:eastAsia="sr-Latn-RS"/>
              </w:rPr>
            </w:pPr>
            <w:r w:rsidRPr="00B03342">
              <w:rPr>
                <w:rFonts w:ascii="Arial" w:hAnsi="Arial" w:cs="Arial"/>
                <w:lang w:eastAsia="sr-Latn-RS"/>
              </w:rPr>
              <w:t>Провера одзива CH</w:t>
            </w:r>
            <w:r w:rsidRPr="00B03342">
              <w:rPr>
                <w:rFonts w:ascii="Arial" w:hAnsi="Arial" w:cs="Arial"/>
                <w:vertAlign w:val="subscript"/>
                <w:lang w:eastAsia="sr-Latn-RS"/>
              </w:rPr>
              <w:t>4</w:t>
            </w:r>
            <w:r w:rsidRPr="00B03342">
              <w:rPr>
                <w:rFonts w:ascii="Arial" w:hAnsi="Arial" w:cs="Arial"/>
                <w:lang w:eastAsia="sr-Latn-RS"/>
              </w:rPr>
              <w:t>: након почетне инсталације, у року од 185 дана пре испитивања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8.1.10.2: Интерференција О</w:t>
            </w:r>
            <w:r w:rsidRPr="00B03342">
              <w:rPr>
                <w:rFonts w:ascii="Arial" w:hAnsi="Arial" w:cs="Arial"/>
                <w:vertAlign w:val="subscript"/>
                <w:lang w:eastAsia="sr-Latn-RS"/>
              </w:rPr>
              <w:t>2</w:t>
            </w:r>
            <w:r w:rsidRPr="00B03342">
              <w:rPr>
                <w:rFonts w:ascii="Arial" w:hAnsi="Arial" w:cs="Arial"/>
                <w:lang w:eastAsia="sr-Latn-RS"/>
              </w:rPr>
              <w:t> за FID неразређеног издувног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 све FID анализаторе: након почетне инсталације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За све FID анализаторе укупних угљо-водоника: након почетне инсталације, након већег одржавања и након</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оптимизације FID-а према тачки 8.1.10.1.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8.1.11.1: Гушење CO</w:t>
            </w:r>
            <w:r w:rsidRPr="00B03342">
              <w:rPr>
                <w:rFonts w:ascii="Arial" w:hAnsi="Arial" w:cs="Arial"/>
                <w:vertAlign w:val="subscript"/>
                <w:lang w:eastAsia="sr-Latn-RS"/>
              </w:rPr>
              <w:t>2</w:t>
            </w:r>
            <w:r w:rsidRPr="00B03342">
              <w:rPr>
                <w:rFonts w:ascii="Arial" w:hAnsi="Arial" w:cs="Arial"/>
                <w:lang w:eastAsia="sr-Latn-RS"/>
              </w:rPr>
              <w:t> и H</w:t>
            </w:r>
            <w:r w:rsidRPr="00B03342">
              <w:rPr>
                <w:rFonts w:ascii="Arial" w:hAnsi="Arial" w:cs="Arial"/>
                <w:vertAlign w:val="subscript"/>
                <w:lang w:eastAsia="sr-Latn-RS"/>
              </w:rPr>
              <w:t>2</w:t>
            </w:r>
            <w:r w:rsidRPr="00B03342">
              <w:rPr>
                <w:rFonts w:ascii="Arial" w:hAnsi="Arial" w:cs="Arial"/>
                <w:lang w:eastAsia="sr-Latn-RS"/>
              </w:rPr>
              <w:t>O за хемилуминисцентни детектор (CLD)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8.1.11.3: Интерференција HC и H</w:t>
            </w:r>
            <w:r w:rsidRPr="00B03342">
              <w:rPr>
                <w:rFonts w:ascii="Arial" w:hAnsi="Arial" w:cs="Arial"/>
                <w:vertAlign w:val="subscript"/>
                <w:lang w:eastAsia="sr-Latn-RS"/>
              </w:rPr>
              <w:t>2</w:t>
            </w:r>
            <w:r w:rsidRPr="00B03342">
              <w:rPr>
                <w:rFonts w:ascii="Arial" w:hAnsi="Arial" w:cs="Arial"/>
                <w:lang w:eastAsia="sr-Latn-RS"/>
              </w:rPr>
              <w:t>O за NDUV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8.1.11.4: Продирање NO</w:t>
            </w:r>
            <w:r w:rsidRPr="00B03342">
              <w:rPr>
                <w:rFonts w:ascii="Arial" w:hAnsi="Arial" w:cs="Arial"/>
                <w:vertAlign w:val="subscript"/>
                <w:lang w:eastAsia="sr-Latn-RS"/>
              </w:rPr>
              <w:t>2</w:t>
            </w:r>
            <w:r w:rsidRPr="00B03342">
              <w:rPr>
                <w:rFonts w:ascii="Arial" w:hAnsi="Arial" w:cs="Arial"/>
                <w:lang w:eastAsia="sr-Latn-RS"/>
              </w:rPr>
              <w:t> у уређај за сушење узорка (хладњак)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после почетне уградње и после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8.1.11.5: Конверзија претварача NO</w:t>
            </w:r>
            <w:r w:rsidRPr="00B03342">
              <w:rPr>
                <w:rFonts w:ascii="Arial" w:hAnsi="Arial" w:cs="Arial"/>
                <w:vertAlign w:val="subscript"/>
                <w:lang w:eastAsia="sr-Latn-RS"/>
              </w:rPr>
              <w:t>2</w:t>
            </w:r>
            <w:r w:rsidRPr="00B03342">
              <w:rPr>
                <w:rFonts w:ascii="Arial" w:hAnsi="Arial" w:cs="Arial"/>
                <w:lang w:eastAsia="sr-Latn-RS"/>
              </w:rPr>
              <w:t> у NO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Након почетне инсталације, у року од 35 дана пре испитивања и након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8.1.12: Верификација уређаја за сушење узорака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 топле хладњаке: после уградње и после већег одржавања. За осмотске мембране: после уградње, у року од 35 дана пре испитивања и после већег одржавања.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8.1.13.1: Вага и мерење PM-a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Независна верификација: након почетне инсталације, у року од 370 дана пре испитивања и након већег одржавања.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Верификације нултог умеравања, распонског умеравања и референтног узорка: у року од 12 сати пре мерења и након већег одржавања.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8.1.3. Верификације тачности, поновљивости и шума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Вредности радне способност појединачних инструмената специфициране у табели 6.8. овог прилога основа су за утврђивање тачности, поновљивости и шума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Није нужно верификовати тачност, поновљивост и шум инструмента. Међутим, те би верификације могле бити корисне за дефинисање спецификација новог инструмента, верификацију радног учинка новог инструмента након његове доставе или за уклањање недостатака на постојећем инструменту.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 Верификација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линеарности мора се спроводити на сваком мерном систему наведеном у табели 6.5. овог прилога барем онолико често колико је наведено у табели те у складу с препорукама произвођача мерног система и добром инжењерском проценом. Верификацијом линеарности утврђује се да мерни систем има одзив пропорционалан мерном распону који нам је важан. Верификација линеарности састоји се од уноса низа од најмање 10 референтних вредности у мерни систем, осим ако није друкчије одређено. Мерни систем квантификује сваку референтну вредност. Измерене вредности групно се упоређују с референтним вредностима помоћу линеарне регресије најмањих квадрата и критеријума линеарности наведених у табели 6.5.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8.1.4.2. Захтеви у погледу радног учинка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мерни систем не испуњава примењиве критеријуме линеарности из табеле 6.5. овог прилога, недостатак се мора исправити поновним умеравањем, сервисирањем или заменом саставних делова, зависно о потреби. Верификација линеарности понавља се након исправљања недостатка како би се осигурало да мерни систем испуњава критеријуме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8.1.4.3.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употребити се следећи протокол за верификацију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мерни систем мора радити при својим спецификованим температурама, притисцима и протоцима;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инструмент се нулто умерава као и пре испитивања емисије увођењем нултог сигнала. За анализаторе гаса употребљава се нулти гас који је у складу са спецификацијама из тачке 9.5.1. овог прилога и уводи се директно кроз отвор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инструмент се распонски умерава као и пре испитивања емисије увођењем распонског сигнала. За анализаторе гаса употребљава се распонски гас који је у складу са спецификацијама из тачке 9.5.1. овог прилога и уводи се директно кроз отвор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након распонског умеравања инструмента нула се проверава истим сигналом који је био коришћен у ставу (б) ове тачке. На основу нултог очитања добром се инжењерском проценом мора одлучити треба ли се инструмент поновно нулто и распонски умерити пре следећег корака;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на основу препорука произвођача и добре инжењерске процене за све се измерене количине бирају референтне вредности, y</w:t>
      </w:r>
      <w:r w:rsidRPr="00B03342">
        <w:rPr>
          <w:rFonts w:ascii="Arial" w:hAnsi="Arial" w:cs="Arial"/>
          <w:color w:val="000000"/>
          <w:vertAlign w:val="subscript"/>
          <w:lang w:eastAsia="sr-Latn-RS"/>
        </w:rPr>
        <w:t>ref i</w:t>
      </w:r>
      <w:r w:rsidRPr="00B03342">
        <w:rPr>
          <w:rFonts w:ascii="Arial" w:hAnsi="Arial" w:cs="Arial"/>
          <w:color w:val="000000"/>
          <w:lang w:eastAsia="sr-Latn-RS"/>
        </w:rPr>
        <w:t>, које покривају цели распон вредности које се очекују током испитивања емисије, избегавајући тиме потребу за екстраполацијом преко наведених вредности. Нулти референтни сигнал одабире се као једна од референтних вредности за верификацију линеарности. За верификацију линеарности самосталног притиска и температуре морају се одабрати барем три референтне вредности. За све друге верификације линеарности потребно је одабрати барем десет референтних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редослед увођења низова референтних вредности бира се на основу препорука произвођача инструмента и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референтне количине рачунају се и уносе како је описано у тачки 8.1.4.4. овог прилога. За анализаторе гаса употребљавају се концентрације гаса за које се зна да одговарају спецификацијама у тачки 9.5.1. овог прилога и оне се уводе директно кроз отвор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допушта се време потребно за стабилизацију инструмента док мери референтне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при фреквенцији бележења која мора најмање минимална фреквенција, како је наведено у табели 6.7, референтна вредност мери се 30 секунди и бележи се аритметичка средина забележених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кораци у ст. од (г) до (и) ове тачке понављају се док се не измере све референтне количине;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(ј) аритметичке средине и референтне вредности, y</w:t>
      </w:r>
      <w:r w:rsidRPr="00B03342">
        <w:rPr>
          <w:rFonts w:ascii="Arial" w:hAnsi="Arial" w:cs="Arial"/>
          <w:color w:val="000000"/>
          <w:vertAlign w:val="subscript"/>
          <w:lang w:eastAsia="sr-Latn-RS"/>
        </w:rPr>
        <w:t>ref i</w:t>
      </w:r>
      <w:r w:rsidRPr="00B03342">
        <w:rPr>
          <w:rFonts w:ascii="Arial" w:hAnsi="Arial" w:cs="Arial"/>
          <w:color w:val="000000"/>
          <w:lang w:eastAsia="sr-Latn-RS"/>
        </w:rPr>
        <w:t> употребљавају се за рачунање параметара линеарне регресије најмањих квадрата и статистичких вредности за упоређивање с минималним критеријумима рада из табеле 6.5. овог прилога. Употребљавају се прорачуни описани у Додатку 3.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8.1.4.4. Референтни сигнали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овој се тачки описују препоручене методе за добијање референтних вредности за протокол верификације линеарности из тачке 8.1.4.3. овог прилога. Морају се употребљавати референтне вредности које симулирају стварне вредности или се стварна вредност унесе и измери референтним мерним системом. У наредном случају, референтна је вредност она коју јавља референтни мерни систем. Референтне вредности и референтни мерни системи морају бити међународно следећи.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За системе за мерење температуре са сензорима попут термопарова, RTD-ова и термистора верификација линеарности може се учинити уклањањем сензора из система и је декларисаним симулатором уместо њега. Према потреби, употребљава се симулатор који је независно умерен и има компензацију температуре упоредног места. Међународно редоследна несигурност симулатора прилагођен према температури мора износити мање од 0,5 % максималне радне температуре T </w:t>
      </w:r>
      <w:r w:rsidRPr="00B03342">
        <w:rPr>
          <w:rFonts w:ascii="Arial" w:hAnsi="Arial" w:cs="Arial"/>
          <w:color w:val="000000"/>
          <w:vertAlign w:val="subscript"/>
          <w:lang w:eastAsia="sr-Latn-RS"/>
        </w:rPr>
        <w:t>max</w:t>
      </w:r>
      <w:r w:rsidRPr="00B03342">
        <w:rPr>
          <w:rFonts w:ascii="Arial" w:hAnsi="Arial" w:cs="Arial"/>
          <w:color w:val="000000"/>
          <w:lang w:eastAsia="sr-Latn-RS"/>
        </w:rPr>
        <w:t>. Ако се употребљава та могућност, нужно је употребљавати сензоре за које добављач гарантује да су тачнији од 0,5 % T </w:t>
      </w:r>
      <w:r w:rsidRPr="00B03342">
        <w:rPr>
          <w:rFonts w:ascii="Arial" w:hAnsi="Arial" w:cs="Arial"/>
          <w:color w:val="000000"/>
          <w:vertAlign w:val="subscript"/>
          <w:lang w:eastAsia="sr-Latn-RS"/>
        </w:rPr>
        <w:t>max</w:t>
      </w:r>
      <w:r w:rsidRPr="00B03342">
        <w:rPr>
          <w:rFonts w:ascii="Arial" w:hAnsi="Arial" w:cs="Arial"/>
          <w:color w:val="000000"/>
          <w:lang w:eastAsia="sr-Latn-RS"/>
        </w:rPr>
        <w:t> у поређењу с њиховом стандардном умерном кривом.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8.1.4.5. Мерни системи који захтевају верификацију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6.5. приказује мерне системе који захтевају верификације линеарности. За ту табелу морају се примењивати следеће одредбе: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верификација линеарности спроводи се чешће ако тако препоручи произвођач инструмента или на основу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„min” је минимална референтна вредност које се употребљава током верификације линеарности. Та вредност може износити нула или бити негативна зависно о сигналу;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„max” је уопште максимална референтна вредност које се употребљава током верификације линеарности. Нпр, за разделнике гаса, x</w:t>
      </w:r>
      <w:r w:rsidRPr="00B03342">
        <w:rPr>
          <w:rFonts w:ascii="Arial" w:hAnsi="Arial" w:cs="Arial"/>
          <w:color w:val="000000"/>
          <w:vertAlign w:val="subscript"/>
          <w:lang w:eastAsia="sr-Latn-RS"/>
        </w:rPr>
        <w:t>max</w:t>
      </w:r>
      <w:r w:rsidRPr="00B03342">
        <w:rPr>
          <w:rFonts w:ascii="Arial" w:hAnsi="Arial" w:cs="Arial"/>
          <w:color w:val="000000"/>
          <w:lang w:eastAsia="sr-Latn-RS"/>
        </w:rPr>
        <w:t> је концентрација неподељеног и неразређеног распонског гаса. Следећи су случајеви посебни јер „max” значи другу вредност: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за верификацију линеарности PM ваге m</w:t>
      </w:r>
      <w:r w:rsidRPr="00B03342">
        <w:rPr>
          <w:rFonts w:ascii="Arial" w:hAnsi="Arial" w:cs="Arial"/>
          <w:color w:val="000000"/>
          <w:vertAlign w:val="subscript"/>
          <w:lang w:eastAsia="sr-Latn-RS"/>
        </w:rPr>
        <w:t>max</w:t>
      </w:r>
      <w:r w:rsidRPr="00B03342">
        <w:rPr>
          <w:rFonts w:ascii="Arial" w:hAnsi="Arial" w:cs="Arial"/>
          <w:color w:val="000000"/>
          <w:lang w:eastAsia="sr-Latn-RS"/>
        </w:rPr>
        <w:t> односи се на типичну масу филтера PM-a;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за верификацију линеарности закретног момента Т маx односи се на произвођачеву декларисану вршну вредност закретног момента испитног мотора који има највећи закретни момент;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наведени су распони укључиви. Нпр, распон 0,98 – 1,02 за нагиб а</w:t>
      </w:r>
      <w:r w:rsidRPr="00B03342">
        <w:rPr>
          <w:rFonts w:ascii="Arial" w:hAnsi="Arial" w:cs="Arial"/>
          <w:color w:val="000000"/>
          <w:vertAlign w:val="subscript"/>
          <w:lang w:eastAsia="sr-Latn-RS"/>
        </w:rPr>
        <w:t>1</w:t>
      </w:r>
      <w:r w:rsidRPr="00B03342">
        <w:rPr>
          <w:rFonts w:ascii="Arial" w:hAnsi="Arial" w:cs="Arial"/>
          <w:color w:val="000000"/>
          <w:lang w:eastAsia="sr-Latn-RS"/>
        </w:rPr>
        <w:t> значи 0,98 ≤ a 1 ≤ 1,02;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те верификације линеарности нису потребне за системе који задовоље на верификацији брзине протока за разређени издувни гас како је описано у тачки 8.1.8.5. овог прилога за пропанску проверу или за системе који се поклапају унутар ± 2 % на основу хемијске равнотеже угљеника или кисеоника у улазном ваздуху, гориву и издувном гасу;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ђ) критеријуми а</w:t>
      </w:r>
      <w:r w:rsidRPr="00B03342">
        <w:rPr>
          <w:rFonts w:ascii="Arial" w:hAnsi="Arial" w:cs="Arial"/>
          <w:color w:val="000000"/>
          <w:vertAlign w:val="subscript"/>
          <w:lang w:eastAsia="sr-Latn-RS"/>
        </w:rPr>
        <w:t>1</w:t>
      </w:r>
      <w:r w:rsidRPr="00B03342">
        <w:rPr>
          <w:rFonts w:ascii="Arial" w:hAnsi="Arial" w:cs="Arial"/>
          <w:color w:val="000000"/>
          <w:lang w:eastAsia="sr-Latn-RS"/>
        </w:rPr>
        <w:t> за наведене количине морају бити остварени само ако се захтева апсолутна вредност количине, за разлику од сигнала који је само линеарно пропорционалан стварној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самосталне температуре обухватају температуре мотора и услове околине који се употребљавају како би се наместили или верификовали радни услови мотора, температуре за намештање или проверу критичних стања у испитном систему и температуре коришћене у обрачунима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ове су провере линеарности температуре обавезне: довод ваздуха, постоља за накнадну обраду (за моторе с уређајима за накнадну обраду издувних гасова који се испитују у циклусима с критеријумима хладног покретања), ваздух за разређивање за узорковање PM-а (CVS, двоструко разређивање и системи делимичног протока), узорак PM-а и узорак из хладњака (за системе за узорковање гасова који узорке суше у хладњацима);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следеће провере линеарности температуре обавезне су само ако их специфицира произвођач мотора: довод горива, излаз ваздуха из хладњака компримованог ваздуха испитне ћелије (за моторе који се испитују с измењивачем топлоте испитне ћелије који симулира рад хладњака компримованог ваздуха недрумске покретне машине), улаз расхладног средства у хладњак компримованог ваздуха испитне ћелије (за моторе који се испитују с измењивачем топлоте испитне ћелије који симулира рад хладњака компримованог ваздуха недрумске покретне машине), уље у кориту/посуди, расхладно средство испред термостата (за моторе који се хладе течношћу);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самостални притисци укључују притиске мотора и услове околине који се употребљавају како би се поставили или проверили услови мотора, притиске коришћене за намештање или проверу критичних стања у испитном систему, и притиске коришћене у обрачунима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обавезне су ове провере линеарности притисака: ограничење притисака довода ваздуха, подпритисак издувног гаса, барометар, манометар на улазу за CVS (ако се за мерење употребљава CVS), узорак из хладњака (за системе за узорковање гасова који узорке суше хладњацима);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провере линеарности притисака које су потребне само ако их специфицира произвођач мотора: пад притисака у хладњаку компримованог ваздуха испитне ћелије и спојној цеви (за турбомоторе који се испитују с измењивачем топлоте испитне ћелије који симулира рад хладњака компримованог ваздуха недрумске покретне машине), довод горива и одвод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6.5. Мерни системи који захтевају верификације линеарности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76"/>
        <w:gridCol w:w="865"/>
        <w:gridCol w:w="2403"/>
        <w:gridCol w:w="1106"/>
        <w:gridCol w:w="712"/>
        <w:gridCol w:w="845"/>
        <w:gridCol w:w="593"/>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Мерни систем</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фреквенција верификације</w:t>
            </w:r>
          </w:p>
        </w:tc>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Критеријуми линеарности</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w:t>
            </w:r>
            <w:r w:rsidRPr="00B03342">
              <w:rPr>
                <w:rFonts w:ascii="Arial" w:hAnsi="Arial" w:cs="Arial"/>
                <w:vertAlign w:val="subscript"/>
                <w:lang w:eastAsia="sr-Latn-RS"/>
              </w:rPr>
              <w:t>min</w:t>
            </w:r>
            <w:r w:rsidRPr="00B03342">
              <w:rPr>
                <w:rFonts w:ascii="Arial" w:hAnsi="Arial" w:cs="Arial"/>
                <w:lang w:eastAsia="sr-Latn-RS"/>
              </w:rPr>
              <w:t> · (a</w:t>
            </w:r>
            <w:r w:rsidRPr="00B03342">
              <w:rPr>
                <w:rFonts w:ascii="Arial" w:hAnsi="Arial" w:cs="Arial"/>
                <w:vertAlign w:val="subscript"/>
                <w:lang w:eastAsia="sr-Latn-RS"/>
              </w:rPr>
              <w:t>1</w:t>
            </w:r>
            <w:r w:rsidRPr="00B03342">
              <w:rPr>
                <w:rFonts w:ascii="Arial" w:hAnsi="Arial" w:cs="Arial"/>
                <w:lang w:eastAsia="sr-Latn-RS"/>
              </w:rPr>
              <w:t> –1) + a</w:t>
            </w:r>
            <w:r w:rsidRPr="00B03342">
              <w:rPr>
                <w:rFonts w:ascii="Arial" w:hAnsi="Arial" w:cs="Arial"/>
                <w:vertAlign w:val="subscript"/>
                <w:lang w:eastAsia="sr-Latn-RS"/>
              </w:rPr>
              <w:t>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SEE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r </w:t>
            </w:r>
            <w:r w:rsidRPr="00B03342">
              <w:rPr>
                <w:rFonts w:ascii="Arial" w:hAnsi="Arial" w:cs="Arial"/>
                <w:vertAlign w:val="superscript"/>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обртања мотора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0,05 % n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n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мотора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Брзина протока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m,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протока улазног ваздуха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V,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протока ваздуха за разређивање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V,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Разређени издувни гас брзина протока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V,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Неразређени издувни гас: брзина протока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185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V,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Брзина протока у склопу за групно узорковање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q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q </w:t>
            </w:r>
            <w:r w:rsidRPr="00B03342">
              <w:rPr>
                <w:rFonts w:ascii="Arial" w:hAnsi="Arial" w:cs="Arial"/>
                <w:vertAlign w:val="subscript"/>
                <w:lang w:eastAsia="sr-Latn-RS"/>
              </w:rPr>
              <w:t>V, 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Разделници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x/x </w:t>
            </w:r>
            <w:r w:rsidRPr="00B03342">
              <w:rPr>
                <w:rFonts w:ascii="Arial" w:hAnsi="Arial" w:cs="Arial"/>
                <w:vertAlign w:val="subscript"/>
                <w:lang w:eastAsia="sr-Latn-RS"/>
              </w:rPr>
              <w:t>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0,5 % x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0,98 – 1,02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2 % x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Анализатори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35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0,5 % x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0,99 – 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x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PM вага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m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0,99 – 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m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Самостални притисци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 Pmax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0,99 – 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 Pmax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Претварање самосталних сигнала температуре из аналогних у дигиталне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 року од 370 дана пре испитивања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0,99 – 1,01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 1 % T </w:t>
            </w:r>
            <w:r w:rsidRPr="00B03342">
              <w:rPr>
                <w:rFonts w:ascii="Arial" w:hAnsi="Arial" w:cs="Arial"/>
                <w:vertAlign w:val="subscript"/>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0,998</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 Верификација континуираног одзива система анализатора гаса те ажурирања и бележења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Одељку описује општи поступак верификације за одзив система континуираног анализатора гаса те ажурирање и бележење. За поступке верификације за компензацијске анализаторе видети тачку 8.1.6.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 се верификација мора учинити након инсталације или замене анализатора гаса који се употребљава за континуирано узорковање. Мора се учинити и ако се систем поновно конфигурише тако да се промени одзив система. Та је верификација нужна за континуиране анализаторе гаса који се употребљавају за динамичке испитне циклусе (NRTC и LSI-NRTC) или RMC, али не и за системе анализатора гаса из групних узорака или за континуиране системе анализатора гаса који се употребљавају само за NRSC s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8.1.5.2. Начела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Испитивањем се верификује да фреквенција ажурирања и бележења одговарају целокупном одзиву система на брзу промену вредности концентрација на сонди за узорковање. Системи анализатора гаса морају се оптимизовати тако да се њихов укупни одзив на брзу промену концентрације ажурира и бележи прикладном фреквенцијом како би се спречио губитак информација. Испитивањем се усто верификује да континуирани системи анализатора гаса одговарају минималном времену одзива.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Поставке система за еволуацију времена одзива морају бити једнаке као и током мерења у испитивању (нпр. притисак, брзине протока, поставке филтера на анализаторима и сви други утицаји на време одзива). Утврђивање времена одзива ради се уз директну замену гаса на отвору сонде за узорковање. Уређаји за замену гаса морају бити спецификовани за замену гаса у мање од 0,1 секунде. Гасови који се употребљавају за испитивање морају проузроковати промену концентрације од најмање 60 % целе скале (FS).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бележити промена концентрације сваке појединачне компоненте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8.1.5.3. Захтеви за систем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Време одзива система мора бити ≤ 10 секунди с временом пораста ≤ 5 секунди за све измерене компоненте (CO, NOx и HC) и све коришћене распоне.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 подаци (концентрација, гориво и протоци ваздуха) морају се помакнути за своје измерено време одзива пре извођења обрачуна емисија наведених у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б) Како би се доказало прихватљиво ажурирање и бележење у односу на укупни одзив система, систем мора испуњавати један од следећих критеријума: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производ средњег времена пораста и фреквенција којом систем бележи ажурирану концентрацију мора бити најмање 5. У сваком случају средње време пораста не сме бити веће од 10 секунди;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фреквенција којом систем бележи концентрацију мора бити најмање 2 Hz (видети и табелу 6.7.).</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8.1.5.4.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Следећи поступак мора се употребљавати за верификацију одзива сваког континуираног анализатора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морају се следити упутства за покретање и намештање инструмента произвођача анализаторског система. Мерни се систем према потреби прилагођава тако да оптимално ради. Та се верификација спроводи док анализатор ради на исти начин као и кад се употребљава за испитивање емисије. Ако анализатор свој систем за узорковање дели с другим анализаторима и ако ће проток гаса у друге анализаторе утицати на време одзива система, други се анализатори морају покренути и радити током те верификације. Та се верификација може истовремено радити на неколико анализатора који деле исти систем за узорковање. Ако се за време испитивања емисије употребљавају аналогни филтери или дигитални филтери у стварном времену, ти филтери морају на исти начин радити за време верификације;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за опрему којом се валидира време одзива система, препоручује се употреба најкраће могуће дужине водова за пренос гаса међу свим прикључцима, извор нултог ваздуха спаја се на отвор тропутног вентила с брзим деловањем (2 улаза, 1 излаз) како би се контролисао ток нултог гаса и мешаног распонског гаса до улаза сонде система за узорковање или Т-комада близу излаза сонде. Обично је брзина протока гаса већа од брзине протока узорка у сонди те се вишак прелива преко улаза сонде. Ако је брзина протока гаса нижа од брзине протока сонде, концентрације гаса прилагођавају се како би се надокнадило разређење из околног ваздуха који се усисава у сонду. Могу се употребљавати бинарни или вишегасни распонски гасови. За мешање распонских гасова може се употребљавати уређај за спајање или мешање. Уређај за спајање или мешање препоручује се ако се мешају распонски гасови разређени у N</w:t>
      </w:r>
      <w:r w:rsidRPr="00B03342">
        <w:rPr>
          <w:rFonts w:ascii="Arial" w:hAnsi="Arial" w:cs="Arial"/>
          <w:color w:val="000000"/>
          <w:vertAlign w:val="subscript"/>
          <w:lang w:eastAsia="sr-Latn-RS"/>
        </w:rPr>
        <w:t>2</w:t>
      </w:r>
      <w:r w:rsidRPr="00B03342">
        <w:rPr>
          <w:rFonts w:ascii="Arial" w:hAnsi="Arial" w:cs="Arial"/>
          <w:color w:val="000000"/>
          <w:lang w:eastAsia="sr-Latn-RS"/>
        </w:rPr>
        <w:t> с распонским гасовима разређенима у ваздуху.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Разделником гаса распонски гас NO–CO–CO</w:t>
      </w:r>
      <w:r w:rsidRPr="00B03342">
        <w:rPr>
          <w:rFonts w:ascii="Arial" w:hAnsi="Arial" w:cs="Arial"/>
          <w:color w:val="000000"/>
          <w:vertAlign w:val="subscript"/>
          <w:lang w:eastAsia="sr-Latn-RS"/>
        </w:rPr>
        <w:t>2</w:t>
      </w:r>
      <w:r w:rsidRPr="00B03342">
        <w:rPr>
          <w:rFonts w:ascii="Arial" w:hAnsi="Arial" w:cs="Arial"/>
          <w:color w:val="000000"/>
          <w:lang w:eastAsia="sr-Latn-RS"/>
        </w:rPr>
        <w:t>–C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–CH</w:t>
      </w:r>
      <w:r w:rsidRPr="00B03342">
        <w:rPr>
          <w:rFonts w:ascii="Arial" w:hAnsi="Arial" w:cs="Arial"/>
          <w:color w:val="000000"/>
          <w:vertAlign w:val="subscript"/>
          <w:lang w:eastAsia="sr-Latn-RS"/>
        </w:rPr>
        <w:t>4</w:t>
      </w:r>
      <w:r w:rsidRPr="00B03342">
        <w:rPr>
          <w:rFonts w:ascii="Arial" w:hAnsi="Arial" w:cs="Arial"/>
          <w:color w:val="000000"/>
          <w:lang w:eastAsia="sr-Latn-RS"/>
        </w:rPr>
        <w:t> (остатак N</w:t>
      </w:r>
      <w:r w:rsidRPr="00B03342">
        <w:rPr>
          <w:rFonts w:ascii="Arial" w:hAnsi="Arial" w:cs="Arial"/>
          <w:color w:val="000000"/>
          <w:vertAlign w:val="subscript"/>
          <w:lang w:eastAsia="sr-Latn-RS"/>
        </w:rPr>
        <w:t>2</w:t>
      </w:r>
      <w:r w:rsidRPr="00B03342">
        <w:rPr>
          <w:rFonts w:ascii="Arial" w:hAnsi="Arial" w:cs="Arial"/>
          <w:color w:val="000000"/>
          <w:lang w:eastAsia="sr-Latn-RS"/>
        </w:rPr>
        <w:t>) у једнаком се односу спаја с распонским NO</w:t>
      </w:r>
      <w:r w:rsidRPr="00B03342">
        <w:rPr>
          <w:rFonts w:ascii="Arial" w:hAnsi="Arial" w:cs="Arial"/>
          <w:color w:val="000000"/>
          <w:vertAlign w:val="subscript"/>
          <w:lang w:eastAsia="sr-Latn-RS"/>
        </w:rPr>
        <w:t>2</w:t>
      </w:r>
      <w:r w:rsidRPr="00B03342">
        <w:rPr>
          <w:rFonts w:ascii="Arial" w:hAnsi="Arial" w:cs="Arial"/>
          <w:color w:val="000000"/>
          <w:lang w:eastAsia="sr-Latn-RS"/>
        </w:rPr>
        <w:t>, остатак је прочишћени синтетски ваздух. Према потреби, уместо спојеног распонског гаса NO–CO– CO</w:t>
      </w:r>
      <w:r w:rsidRPr="00B03342">
        <w:rPr>
          <w:rFonts w:ascii="Arial" w:hAnsi="Arial" w:cs="Arial"/>
          <w:color w:val="000000"/>
          <w:vertAlign w:val="subscript"/>
          <w:lang w:eastAsia="sr-Latn-RS"/>
        </w:rPr>
        <w:t>2</w:t>
      </w:r>
      <w:r w:rsidRPr="00B03342">
        <w:rPr>
          <w:rFonts w:ascii="Arial" w:hAnsi="Arial" w:cs="Arial"/>
          <w:color w:val="000000"/>
          <w:lang w:eastAsia="sr-Latn-RS"/>
        </w:rPr>
        <w:t>–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–CH</w:t>
      </w:r>
      <w:r w:rsidRPr="00B03342">
        <w:rPr>
          <w:rFonts w:ascii="Arial" w:hAnsi="Arial" w:cs="Arial"/>
          <w:color w:val="000000"/>
          <w:vertAlign w:val="subscript"/>
          <w:lang w:eastAsia="sr-Latn-RS"/>
        </w:rPr>
        <w:t>4</w:t>
      </w:r>
      <w:r w:rsidRPr="00B03342">
        <w:rPr>
          <w:rFonts w:ascii="Arial" w:hAnsi="Arial" w:cs="Arial"/>
          <w:color w:val="000000"/>
          <w:lang w:eastAsia="sr-Latn-RS"/>
        </w:rPr>
        <w:t>, остатак је распонски N</w:t>
      </w:r>
      <w:r w:rsidRPr="00B03342">
        <w:rPr>
          <w:rFonts w:ascii="Arial" w:hAnsi="Arial" w:cs="Arial"/>
          <w:color w:val="000000"/>
          <w:vertAlign w:val="subscript"/>
          <w:lang w:eastAsia="sr-Latn-RS"/>
        </w:rPr>
        <w:t>2</w:t>
      </w:r>
      <w:r w:rsidRPr="00B03342">
        <w:rPr>
          <w:rFonts w:ascii="Arial" w:hAnsi="Arial" w:cs="Arial"/>
          <w:color w:val="000000"/>
          <w:lang w:eastAsia="sr-Latn-RS"/>
        </w:rPr>
        <w:t>, могу се употребљавати и стандардни бинарни распонски гасови; у том случају за сваки се анализатор раде засебна испитивања одзива. Излаз разделника гаса спаја се на други излаз на тросмерном вентилу. Излаз вентила спаја се на преливни отвор на сонди система анализатора гаса или преливни елемент између сонде и преносног вода до свих анализатора који се верификује. Мора се применити инсталација којом се избегавају пулсације притисака због заустављања протока кроз уређај за спајање гаса. Било који од тих састојака гаса који није важан за анализаторе у тој верификацији мора се изоставити. Друга је допуштена могућност употреба гасних боца с једним гасом и засебно мерење времена одзива;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подаци се морају прикупљати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вентил се отвара како би почео проток нултог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допуштена је стабилизација, уз узимање у обзир кашњења у преносу и пуног одзива најспоријег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подаци се морају почети бележити фреквенцијом употребљеној у испитивању емисије. Свака забележена вредност мора бити јединствена ажурирана концентрација коју измери анализатор; за измену забележених вредности не смеју се употребљавати интерполација или филтрирање;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вентил се отвара како би се омогућио проток спојених распонских гасова у анализаторе. То време региструје се као t 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допуштени су кашњења у преносу и пуни одзив најспоријег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 Проток се отвара како би се омогућио проток гаса за намештање нуле до анализатора. То време региструје се као t 100;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VII. допуштени су кашњења у преносу и пуни одзив најспоријег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VIII. кораци у ст. од IV. до VII. ове тачке понављају се како би се регистровало седам пуних циклуса. Завршава се протоком нултог гаса у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IX. бележење се прекида.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8.1.5.5. Процена учинка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Подаци из тачке 8.1.5.4.(в) употребљавају се за обрачун просечног времена пораста за сваки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је одлучено доказати усклађеност с тачком 8.1.5.3.(б) I овог прилога, примењује се следећи поступак: времена пораста (у секундама) множе се с одговарајућим фреквенцијама бележења у Hz (1/s). Вредност сваког резултата мора бити најмање 5. Ако је вредност мања од 5, мора се повећати фреквенција бележења, прилагодити проток или променити верзија система за узорковање како би се према потреби повећало време пораста. И дигитални филтери могу се конфигурисати како би се повећало време пораста;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је одлучено доказати у складу састи с тачком 8.1.5.3.(б) II, довољно је доказати у складу са захтевима из тачке 8.1.5.3.(б) II.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8.1.6. Верификација времена одзива за компензацијске анализаторе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8.1.6.1.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Ова се верификација изводи како би се утврдио одзив континуираног анализатора гаса, код којег се одзив једног анализатора компензује одзивом другог како би се квантификујела емисија гаса. За ту се проверу пара сматра гасовитим </w:t>
      </w:r>
      <w:r w:rsidRPr="00B03342">
        <w:rPr>
          <w:rFonts w:ascii="Arial" w:hAnsi="Arial" w:cs="Arial"/>
          <w:color w:val="000000"/>
          <w:lang w:eastAsia="sr-Latn-RS"/>
        </w:rPr>
        <w:lastRenderedPageBreak/>
        <w:t>састојком. Верификација се захтева за континуиране анализаторе гаса који се употребљавају за динамичке (NRTC и LSI-NRTC) испитне циклусе или RMC. Није нужна за анализаторе гаса из групних узорака или за континуиране анализаторе гаса који се употребљавају само за испитивање NRSC-ом с дискретним начиним рада. Не односи се на корекцију за воду уклоњену из узорка у накнадној обради. Мора се изводити након почетне инсталације (тј. пуштања у погон испитиване ћелије). Након већег одржавања тачка 8.1.5. може се примењивати за верификацију уједначеног одзива под условом да је сваки замењени саставни део био подвргнут верификацији овлаженог уједначеног одзива.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8.1.6.2. Начела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Овим се поступком верификује временска усклађеност и уједначени одзив мерења континуирано комбинованог гаса. За поступак се мора осигурати да су укључени сви компензацијски алгоритми и корекције влажности.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8.1.6.3. Захтеви за систем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Општи захтев за време одзива и време пораста из тачке 8.1.5.3.(а) овог прилога важи и за компензацијске анализаторе. Уз то, ако је фреквенција бележења различита од фреквенције ажурирања континуирано комбинованог/компензованог сигнала, за верификацију која се захтева тачком 8.1.5.3.(б) I овог прилога мора се употребљавати нижа од тих двају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8.1.6.4. Поступак</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Морају се употребљавати сви поступци наведени у тачки 8.1.5.4. од (а) до (в) овог прилога. Уз то, морају се мерити времена одзива и пораста водене паре ако се употребљава компензацијски алгоритам који се базира на измереној воденој пари. У том се случају најмање један од коришћених умерних гасова (али не NO</w:t>
      </w:r>
      <w:r w:rsidRPr="00B03342">
        <w:rPr>
          <w:rFonts w:ascii="Arial" w:hAnsi="Arial" w:cs="Arial"/>
          <w:color w:val="000000"/>
          <w:vertAlign w:val="subscript"/>
          <w:lang w:eastAsia="sr-Latn-RS"/>
        </w:rPr>
        <w:t>2</w:t>
      </w:r>
      <w:r w:rsidRPr="00B03342">
        <w:rPr>
          <w:rFonts w:ascii="Arial" w:hAnsi="Arial" w:cs="Arial"/>
          <w:color w:val="000000"/>
          <w:lang w:eastAsia="sr-Latn-RS"/>
        </w:rPr>
        <w:t>) мора овлаживати како је описано у наставку. Ако систем не употребљава уређај за сушење узорка за уклањање воде из гаса за узорковање, распонски гас овлажује се пуштањем смесе гасова кроз забртвљену посуду која овлажује гас до највише тачке рошења узорка која се процени за време узорковања емисије продувавањем мехурића кроз дестилисану воду. Ако систем током испитивања употребљава уређај за сушење узорка који је задовољио на верификацији, овлажена смеса гаса може се увести иза уређаја за сушење узорка продувавањем мехурића кроз дестилисану воду у забртвљеној посуди при 298 ± 10 K (25 ± 10°C) или при температури већој од тачке рошења. У свим случајевима, иза посуде, овлажени гас одржава се на температури од најмање 5 K (5</w:t>
      </w:r>
      <w:r w:rsidRPr="00B03342">
        <w:rPr>
          <w:rFonts w:ascii="Arial" w:hAnsi="Arial" w:cs="Arial"/>
          <w:color w:val="000000"/>
          <w:vertAlign w:val="superscript"/>
          <w:lang w:eastAsia="sr-Latn-RS"/>
        </w:rPr>
        <w:t>o</w:t>
      </w:r>
      <w:r w:rsidRPr="00B03342">
        <w:rPr>
          <w:rFonts w:ascii="Arial" w:hAnsi="Arial" w:cs="Arial"/>
          <w:color w:val="000000"/>
          <w:lang w:eastAsia="sr-Latn-RS"/>
        </w:rPr>
        <w:t>C) изнад локалне тачке рошења у воду. Могуће је изоставити сваки од тих састојака гаса ако је неважан за анализаторе у тој верификацији. Ако било који састојак гаса није подложан компензацији воде, провера одзива за те се анализаторе може обављати без овлаживања.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 Мерење параметара мотора и околних услова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Морају се примењивати интерни поступци за квалитету који су следиви до признатих државних или међународних еталона. У супротном се примењују следећи поступци.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8.1.7.1. Умеравање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8.1.7.1.1.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 системи за мерење закретног момента укључујући претворнике и системе за мерење закретног момента динамоментра морају се умерити након почетне инсталације и након већег одржавања, између осталог, помоћу референтне снаге или дужине полужног крака са сталним оптерећењем. За понављање умеравања употребљава се добра инжењерска процена. За линеаризацију излазне вредности сензора закретног момента морају се следити упутства произвођача претворника закретног момента. Допуштене су и друге умерне методе.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8.1.7.1.2. Умеравање сталним оптерећењем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Овом се техником примењује позната сила вешањем познатих утега на познатој дужини уздуж полужног крака. Мора се осигурати да је полужни крак утега вертикалан на гравитацију (тј. водораван) те вертикалан на осу ротације динамометра. За сваки примењиви распон мерења закретног момента примењује се најмање шест комбинација умерних утега, тако да се количине тежине распореде подједнако уздуж распона. Динамометар се мора љуљати или вртети током умеравања како би се смањила статичка хистереза због трења. Сила сваког утега одређује се множењем његове међународно редоследне масе с локалним гравитацијским убрзањем.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8.1.7.1.3. Мерило напрезања или умеравање мерног прстена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Овом се техником примењује сила или вешањем утега на полужни крак (ти утези и њихов полужни крак не употребљавају се као део одређивања референтног закретног момента) или управљањем динамометром при различитим закретним моментима. За сваки примењиви распон мерења закретног момента примењује се најмање шест комбинација силе, тако да се количине силе распореде подједнако уздуж распона. Динамометар се мора љуљати или вртети током умеравања како би се смањила статичка хистереза због трења. У том случају референтни закретни момент одређује се множењем излаза силе из референтног мерила (попут мерила напрезања или мерног прстена) с ефективном дужином полужног крака, која се мери од тачке где се мери сила до ротацијске осе динамометра. Мора се осигурати да се та дужина мери вертикалано на осу мерења референтног мерила и вертикалано на ротацијску осу динамометра.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8.1.7.2. Умеравање притисака, температуре и тачке рошења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Инструменти се морају умерити за мерење притисака, температуре и тачке рошења након почетне инсталације. За понављање умеравања морају се следити упутства произвођача инструмената те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Умеравање система за мерење температуре с термопаром, RTD-ом или сензорима терморезистора, мора се радити како је описано у тачки 8.1.4.4. овог прилога за верификацију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 Мерења која се односе на проток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8.1.8.1. Умеравање протока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Мерачи протока горива морају се умеравати након почетне инсталације. За понављање умеравања морају се следити упутства произвођача инструмената те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8.1.8.2. Умеравање протока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Мерачи протока улазног ваздуха морају се умеравати након почетне инсталације. За понављање умеравања морају се следити упутства произвођача инструмената те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8.1.8.3. Умеравање протока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Мерачи протока издувног гаса морају се умеравати након почетне инсталације. За понављање умеравања морају се следити упутства произвођача инструмената те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 Умеравање протока разређеног издувног гаса (CVS)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8.1.8.4.1. Преглед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 овом се одељку описује како умеравати мераче протока за системе узорковања сталног обима разређеног издувног гаса (CVS).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Умеравање се мора изводити док је мерач протока уграђен на стални положај. Мора се изводити након што је промењен било који део конфигурације протока испред или иза мерача који би могао утицати на умеравање мерача протока. Мора се изводити и након почетне инсталације CVS-а те сваки пут кад се корективном мером не исправи неуспела верификација протока разређеног издува (односно пропанска провера) у тачки 8.1.8.5.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Мерач протока с CVS-ом умерава се референтним мерачем протока као што је подзвучни Вентуријев мерач протока, сапница протока с великим проносом, елемент лаminарног протока, мерач с глатком пригушницом, комплет Вентуријевих цеви с критичним протоком или ултразвучни мерач протока. Употребљава се референтни мерач протока који даје међународно редоследне количине унутар ± 1 % несигурности. Одзив тог референтног мерача протока употребљава се као референтна вредност за умеравање мерача протока с CVS-ом.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Не сме се употребљавати преграда или неко друго ограничење које би могло утицати на проток испред референтног мерача протока, осим ако мерач протока није умерен с таквим ограничењем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Умерни редослед описан под овом тачком 8.1.8.4. овог прилога односи се на моларни приступ. За одговарајући редослед који се употребљава у приступу базираном на маси видети тачку 2.5.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CFV или SSV могу се уклонити са својег сталног положаја за умеравање ако су при инсталацији у CVS били испуњени следећи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након инсталације CFV-а или SSV-а у CVS примењује се добра инжењерска процена како би се проверило да нема пропуштања између улаза CVS-а и Вентуријеве цеви;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након умеравања Вентуријеве цеви на лицу места све комбинације протока Вентуријеве цеви морају бити проверене у односу на CFV-ове или на минимално 10 тачака протока за SSV спровођењем пропанске провере како је описано у тачки 8.1.8.5. овог прилога; Резултат пропанске провере за сваку тачку протока Вентуријеве цеви не сме премашити одступање из тачке 8.1.8.5.6.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како би се верификовало умеравање на лицу места за CVS који има више од једног CFV-а, мора се спровести следећа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како би се осигурао сталан доток пропана у тунел за разређивање, употребљава се уређај сталног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концентрације угљо-водоника мере се при минимално 10 засебних брзина протока за мерач протока са SSV-ом или на свим могућим комбинацијама протока за мерач протока с CFV-ом, при чему се проток пропана одржава сталним;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позадинска концентрација угљо-водоника у ваздуху за разређивање мери се на почетку и крају тог испитивања. Просечна позадинска концентрација из сваког мерења на свакој тачки протока мора се одузети пре спровођења регресијске анализе из става IV;</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мора се спровести потенцијска регресија помоћу свих спарених вредности брзине протока и кориговане концентрације како би се добио однос у облику y = a × b, при чему је концентрација независна варијабла, а брзина протока зависна варијабла. За сваку је податковну тачку потребно обрачунати разлику између измерене брзине протока и вредности изражене прилагођавањем криве. Разлика у свакој тачки мора бити мања од ± 1 % одговарајуће вредности регресије. Вредност b мора бити између -1,005 и -0,995. Ако резултати не задовољавају те граничне вредности, морају се предузети корективне мере које су у складу с тачком 8.1.8.5.1.(а)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8.1.8.4.2. Умеравање PDP-а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Волуметричка пумпа (PDP) мора се умеравати да се утврди једначина протока у односу на брзину обртања PDP-а којом се у обзир узима пропуштање бртвених површина у PDP-у у функцији улазног притисака PDP-а. Јединствени коефицијенти једначине морају се одредити за сваку брзину на којој ради PDP. Мерач протока с PDP-ом мора се умеравати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систем се спаја како је приказано на слици 6.5.;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пропуштање између умерног мерача протока и PDP-а мора бити мање од 0,3 % укупног протока на најнижој умереној тачки протока; нпр, на тачки највећег ограничења и најмање брзине обртања PDP-а;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док ради, на улазу PDP-а мора се одржавати стална температура која мора бити унутар ± 2 % средње апсолутне улазне температуре, T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г) брзина PDP-а намештена је на прву тачку брзине на којој се планира умеравање;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варијабилни ограничивач поставља се у потпуно отворени положај;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val="en-US"/>
        </w:rPr>
        <w:drawing>
          <wp:inline distT="0" distB="0" distL="0" distR="0" wp14:anchorId="0B1FD96A" wp14:editId="5FE45C85">
            <wp:extent cx="675640" cy="318135"/>
            <wp:effectExtent l="0" t="0" r="0" b="5715"/>
            <wp:docPr id="267" name="Picture 267" descr="A mathematical expression showing a variable q with a bar over it multiplied by the square root of a subscripted reference variable labeled &quot;ref.&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mathematical expression showing a variable q with a bar over it multiplied by the square root of a subscripted reference variable labeled &quot;ref.&quot;&#10;&#10;Description generated by A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5640" cy="318135"/>
                    </a:xfrm>
                    <a:prstGeom prst="rect">
                      <a:avLst/>
                    </a:prstGeom>
                    <a:noFill/>
                    <a:ln>
                      <a:noFill/>
                    </a:ln>
                  </pic:spPr>
                </pic:pic>
              </a:graphicData>
            </a:graphic>
          </wp:inline>
        </w:drawing>
      </w:r>
      <w:r w:rsidRPr="00B03342">
        <w:rPr>
          <w:rFonts w:ascii="Arial" w:hAnsi="Arial" w:cs="Arial"/>
          <w:color w:val="000000"/>
          <w:lang w:eastAsia="sr-Latn-RS"/>
        </w:rPr>
        <w:t> (е) вентил ограничивача поступно се затвара како би се смањио апсолутни притисак на улазу PDP-a, p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кораци у ст. 8.1.8.4.2. (ђ) и (д) овог прилога понављају се како би се регистровали подаци на најмање шест положаја ограничивача који одражавају пуни распон могућих притисака током употребе на улазу PDP-a;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PDP се умерава применом прикупљених података и једначина из Прилог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кораци у ст. од (ђ) до (з) ове тачке понављају се за сваку брзину на којој ради PDP;</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(ј) једначине у Одељку 3. Прилогa 10 ове уредбе (моларни приступ) или Одељку 2. Прилог 10 ове уредбе (приступ базиран на маси) употребљавају се за одређивање једначине протока PDP-a за испитивање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 умеравање се верификује спровођењем верификације CVS-a (тј. пропанском провером) како је описано у тачки 8.1.8.5.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 PDP се не сме употребљавати испод најнижег улазног притисака који се испитује за време умеравања.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8.1.8.4.3. Умеравање CFV-a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Вентуријева цев с критичним протоком (CFV) умерава се како би јој се верификовао коефицијент протока, C </w:t>
      </w:r>
      <w:r w:rsidRPr="00B03342">
        <w:rPr>
          <w:rFonts w:ascii="Arial" w:hAnsi="Arial" w:cs="Arial"/>
          <w:color w:val="000000"/>
          <w:vertAlign w:val="subscript"/>
          <w:lang w:eastAsia="sr-Latn-RS"/>
        </w:rPr>
        <w:t>d</w:t>
      </w:r>
      <w:r w:rsidRPr="00B03342">
        <w:rPr>
          <w:rFonts w:ascii="Arial" w:hAnsi="Arial" w:cs="Arial"/>
          <w:color w:val="000000"/>
          <w:lang w:eastAsia="sr-Latn-RS"/>
        </w:rPr>
        <w:t>, на најнижем очекиваном статичком диференцијалном притиску између улаза и излаза CFV-a. Мерач протока с CFV-ом мора се умеравати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систем се спаја како је приказано на слици 6.5.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дуваљка се покреће иза CFV-a;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док CFV ради потребно је одржавати константну температуру на улазу CFV-a. Температура мора бити унутар ± 2 % средње апсолутне улазне температуре, T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пропуштање између умерног мерача протока и CFV-a мора бити мање од 0,3 % укупног протока на највећем ограничењу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варијабилни ограничивач мора се поставити у потпуно отворени положај. Уместо варијабилног ограничивача притисак иза CFV-а може се варирати мењањем брзине дуваљке или увођењем контролисаног пропуштања. Нека дуваљке имају ограничења у условима без оптерећења;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 CFV мора радити најмање три минута да се систем стабилизује. Затим се, док CFV континуирано ради, бележе средње вредности података узоркованих најмање 30 секунди о свакој од следећих количина: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средњој брзини протока референтног мерача протока, </w:t>
      </w:r>
      <w:r w:rsidRPr="00B03342">
        <w:rPr>
          <w:rFonts w:ascii="Arial" w:hAnsi="Arial" w:cs="Arial"/>
          <w:color w:val="000000"/>
          <w:lang w:val="en-US"/>
        </w:rPr>
        <w:drawing>
          <wp:inline distT="0" distB="0" distL="0" distR="0" wp14:anchorId="56BE502D" wp14:editId="5E16C3D5">
            <wp:extent cx="675640" cy="278130"/>
            <wp:effectExtent l="0" t="0" r="0" b="7620"/>
            <wp:docPr id="266" name="Picture 266" descr="A mathematical expression showing a variable q with a bar over it multiplied by the square root of a subscripted reference variable labeled &quot;ref.&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mathematical expression showing a variable q with a bar over it multiplied by the square root of a subscripted reference variable labeled &quot;ref.&quot;&#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5640" cy="278130"/>
                    </a:xfrm>
                    <a:prstGeom prst="rect">
                      <a:avLst/>
                    </a:prstGeom>
                    <a:noFill/>
                    <a:ln>
                      <a:noFill/>
                    </a:ln>
                  </pic:spPr>
                </pic:pic>
              </a:graphicData>
            </a:graphic>
          </wp:inline>
        </w:drawing>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опционо, средњој тачки рошења умерног ваздуха, T dew. Видети Прилог 10 ове уредбе за допуштене претпоставке за време мерења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средњој температури на улазу Вентуријеве цеви, T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средњем статичком апсолутном притиску на улазу Вентуријеве цеви, p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средњем статичком диференцијалном притиску између улаза CFV-a и излаза CFV-a, Δp CFV;</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вентил ограничивача поступно се затвара како би се смањио апсолутни притисак на улазу CFV-a, p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 кораци у ст. (ф) и (г) ове тачке понављају се како би се регистровали средњи подаци на минимално десет положаја ограничивача тако да се испита највећи практични распон Δp CFV очекиван за време испитивања. Није потребно уклонити умерне саставне делове или саставне делове CVS-a за умеравање на најнижим могућим тачкама ограничења;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вредност C d и највећи допуштени однос р притисака утврђују се како је описано у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(j) вредност C d мора се употребити за утврђивање протока CFV-а за време испитивања емисије. CFV се не сме употребљавати испод највишег допуштеног односа р, како је одређено у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 умеравање се верификује спровођењем верификације CVS-а (тј. пропанском провером) како је описано у тачки 8.1.8.5.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 ако је CVS конфигурисан тако да истовремено ради више од једног CFV-а, CVS се мора умеравати на један од следећих начина: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свака комбинација CFV-ова мора се умеравати у складу с овим Одељком и Прилога 10 ове уредбе. Видети Прилог 10 ове уредбе за упутства о обрачуну брзина протока за ову могућност;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сваки се CFV мора умеравати у складу с овом тачком и Прилога 10 ове уредбе Видети Прилог 10 ове уредбе за упутства о обрачуну брзина протока за ову могућност.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8.1.8.4.4. Умеравање SSV-а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Подзвучна Вентуријева цев (SSV) мора се умеравати како би јој се одредио умерени коефицијент, C </w:t>
      </w:r>
      <w:r w:rsidRPr="00B03342">
        <w:rPr>
          <w:rFonts w:ascii="Arial" w:hAnsi="Arial" w:cs="Arial"/>
          <w:color w:val="000000"/>
          <w:vertAlign w:val="subscript"/>
          <w:lang w:eastAsia="sr-Latn-RS"/>
        </w:rPr>
        <w:t>d</w:t>
      </w:r>
      <w:r w:rsidRPr="00B03342">
        <w:rPr>
          <w:rFonts w:ascii="Arial" w:hAnsi="Arial" w:cs="Arial"/>
          <w:color w:val="000000"/>
          <w:lang w:eastAsia="sr-Latn-RS"/>
        </w:rPr>
        <w:t>, за очекивани распон улазних притисака. Мерач протока SSV-а мора се умеравати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систем се спаја како је приказано на слици 6.5.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дуваљка се покреће иза SSV-а;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пропуштање између умерног мерача протока и SSV-а мора бити мање од 0,3 % укупног протока на највећем ограничењу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док SSV ради одржава се константна температура на улазу SSV-а која мора бити унутар ± 2 % средње апсолутне улазне температуре, T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варијабилни ограничивач или дуваљка променљиве брзине наместе се на брзину протока већу од највеће брзине протока која се очекује за време испитивања. Брзине протока не смеју се екстраполисати изнад умерених вредности па се препоручује да се осигура да је Рејнулдсов број, Re, на грлу SSV-a на највећој умереној брзини протока већи од максималног Re који се очекује за време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SSV ради најмање 3 минуте да се систем стабилизује. Затим се, док CFV континуирано ради, бележе средње вредности података узоркованих најмање 30 секунди по свакој од следећих количина: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средњој брзини протока референтног мерача протока, </w:t>
      </w:r>
      <w:r w:rsidRPr="00B03342">
        <w:rPr>
          <w:rFonts w:ascii="Arial" w:hAnsi="Arial" w:cs="Arial"/>
          <w:color w:val="000000"/>
          <w:lang w:val="en-US"/>
        </w:rPr>
        <w:drawing>
          <wp:inline distT="0" distB="0" distL="0" distR="0" wp14:anchorId="2A63BB64" wp14:editId="4F18AC37">
            <wp:extent cx="675640" cy="278130"/>
            <wp:effectExtent l="0" t="0" r="0" b="7620"/>
            <wp:docPr id="265" name="Picture 265" descr="A mathematical expression showing a variable q with a bar over it multiplied by the square root of a subscripted reference variable labeled &quot;ref.&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mathematical expression showing a variable q with a bar over it multiplied by the square root of a subscripted reference variable labeled &quot;ref.&quot;&#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5640" cy="278130"/>
                    </a:xfrm>
                    <a:prstGeom prst="rect">
                      <a:avLst/>
                    </a:prstGeom>
                    <a:noFill/>
                    <a:ln>
                      <a:noFill/>
                    </a:ln>
                  </pic:spPr>
                </pic:pic>
              </a:graphicData>
            </a:graphic>
          </wp:inline>
        </w:drawing>
      </w:r>
      <w:r w:rsidRPr="00B03342">
        <w:rPr>
          <w:rFonts w:ascii="Arial" w:hAnsi="Arial" w:cs="Arial"/>
          <w:color w:val="000000"/>
          <w:lang w:eastAsia="sr-Latn-RS"/>
        </w:rPr>
        <w:t>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опционо, средњој тачки рошења умерног ваздуха, T dew. Видети Прилог 10 ове уредбе за допуштене претпоставке;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средњој температури на улазу Вентуријеве цеви, T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средњем статичком апсолутном притиску на улазу Вентуријеве цеви, p 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статичком диференцијалном притиску између статичког притисака на улазу Вентуријеве цеви и статичког притисака на грлу Вентуријеве цеви, Δp SSV;</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вентил ограничивача поступно се затвара или се брзина дуваљке смањује како би се смањила брзина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кораци у ст. (ф) и (г) ове тачке понављају се како би се подаци забележили на минимално десет брзина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функционални облик C d у односу на Re одређује се је декларисањем прикупљених података и једначина у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умеравање се верификује спровођењем верификације CVS-a (тј. пропанском провером) како је описано у тачки 8.1.8.5. овог прилога применом нове једначине C d у односу на Re;</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(ј) SSV се употребљава само између минималних и максималних умерених брзина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 једначине у Одељку 3. Прилога 10 ове уредбе (моларни приступ) или Одељку 2. Прилога 10 ове уредбе (приступ базиран на маси) употребљавају се за одређивање протока SSV-а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8.1.8.4.5. Ултразвучно умеравање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6.5. Шематски прикази за умеравање протока разређених издувних гасова (CVS)</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00939F5D" wp14:editId="3A555D0C">
            <wp:extent cx="5057140" cy="5398770"/>
            <wp:effectExtent l="0" t="0" r="0" b="0"/>
            <wp:docPr id="264" name="Picture 264" descr="Three technical diagrams show fluid flow systems with labeled components including reference flow meters, variable restrictors, pressure and temperature sensors, a PDP device, a CFV device with pressure regulation and a fan, and an SSV device with a variable fan, all annotated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ree technical diagrams show fluid flow systems with labeled components including reference flow meters, variable restrictors, pressure and temperature sensors, a PDP device, a CFV device with pressure regulation and a fan, and an SSV device with a variable fan, all annotated in a non-English language.&#10;&#10;Description generated by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57140" cy="539877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 Верификација CVS-а и склопа за групно узорковање (пропанска провера)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8.1.8.5.1. Увод</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Пропанска провера служи као верификација CVS-а како би се утврдило постоји ли одступање у измереним вредностима протока разређених издувних гасова. Пропанска провера служи и као верификација склопа за групно узорковање како би се утврдило постоји ли одступање у систему за групно узорковање којим се издваја узорак из CVS-а, како је описано у ставу (ф) ове тачке. Примењујући добру инжењерску процену и сигурне праксе, та се провера може учинити и гасом који није пропан, као CO</w:t>
      </w:r>
      <w:r w:rsidRPr="00B03342">
        <w:rPr>
          <w:rFonts w:ascii="Arial" w:hAnsi="Arial" w:cs="Arial"/>
          <w:color w:val="000000"/>
          <w:vertAlign w:val="subscript"/>
          <w:lang w:eastAsia="sr-Latn-RS"/>
        </w:rPr>
        <w:t>2</w:t>
      </w:r>
      <w:r w:rsidRPr="00B03342">
        <w:rPr>
          <w:rFonts w:ascii="Arial" w:hAnsi="Arial" w:cs="Arial"/>
          <w:color w:val="000000"/>
          <w:lang w:eastAsia="sr-Latn-RS"/>
        </w:rPr>
        <w:t> или CO. Неуспела пропанска провера може указивати на један или више следећих проблема за које могу бити потребне корективне мере: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неправилно умеравање анализатора. FID се мора поновно умерити, поправити или заменити;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провере пропуштања изводе се на тунелу, прикључцима и причвршћивачима CVS-а те систему за узорковање HC-а према тачки 8.1.8.7.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верификација лошег мешања изводи се у складу с тачком 9.2.2.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верификација контаминације угљоводоником у систему узорковања изводи се како је описано у тачки 7.3.1.3.;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промена у умеравању CVS-а. Умеравање мерача протока с CVS-ом на лицу места изводи се како је описано у тачки 8.1.8.4.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 други проблеми с CVS-ом или хардвером или софтвером за верификацију узорковања. Испитују се одступања CVS система те хардвер и софтвер за верификацију CVS-а;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при пропанској провери употребљава се референтна маса или референтна брзина протока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као гас за праћење у CVS-у. Ако се употребљава референтна брзина протока, мора се образложити свако неидеално понашање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 референтном мерачу протока. Видети Одељак 2. Прилога 10 ове уредбе (приступ базиран на маси) или Одељак 3. Прилога 10 ове уредбе (моларни приступ) у којима је описано како умеравати и употребљавати одређене мераче протока. У тачки 8.1.8.5. овог прилога и Прилога 10 ове уредбе не сме се применити ниједна претпоставка идеалног гаса. Пропанском провером упоређује се обрачуната маса убризганог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помоћу мерења HC-а и мерења брзине протока CVS-а с референтном вредношћу.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8.1.8.5.2. Метода увођења познате количине пропана у CVS систем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Укупна тачност CVS-а и аналитичког система утврђује се увођењем познате масе загађујућег гаса у систем који стандардно ради. Загађујућа се материја анализира, а маса обрачунава у складу с Прилога 10 ове уредбе. Мора се употребити једна од двају техника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Мерење гравиметријском техником, како је описано у наставку. Маса мале боце испуњене угљениковим моноксидом или пропаном мери се прецизношћу од ± 0,01 g. CVS систем мора радити као у уобичајеном испитивању емисије издувних гасова у приближном трајању од 5 до 10 минута, док се истовремено угљо-моноксид или пропан убризгава у систем. Количина издувног чистог гаса утврђује се диференцијалним мерењем. Узорак гаса анализира се уобичајеном опремом (врећом за узорковање или интегришућом методом), а маса гаса се обрачунава.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Мерење пригушницом критичног протока спроводи се како је описано у наставку. Позната количина чистог гаса (угљо-моноксид или пропан) уводи се у CVS систем кроз умерену критичну пригушницу. Ако је улазни притисак довољно висок, тада брзина протока, која се прилагођава пригушницом критичног протока, не зависи о излазном притиску пригушнице (критични проток). Систем CVS ради као у уобичајеном испитивању емисије издувног гаса приближно 5 до 10 минута. Узорак гаса анализира се уобичајеном опремом (врећом за узорковање или интегришућом методом), а маса гаса се обрачунава.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8.1.8.5.3. Припрема пропанске провере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Пропанска провера мора се припремити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ако се уместо референтне брзине протока употребљава референтна маса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потребно је набавити боцу напуњену с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Маса боце референтног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утврђује се унутар ± 0,5 % количине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коју се планира употребити;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за CVS и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одабиру се одговарајуће брзине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у CVS-у се одабире улаз за убризгавање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Место улаза одабире се тако да буде што ближе месту где се издув мотора уводи у CVS. Боца с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спаја се на систем за убризгавање;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CVS мора радити и стабилизовати 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сви измењивачи топлоте у систему за узорковање морају се претходно загрејати или охладити;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мора се омогућити да се загрејани или охлађени саставни делови као што су водови за узорке, филтери, хладњаци и пумпе стабилизује при радној температури;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ако је примењиво, верификација непропусности на вакуумској страни система за узорковање HC-а изводи се како је описано у тачки 8.1.8.7.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8.1.8.5.4. Припрема система за узорковање HC-а за пропанску проверу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непропусности на вакуумској страни система за узорковање HC-а може се радити у складу са ставом (г) ове тачке. Ако се употребљава тај поступак, може се употребити поступак за контаминацију HC-ом у тачки 7.3.1.2. овог прилога Ако се провера непропусности на вакуумској страни не ради у складу са ставом (г), систем за узорковање HC-а мора се нулто и распонски умерити те се мора проверити је ли контаминиран, и то на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одабере се најнижи распон HC анализатора који може мерити концентрацију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која се очекује за брзине протока CVS-а и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HC анализатор нулто се умерава нултим ваздухом који се уводи на отвору анализатора;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HC анализатор распонски се умерава распонским гасом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који се уводи на отвору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нулти ваздух прелива се на HC сонди или у елемемнт између HC сонде и преносног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стабилна концентрација HC-а у систему за узорковање HC-а мери се као протоци ваздуха с нултим преливањем. За групно мерење HC-а напуни се заједнички спремник (попут вреће) те се измери концентрација преливања HC-а;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ако је концентрација преливања HC-а већа од 2 μmol/mol, поступак се не сме наставити док се контаминација не елиминише. Мора се утврдити извор контаминације и морају се предузети корективне мере попут чишћења система или замене контаминираних делова;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ако концентрација преливања HC-а не прелази 2 μmol/mol, та се вредност бележи као x HCiniti употребљава за корекцију контаминације HC-ом како је описано у Одељку 2. Прилога 10 ове уредбе (приступ базиран на маси) или Одељку 3. Прилога 10 ове уредбе (моларни приступ).</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8.1.8.5.5. Извођење пропанске провере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Пропанска провера мора се изводити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ако је реч о групном узорковању HC-а, споји се чисти медиј за одлагање попут вакуумских врећа;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инструментима за мерење HC-а управља се у складу с упутствима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ако је предвиђена корекција позадинских концентрација HC-а у ваздуху за разређивање, мери се и бележи позадински HC у ваздуху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сви се интегришући уређаји нулто умеравају;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узорковање почиње и укључују се интегратори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отпушта се одабраном брзином. Ако се употребљава референтна брзина протока C3H8, мора почети интеграција те брзине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VII. отпуштање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наставља се док се не отпусти барем довољно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да се осигура тачна квантификација референтног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и измереног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VIII. боца с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се затвори, а узорковање се наставља док се не надокнаде кашњења због преноса узорка и одзива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IX. узорковање се зауставља, а интегратори искључују;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употребљава мерење помоћу пригушнице критичног протока, алтернативно методи из тачке 8.1.8.5.5.(а) овог прилога за пропанску се проверу може употребљавати следећи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ако је реч о групном узорковању HC-а, спаја се чисти медиј за одлагање попут вакуумских врећа;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инструментима за мерење HC-а управља се у складу с упутствима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ако је предвиђено исправљање позадинских концентрација HC-а у ваздуху за разређивање, мери се и бележи позадински HC у ваздуху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сви се интегришући уређаји постављају на нулу;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 садржај боце референтног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отпушта се одабраном брзином;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 узорковање почиње, а сви интегратори протока покрећу након потврде да је концентрација HC-а стабилна;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VII. отпуштање садржаја боце наставља се док се не отпусти барем довољно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како би се осигурала тачна квантификација референтног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и измереног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VIII. сви се интегратори заустављају;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IX. боца с референтним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се затвара.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8.1.8.5.6. Еволуација пропанске провере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Поступак након испитивања мора се обавити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је примењено групно узорковање, групни се узорци анализирају што је пре могуће;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након анализе угљо-водоника ради се корекција за контаминацију и позадину;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укупна маса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базирају на на подацима о CVS-у и угљо-водонику обрачунава се како је описано у Прилога 10 ове уредбе, помоћу моларне масе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односно М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уместо ефективне моларне масе угљо-водоника, М HC;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ако се употребљава референтна маса (гравиметријска техника), маса пропана у боци утврђује се унутар ± 0,5 %, а референтна маса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одузимањем масе пропана у празној боци од масе пропана у пуној боци. Ако се употребљава пригушница критичног протока (мерење отвором критичног протока), маса пропана одређује се као брзина протока помножена с трајањем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референтна маса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одузима се од обрачунате масе. Ако се разлика налази у распону од ± 3,0 % референтне масе, CVS пролази верификацију.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8.1.8.5.7. Верификација система секундарног разређивања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пропанска провера мора поновити ради верификације система секундарног разређивања PM-а, за ту се верификацију примењује овај поступак из става (а) до (г):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систем за узорковање HC-а конфигурише се како би се издвојио узорак близу места медија за одлагање склопа за групно узорковање (као што је PM филтер). Ако је апсолутни притисак на том месту пренизак за издвајање узорка HC-а, HC се може узорковати из издува пумпе склопа за групно узорковање. При узорковању из издува пумпе потребан је опрез јер ће иначе прихватљиво пропуштање на пумпи иза мерача протока склопа за групно узорковање проузроковати лажно успелу пропанску проверу;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пропанска провера понавља се како је описано у овој тачки, но HC се узоркује из склопа за групно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обрачунава се маса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узимајући у обзир свако секундарно разређивање из склопа за групно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референтна маса гаса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одузима се од обрачунате масе. Ако је разлика унутар распона од ± 5 % референтне масе, склоп за групно узорковање пролази верификацију. У супротном морају се предузети корективне мере.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 Периодично умеравање делимичног протока PM-а и повезани мерни системи за неразређени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8.1.8.6.1. Спецификације за мерење диференцијалног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Код система за разређивање делимичног протока за издвајање пропорционалног узорка неразређеног издувног гаса посебно је важна тачност протока узорка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 ако се не мери директно него се одређује мерењем диференцијалног протока према једначина (6-20):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80"/>
        <w:gridCol w:w="242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p</w:t>
            </w:r>
            <w:r w:rsidRPr="00B03342">
              <w:rPr>
                <w:rFonts w:ascii="Arial" w:hAnsi="Arial" w:cs="Arial"/>
                <w:lang w:eastAsia="sr-Latn-RS"/>
              </w:rPr>
              <w:t> = 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dew</w:t>
            </w:r>
            <w:r w:rsidRPr="00B03342">
              <w:rPr>
                <w:rFonts w:ascii="Arial" w:hAnsi="Arial" w:cs="Arial"/>
                <w:lang w:eastAsia="sr-Latn-RS"/>
              </w:rPr>
              <w:t> – 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8"/>
        <w:gridCol w:w="983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узорка издувног гаса у систем за разређивање делимичног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ваздуха за разређивање (на влажној бази)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разређеног издувног гаса на влажној основи</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том случају највећа грешка разлике мора бити таква да је тачност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 </w:t>
      </w:r>
      <w:r w:rsidRPr="00B03342">
        <w:rPr>
          <w:rFonts w:ascii="Arial" w:hAnsi="Arial" w:cs="Arial"/>
          <w:color w:val="000000"/>
          <w:lang w:eastAsia="sr-Latn-RS"/>
        </w:rPr>
        <w:t>унутар ± 5 % кад је однос разређења мањи од 15. Може се обрачунати вађењем средњег квадратног корена грешака сваког инструмента.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Прихватљиве тачности q </w:t>
      </w:r>
      <w:r w:rsidRPr="00B03342">
        <w:rPr>
          <w:rFonts w:ascii="Arial" w:hAnsi="Arial" w:cs="Arial"/>
          <w:color w:val="000000"/>
          <w:vertAlign w:val="subscript"/>
          <w:lang w:eastAsia="sr-Latn-RS"/>
        </w:rPr>
        <w:t>mp</w:t>
      </w:r>
      <w:r w:rsidRPr="00B03342">
        <w:rPr>
          <w:rFonts w:ascii="Arial" w:hAnsi="Arial" w:cs="Arial"/>
          <w:color w:val="000000"/>
          <w:lang w:eastAsia="sr-Latn-RS"/>
        </w:rPr>
        <w:t> могу се добити једном од следећих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апсолутне тачности qm dew и qm dw износе ± 0,2 %, што гарантује тачност вредности qm p od ≤ ≤ 5 % при односу разређења 15. Међутим, при већим ће се односима разређења јављати веће грешке;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умеравање вредности qm dw у односу на qm dew ради се тако да се добију исте тачности за qm p као под (а). За детаље видети тачку 8.1.8.6.2.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тачност q mp утврђује се недиректно из тачности односа разређења како је одређено гасом за праћење, нпр. CO</w:t>
      </w:r>
      <w:r w:rsidRPr="00B03342">
        <w:rPr>
          <w:rFonts w:ascii="Arial" w:hAnsi="Arial" w:cs="Arial"/>
          <w:color w:val="000000"/>
          <w:vertAlign w:val="subscript"/>
          <w:lang w:eastAsia="sr-Latn-RS"/>
        </w:rPr>
        <w:t>2</w:t>
      </w:r>
      <w:r w:rsidRPr="00B03342">
        <w:rPr>
          <w:rFonts w:ascii="Arial" w:hAnsi="Arial" w:cs="Arial"/>
          <w:color w:val="000000"/>
          <w:lang w:eastAsia="sr-Latn-RS"/>
        </w:rPr>
        <w:t>. Захтевају се тачности еквивалентне методи (а) за q mp;</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апсолутна је тачност вредности qm dew и qm dw унутар ± 2 % целе скале, максимална грешка разлике између qm dew и qm dw унутар 0,2 %, а грешка линеарности унутар ± 0,2 % највеће посматране вредности qm dew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8.1.8.6.2. Умеравање мерења диференцијалног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Систем за разређивање делимичног протока којим се издваја пропорционални узорак неразређенога издува мора се периодички умеравати прецизним мерачем протока следећим до међународних и/или државних еталона. Мерач протока или инструментариј за мерење протока мора се умеравати једним од следећих поступака и то тако да проток сонде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 у тунел испуњава захтеве у погледу тачности из тачке 8.1.8.6.1. овог прилога.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16"/>
        <w:gridCol w:w="28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p</w:t>
            </w:r>
            <w:r w:rsidRPr="00B03342">
              <w:rPr>
                <w:rFonts w:ascii="Arial" w:hAnsi="Arial" w:cs="Arial"/>
                <w:lang w:eastAsia="sr-Latn-RS"/>
              </w:rPr>
              <w:t> = q </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dew</w:t>
            </w:r>
            <w:r w:rsidRPr="00B03342">
              <w:rPr>
                <w:rFonts w:ascii="Arial" w:hAnsi="Arial" w:cs="Arial"/>
                <w:lang w:eastAsia="sr-Latn-RS"/>
              </w:rPr>
              <w:t> /r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(6-21)</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Тачности анализатора гаса узимају се у обзир како би се загарантовала тачност вредности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8.1.8.6.3. Посебни захтеви за мерење диференцијалног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Провера протока угљеника помоћу стварног издувног гаса снажно се препоручује за откривање проблема при мерењу и контроли те верификацију исправног рада система делимичног протока. Проверу протока угљеника требало би спровести барем сваки пут кад се угради нови мотор или кад се нешто важно промени у верзији испитне ћелије.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Мотор мора радити при оптерећењу и брзини обртања при вршном закретном моменту или у било којем другом стационарном начину рада у којем се производи 5 % или више CO</w:t>
      </w:r>
      <w:r w:rsidRPr="00B03342">
        <w:rPr>
          <w:rFonts w:ascii="Arial" w:hAnsi="Arial" w:cs="Arial"/>
          <w:color w:val="000000"/>
          <w:vertAlign w:val="subscript"/>
          <w:lang w:eastAsia="sr-Latn-RS"/>
        </w:rPr>
        <w:t>2</w:t>
      </w:r>
      <w:r w:rsidRPr="00B03342">
        <w:rPr>
          <w:rFonts w:ascii="Arial" w:hAnsi="Arial" w:cs="Arial"/>
          <w:color w:val="000000"/>
          <w:lang w:eastAsia="sr-Latn-RS"/>
        </w:rPr>
        <w:t>. Систем за узорковање делимичног протока ради с фактором разређења од око 15 до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спроводи провера протока угљеника, примењује се Додатак 2. Прилога 10 ове уредбе. Брзине протока угљеника рачунају се у складу с једначинама из Додатка 2. Прилога 10 ове уредбе Све брзине протока угљеника морају се поклапати у распону од 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8.1.8.6.3.1. Провера пре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Провера пре испитивања мора се спровести унутар два сата пре испитивања и то како је описано у наставку.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Тачност мерача протока проверава се истом методом која се употребљава за умеравање (видети тачку 8.1.8.6.2.) за најмање две тачке, укључујући вредности протока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dw</w:t>
      </w:r>
      <w:r w:rsidRPr="00B03342">
        <w:rPr>
          <w:rFonts w:ascii="Arial" w:hAnsi="Arial" w:cs="Arial"/>
          <w:color w:val="000000"/>
          <w:lang w:eastAsia="sr-Latn-RS"/>
        </w:rPr>
        <w:t> које одговарају односима разређења између 5 и 15 за вредност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dew</w:t>
      </w:r>
      <w:r w:rsidRPr="00B03342">
        <w:rPr>
          <w:rFonts w:ascii="Arial" w:hAnsi="Arial" w:cs="Arial"/>
          <w:color w:val="000000"/>
          <w:lang w:eastAsia="sr-Latn-RS"/>
        </w:rPr>
        <w:t> коришћену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евиденцијом о поступку умеравања према тачки 8.1.8.6.2. овог прилога може доказати да је умеравање мерача протока стабилно током дужег периода, провера пре испитивања може се изоставити.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8.1.8.6.3.2. Утврђивање времена трансформације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Поставке система за еволуацију времена трансформације морају бити исте као током мерења у испитивању. Време трансформације, како је дефинисано тачком 2.4. Додатка 5. овог прилога и сликом 6-11, мора се утврдити методом описаном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Независни референтни мерач протока који има одговарајући распон мерења за проток сонде ставља се у серију са сондом и близу ње. Тај мерач протока мора имати време трансформације краће од 100 ms за величину степена протока који се употребљава у мерењу времена одзива, при чему је ограничење притисака протока довољно ниско да не утиче на динамички учинак система за разређивање делимичног протока према доброј инжењерској процени. У проток издувног гаса (или протока ваздуха ако се рачуна проток издувног гаса) у систему за разређивање делимичног протока уводи се степенаста промена од ниског протока до најмање 90 % целе скале. Окидач за степенасту промену мора бити једнак оном употребљеном за покретање унапред предвиђеног управљања у стварном испитивању. Сигнал степенасте промене протока издувних гасова и одзив мерача протока бележе се при брзини узорковања од најмање 10 Hz.</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Из тих се података утврђује време трансформације за систем разређивања делимичног протока, а то је време од почетка сигнала степенасте промене до тачке од 50 % одзива мерача протока. На сличан се начин утврђују времена трансформације сигнала q</w:t>
      </w:r>
      <w:r w:rsidRPr="00B03342">
        <w:rPr>
          <w:rFonts w:ascii="Arial" w:hAnsi="Arial" w:cs="Arial"/>
          <w:color w:val="000000"/>
          <w:vertAlign w:val="subscript"/>
          <w:lang w:eastAsia="sr-Latn-RS"/>
        </w:rPr>
        <w:t>mp</w:t>
      </w:r>
      <w:r w:rsidRPr="00B03342">
        <w:rPr>
          <w:rFonts w:ascii="Arial" w:hAnsi="Arial" w:cs="Arial"/>
          <w:color w:val="000000"/>
          <w:lang w:eastAsia="sr-Latn-RS"/>
        </w:rPr>
        <w:t> (tj. ток узорка издувног гаса у систем за разређивање делимичног протока) и сигнала q</w:t>
      </w:r>
      <w:r w:rsidRPr="00B03342">
        <w:rPr>
          <w:rFonts w:ascii="Arial" w:hAnsi="Arial" w:cs="Arial"/>
          <w:color w:val="000000"/>
          <w:vertAlign w:val="subscript"/>
          <w:lang w:eastAsia="sr-Latn-RS"/>
        </w:rPr>
        <w:t>mew,и</w:t>
      </w:r>
      <w:r w:rsidRPr="00B03342">
        <w:rPr>
          <w:rFonts w:ascii="Arial" w:hAnsi="Arial" w:cs="Arial"/>
          <w:color w:val="000000"/>
          <w:lang w:eastAsia="sr-Latn-RS"/>
        </w:rPr>
        <w:t> (тј. брзина масеног протока издувног гаса на влажној бази коју даје мерач протока издува). ти се сигнали употребљавају при регресијским проверама које се обављају након сваког испитивања (видети тачку 8.2.1.2.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Обрачун се понавља за најмање 5 сигнала за пораст и смањење па се рачуна просечан резултат. Унутрашње време трансформације (&lt; 100 ms) референтног мерача протока одузима се од те вредности. Ако се захтева унапред предвиђено управљање, унапред предвиђена вредност система за разређивање делимичног протока мора се применити у складу с тачком 8.2.1.2.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 Верификација непропусности на вакуумској страни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прве инсталације система за узорковање, након већег одржавања попут замене предфилтера и унутар 8 сати пре сваког редоследа радног циклуса, једним од испитивања непропусности описаних у овом Одељку мора се проверити да нема знатних пропуштања на вакуумској страни. Та се верификација не примењује ни на један пунопроточни део CVS система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8.1.8.7.2. Начела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Пропуштање се може детектирати тако да се измери мала количина протока кад проток мора бити нулти, детектовањем разређења познате концентрације распонског гаса кад протиче на вакуумској страни система за узорковање или мерењем повећања притисака испражњеног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8.1.8.7.3. Испитивање непропусности ниског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 узорковање мора се тестирати на пропуштања ниског протока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завршетак сонде забртви се на један од следећих начина: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завршетак сонде за узорковање затвори се поклопцем или зачепи;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преносни вод одспоји се од сонде и затвори поклопцем или зачепи;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затвори се непропусни редни вентил између сонде и преносног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све вакуумске пумпе морају радити. Након стабилизације проверава се да је проток кроз вакуумску страну система за узорковање нижи од 0,5 % стандардног протока система у употреби. Уобичајени протоци анализатора и обилазни протоци могу се проценити као приближна вредност стандардног протока система у употреби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8.1.8.7.4. Испитивање непропусности при разређивању распонског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то се испитивање може употребити било који анализатор гаса. Ако се за испитивање употребљава FID, свако се загађење угљо-водоницима у систему за узорковање мора исправити у складу с одељцима 2. или 3. Прилога 10 ове уредбе о утврђивању HC-а. Морају се избегавати варљиви резултати тако да се употребљавају само анализатори с поновљивошћу од најмање 0,5 % при концентрацији распонског гаса употребљеној у овом испитивању. Провера непропусности на вакуумској страни мора се спроводити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анализатор гаса припрема се на исти начин као и за испитивање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распонски гас доводи се у отвор анализатора те се верификује да су тачност и поновљивост мерења концентрације распонског гаса у границама очекиване тачности и поновљивости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вишак распонског гаса преусмерује се на једно од следећих места у систему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завршетак сонде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преносни се вод одспоји на прикључку сонде, а вишак распонског гаса испусти кроз отворени крај преносног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тропутни вентил инсталиран редно између сонде и њезина преносног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верификује се да је измерена концентрација вишка распонског гаса унутар ± 0,5 % концентрације распонског гаса. Измерена вредност нижа од очекиване упућује на пропуштање, но вредност виша од очекиване може значити да постоји проблем с распонским гасом или самим анализатором. Измерена вредност виша од очекиване не упућује на пропуштање.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8.1.8.7.5. Испитивање непропусности при слабљењу вакуума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то се испитивање мора успоставити вакуум у обиму на вакуумској страни система за узорковање и затим се брзина пропуштања система опажа као слабљење примењеног вакуума. За то испитивање обима на вакуумској страни система за узорковање мора бити познат унутар ± 10 % стварног обима. Мерни инструменти за то испитивање морају испуњавати спецификације из тачака 8.1. и 9.4.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непропусности при слабљењу вакуума мора се спроводити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завршетак сонде забртви се што је ближе могуће отвору сонде на један од следећих начина: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завршетак сонде за узорковање затвори се поклопцем или зачепи;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преносни се вод одспоји од сонде и затвори поклопцем или зачепи;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затвори се непропусни редни вентил између сонде и преносног вода;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све вакуумске пумпе морају радити. Ствара се вакуум који је репрезентативан за стандардне радне услове. Ако се употребљавају вреће за узорковање, препоручује се да се двапут понови уобичајени поступак испумпавања врећа за узорковање како би се смањио могућност заробљених обима;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в) искључе се пумпе за узорковање, а систем забртви. Мери се и бележи апсолутни притисак заробљеног гаса и, опционо, апсолутна температура система. Оставља се довољно времена како би се транзијенти смирили и да 0,5-постотно пропуштање проузроковати промену притисака која је најмање 10 пута већа од разлучивости претворника притисака. Још једном се бележе притисак и, опционо, температура;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обрачунава се брзина протока пропуштања на основу претпостављене нулте вредности обима испумпаних врећа, као и на основу познатих вредности обима система узорковања, почетног и завршног притисака, опционалних температура и протеклог времена. Верификује се да је брзина протока при слабљењу вакуума мања од 0,5 % износа стандардне брзине протока система у употреби помоћу једначине (6-22):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7DF59EB" wp14:editId="4E897964">
            <wp:extent cx="5057140" cy="604520"/>
            <wp:effectExtent l="0" t="0" r="0" b="0"/>
            <wp:docPr id="263" name="Picture 263" descr="A mathematical formula expressing heat transfer rate as a function of volume, pressure, temperature, gas constant, and time differenc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mathematical formula expressing heat transfer rate as a function of volume, pressure, temperature, gas constant, and time difference.&#10;&#10;Description generated by A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7140" cy="60452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2"/>
        <w:gridCol w:w="965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leak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слабљења вакуума,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V </w:t>
            </w:r>
            <w:r w:rsidRPr="00B03342">
              <w:rPr>
                <w:rFonts w:ascii="Arial" w:hAnsi="Arial" w:cs="Arial"/>
                <w:vertAlign w:val="subscript"/>
                <w:lang w:eastAsia="sr-Latn-RS"/>
              </w:rPr>
              <w:t>vac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геометријски обима на вакуумској страни система за узорковање, m</w:t>
            </w:r>
            <w:r w:rsidRPr="00B03342">
              <w:rPr>
                <w:rFonts w:ascii="Arial" w:hAnsi="Arial" w:cs="Arial"/>
                <w:vertAlign w:val="subscript"/>
                <w:lang w:eastAsia="sr-Latn-RS"/>
              </w:rPr>
              <w:t>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гасна константа, J/(mol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апсолутни притисак на вакуумској страни у времену t </w:t>
            </w:r>
            <w:r w:rsidRPr="00B03342">
              <w:rPr>
                <w:rFonts w:ascii="Arial" w:hAnsi="Arial" w:cs="Arial"/>
                <w:vertAlign w:val="subscript"/>
                <w:lang w:eastAsia="sr-Latn-RS"/>
              </w:rPr>
              <w:t>2</w:t>
            </w:r>
            <w:r w:rsidRPr="00B03342">
              <w:rPr>
                <w:rFonts w:ascii="Arial" w:hAnsi="Arial" w:cs="Arial"/>
                <w:lang w:eastAsia="sr-Latn-RS"/>
              </w:rPr>
              <w:t>,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апсолутна температура на вакуумској страни у времену t </w:t>
            </w:r>
            <w:r w:rsidRPr="00B03342">
              <w:rPr>
                <w:rFonts w:ascii="Arial" w:hAnsi="Arial" w:cs="Arial"/>
                <w:vertAlign w:val="subscript"/>
                <w:lang w:eastAsia="sr-Latn-RS"/>
              </w:rPr>
              <w:t>2</w:t>
            </w:r>
            <w:r w:rsidRPr="00B03342">
              <w:rPr>
                <w:rFonts w:ascii="Arial" w:hAnsi="Arial" w:cs="Arial"/>
                <w:lang w:eastAsia="sr-Latn-RS"/>
              </w:rPr>
              <w:t>,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апсолутни притисак на вакуумској страни у времену t </w:t>
            </w:r>
            <w:r w:rsidRPr="00B03342">
              <w:rPr>
                <w:rFonts w:ascii="Arial" w:hAnsi="Arial" w:cs="Arial"/>
                <w:vertAlign w:val="subscript"/>
                <w:lang w:eastAsia="sr-Latn-RS"/>
              </w:rPr>
              <w:t>1</w:t>
            </w:r>
            <w:r w:rsidRPr="00B03342">
              <w:rPr>
                <w:rFonts w:ascii="Arial" w:hAnsi="Arial" w:cs="Arial"/>
                <w:lang w:eastAsia="sr-Latn-RS"/>
              </w:rPr>
              <w:t>,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апсолутна температура на вакуумској страни у времену t </w:t>
            </w:r>
            <w:r w:rsidRPr="00B03342">
              <w:rPr>
                <w:rFonts w:ascii="Arial" w:hAnsi="Arial" w:cs="Arial"/>
                <w:vertAlign w:val="subscript"/>
                <w:lang w:eastAsia="sr-Latn-RS"/>
              </w:rPr>
              <w:t>1</w:t>
            </w:r>
            <w:r w:rsidRPr="00B03342">
              <w:rPr>
                <w:rFonts w:ascii="Arial" w:hAnsi="Arial" w:cs="Arial"/>
                <w:lang w:eastAsia="sr-Latn-RS"/>
              </w:rPr>
              <w:t>,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на крају испитивања слабљења вакуума, 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на почетку испитивања слабљења вакуума, 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8.1.9. Мерења CO и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8.1.9.1. Верификација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за NDIR анализаторе CO</w:t>
      </w:r>
      <w:r w:rsidRPr="00B03342">
        <w:rPr>
          <w:rFonts w:ascii="Arial" w:hAnsi="Arial" w:cs="Arial"/>
          <w:color w:val="000000"/>
          <w:vertAlign w:val="subscript"/>
          <w:lang w:eastAsia="sr-Latn-RS"/>
        </w:rPr>
        <w:t>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8.1.9.1.1.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w:t>
      </w:r>
      <w:r w:rsidRPr="00B03342">
        <w:rPr>
          <w:rFonts w:ascii="Arial" w:hAnsi="Arial" w:cs="Arial"/>
          <w:color w:val="000000"/>
          <w:vertAlign w:val="subscript"/>
          <w:lang w:eastAsia="sr-Latn-RS"/>
        </w:rPr>
        <w:t>2</w:t>
      </w:r>
      <w:r w:rsidRPr="00B03342">
        <w:rPr>
          <w:rFonts w:ascii="Arial" w:hAnsi="Arial" w:cs="Arial"/>
          <w:color w:val="000000"/>
          <w:lang w:eastAsia="sr-Latn-RS"/>
        </w:rPr>
        <w:t> мери NDIR анализатором, онда се износ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проверава након почетне инсталације анализатора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8.1.9.1.2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H</w:t>
      </w:r>
      <w:r w:rsidRPr="00B03342">
        <w:rPr>
          <w:rFonts w:ascii="Arial" w:hAnsi="Arial" w:cs="Arial"/>
          <w:color w:val="000000"/>
          <w:vertAlign w:val="subscript"/>
          <w:lang w:eastAsia="sr-Latn-RS"/>
        </w:rPr>
        <w:t>2</w:t>
      </w:r>
      <w:r w:rsidRPr="00B03342">
        <w:rPr>
          <w:rFonts w:ascii="Arial" w:hAnsi="Arial" w:cs="Arial"/>
          <w:color w:val="000000"/>
          <w:lang w:eastAsia="sr-Latn-RS"/>
        </w:rPr>
        <w:t>O може изазвати сметње у реакцији NDIR анализатора на CO</w:t>
      </w:r>
      <w:r w:rsidRPr="00B03342">
        <w:rPr>
          <w:rFonts w:ascii="Arial" w:hAnsi="Arial" w:cs="Arial"/>
          <w:color w:val="000000"/>
          <w:vertAlign w:val="subscript"/>
          <w:lang w:eastAsia="sr-Latn-RS"/>
        </w:rPr>
        <w:t>2</w:t>
      </w:r>
      <w:r w:rsidRPr="00B03342">
        <w:rPr>
          <w:rFonts w:ascii="Arial" w:hAnsi="Arial" w:cs="Arial"/>
          <w:color w:val="000000"/>
          <w:lang w:eastAsia="sr-Latn-RS"/>
        </w:rPr>
        <w:t>. Ако NDIR анализатор има компензацијске алгоритме који употребљавају мерења других гасова како би прошао ову верификацију интерференције, та се друга мерења морају вршити истовремено како би се током верификације интерференције анализатора тестирали компензацијски алгоритми.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8.1.9.1.3.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Интерференција H</w:t>
      </w:r>
      <w:r w:rsidRPr="00B03342">
        <w:rPr>
          <w:rFonts w:ascii="Arial" w:hAnsi="Arial" w:cs="Arial"/>
          <w:color w:val="000000"/>
          <w:vertAlign w:val="subscript"/>
          <w:lang w:eastAsia="sr-Latn-RS"/>
        </w:rPr>
        <w:t>2</w:t>
      </w:r>
      <w:r w:rsidRPr="00B03342">
        <w:rPr>
          <w:rFonts w:ascii="Arial" w:hAnsi="Arial" w:cs="Arial"/>
          <w:color w:val="000000"/>
          <w:lang w:eastAsia="sr-Latn-RS"/>
        </w:rPr>
        <w:t>O у NDIR анализатору CO</w:t>
      </w:r>
      <w:r w:rsidRPr="00B03342">
        <w:rPr>
          <w:rFonts w:ascii="Arial" w:hAnsi="Arial" w:cs="Arial"/>
          <w:color w:val="000000"/>
          <w:vertAlign w:val="subscript"/>
          <w:lang w:eastAsia="sr-Latn-RS"/>
        </w:rPr>
        <w:t>2</w:t>
      </w:r>
      <w:r w:rsidRPr="00B03342">
        <w:rPr>
          <w:rFonts w:ascii="Arial" w:hAnsi="Arial" w:cs="Arial"/>
          <w:color w:val="000000"/>
          <w:lang w:eastAsia="sr-Latn-RS"/>
        </w:rPr>
        <w:t> мора бити у распону од (0,0 ± 0,4) mmol/mol (очекиване средње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8.1.9.1.4.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интерференције мора се спроводити на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NDIR анализатор CO</w:t>
      </w:r>
      <w:r w:rsidRPr="00B03342">
        <w:rPr>
          <w:rFonts w:ascii="Arial" w:hAnsi="Arial" w:cs="Arial"/>
          <w:color w:val="000000"/>
          <w:vertAlign w:val="subscript"/>
          <w:lang w:eastAsia="sr-Latn-RS"/>
        </w:rPr>
        <w:t>2</w:t>
      </w:r>
      <w:r w:rsidRPr="00B03342">
        <w:rPr>
          <w:rFonts w:ascii="Arial" w:hAnsi="Arial" w:cs="Arial"/>
          <w:color w:val="000000"/>
          <w:lang w:eastAsia="sr-Latn-RS"/>
        </w:rPr>
        <w:t> мора се укључити, радити те нулто и распонски умерити као што би се то учинило и пре испитивања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овлажени испитни гас производи се продувавањем мехурића нултог ваздуха који испуњава спецификације из тачке 9.5.1. овог прилога кроз дестилисану воду у затвореној посуди. Ако узорак не пролази кроз уређај за сушење, температура посуде мора се регулисати како би садржај H</w:t>
      </w:r>
      <w:r w:rsidRPr="00B03342">
        <w:rPr>
          <w:rFonts w:ascii="Arial" w:hAnsi="Arial" w:cs="Arial"/>
          <w:color w:val="000000"/>
          <w:vertAlign w:val="subscript"/>
          <w:lang w:eastAsia="sr-Latn-RS"/>
        </w:rPr>
        <w:t>2</w:t>
      </w:r>
      <w:r w:rsidRPr="00B03342">
        <w:rPr>
          <w:rFonts w:ascii="Arial" w:hAnsi="Arial" w:cs="Arial"/>
          <w:color w:val="000000"/>
          <w:lang w:eastAsia="sr-Latn-RS"/>
        </w:rPr>
        <w:t>O у испитном гасу био барем једнако висок као највиши очекивани садржај током испитивања. Ако узорак пролази кроз уређај за сушење током испитивања, температура посуде мора се регулисати тако да генерише садржај H</w:t>
      </w:r>
      <w:r w:rsidRPr="00B03342">
        <w:rPr>
          <w:rFonts w:ascii="Arial" w:hAnsi="Arial" w:cs="Arial"/>
          <w:color w:val="000000"/>
          <w:vertAlign w:val="subscript"/>
          <w:lang w:eastAsia="sr-Latn-RS"/>
        </w:rPr>
        <w:t>2</w:t>
      </w:r>
      <w:r w:rsidRPr="00B03342">
        <w:rPr>
          <w:rFonts w:ascii="Arial" w:hAnsi="Arial" w:cs="Arial"/>
          <w:color w:val="000000"/>
          <w:lang w:eastAsia="sr-Latn-RS"/>
        </w:rPr>
        <w:t>O у испитном гасу који је барем једнако висок као највиши очекивани садржај на излазу уређаја за сушење у складу с тачком 9.3.2.3.1.1.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температура овлаженог испитног гаса одржава се најмање 5°К изнад тачке рошења иза посуде;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овлажени испитни гас уводи се у систем за узорковање. Може се увести иза било којег уређаја за сушење узорака ако се употребљавају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д) Моларна фракција воде x H</w:t>
      </w:r>
      <w:r w:rsidRPr="00B03342">
        <w:rPr>
          <w:rFonts w:ascii="Arial" w:hAnsi="Arial" w:cs="Arial"/>
          <w:color w:val="000000"/>
          <w:vertAlign w:val="subscript"/>
          <w:lang w:eastAsia="sr-Latn-RS"/>
        </w:rPr>
        <w:t>2</w:t>
      </w:r>
      <w:r w:rsidRPr="00B03342">
        <w:rPr>
          <w:rFonts w:ascii="Arial" w:hAnsi="Arial" w:cs="Arial"/>
          <w:color w:val="000000"/>
          <w:lang w:eastAsia="sr-Latn-RS"/>
        </w:rPr>
        <w:t>O овлаженог испитног гаса мери што је ближе могуће улазу анализатора. Нпр, како би се обрачунао x H</w:t>
      </w:r>
      <w:r w:rsidRPr="00B03342">
        <w:rPr>
          <w:rFonts w:ascii="Arial" w:hAnsi="Arial" w:cs="Arial"/>
          <w:color w:val="000000"/>
          <w:vertAlign w:val="subscript"/>
          <w:lang w:eastAsia="sr-Latn-RS"/>
        </w:rPr>
        <w:t>2</w:t>
      </w:r>
      <w:r w:rsidRPr="00B03342">
        <w:rPr>
          <w:rFonts w:ascii="Arial" w:hAnsi="Arial" w:cs="Arial"/>
          <w:color w:val="000000"/>
          <w:lang w:eastAsia="sr-Latn-RS"/>
        </w:rPr>
        <w:t>O мере се тачка рошења, T dew и апсолутни притисак, p total;</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ђ) за спречавање кондензације у преносним водовима, спојевима или вентилима од тачке где се мери x H</w:t>
      </w:r>
      <w:r w:rsidRPr="00B03342">
        <w:rPr>
          <w:rFonts w:ascii="Arial" w:hAnsi="Arial" w:cs="Arial"/>
          <w:color w:val="000000"/>
          <w:vertAlign w:val="subscript"/>
          <w:lang w:eastAsia="sr-Latn-RS"/>
        </w:rPr>
        <w:t>2</w:t>
      </w:r>
      <w:r w:rsidRPr="00B03342">
        <w:rPr>
          <w:rFonts w:ascii="Arial" w:hAnsi="Arial" w:cs="Arial"/>
          <w:color w:val="000000"/>
          <w:lang w:eastAsia="sr-Latn-RS"/>
        </w:rPr>
        <w:t>O до анализатора примењује се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мора се допустити време за стабилизацију одзива анализатора. Време стабилизације укључује време за прочишћавање преносног вода и време којим се узима у обзир одзив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док анализатор мери концентрацију узорка, бележи се 30 секунда узоркованих података. Обрачунава се аритметичка средина тих података. Анализатор пролази верификацију интерференције ако се та вредност налази у распону (0,0 ± 0,4) mmol/mol.</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8.1.9.2. Верификација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за NDIR анализаторе CO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8.1.9.2.1.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 мери NDIR анализатором, онда се износ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мора верификовати након почетне инсталације анализатора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8.1.9.2.2.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H</w:t>
      </w:r>
      <w:r w:rsidRPr="00B03342">
        <w:rPr>
          <w:rFonts w:ascii="Arial" w:hAnsi="Arial" w:cs="Arial"/>
          <w:color w:val="000000"/>
          <w:vertAlign w:val="subscript"/>
          <w:lang w:eastAsia="sr-Latn-RS"/>
        </w:rPr>
        <w:t>2</w:t>
      </w:r>
      <w:r w:rsidRPr="00B03342">
        <w:rPr>
          <w:rFonts w:ascii="Arial" w:hAnsi="Arial" w:cs="Arial"/>
          <w:color w:val="000000"/>
          <w:lang w:eastAsia="sr-Latn-RS"/>
        </w:rPr>
        <w:t>O и CO2 могу позитивно утицати на NDIR анализатор изазивањем одзива сличног одзиву на CO. Ако NDIR анализатор има компензацијске алгоритме који употребљавају мерења других гасова како би прошао ову верификацију интерференције, та се друга мерења морају спроводити истовремено како би се током верификације интерференције анализатора тестирали компензацијски алгоритми.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8.1.9.2.3.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Комбинована интерференција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NDIR анализатора CO мора бити унутар ± 2 % очекиване средње концентрације CO.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8.1.9.2.4.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интерференције мора се спроводити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NDIR анализатор CO мора се укључити, радити те нулто и распонски умерити као што би се то учинило и пре испитивања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(б)овлажени испитни гас CO</w:t>
      </w:r>
      <w:r w:rsidRPr="00B03342">
        <w:rPr>
          <w:rFonts w:ascii="Arial" w:hAnsi="Arial" w:cs="Arial"/>
          <w:color w:val="000000"/>
          <w:vertAlign w:val="subscript"/>
          <w:lang w:eastAsia="sr-Latn-RS"/>
        </w:rPr>
        <w:t>2</w:t>
      </w:r>
      <w:r w:rsidRPr="00B03342">
        <w:rPr>
          <w:rFonts w:ascii="Arial" w:hAnsi="Arial" w:cs="Arial"/>
          <w:color w:val="000000"/>
          <w:lang w:eastAsia="sr-Latn-RS"/>
        </w:rPr>
        <w:t> производи се продувавањем мехурића распонског гаса CO2 кроз дестилисану воду у затвореној посуди. Ако узорак не пролази кроз уређај за сушење, температура посуде мора се регулисати како би садржај H</w:t>
      </w:r>
      <w:r w:rsidRPr="00B03342">
        <w:rPr>
          <w:rFonts w:ascii="Arial" w:hAnsi="Arial" w:cs="Arial"/>
          <w:color w:val="000000"/>
          <w:vertAlign w:val="subscript"/>
          <w:lang w:eastAsia="sr-Latn-RS"/>
        </w:rPr>
        <w:t>2</w:t>
      </w:r>
      <w:r w:rsidRPr="00B03342">
        <w:rPr>
          <w:rFonts w:ascii="Arial" w:hAnsi="Arial" w:cs="Arial"/>
          <w:color w:val="000000"/>
          <w:lang w:eastAsia="sr-Latn-RS"/>
        </w:rPr>
        <w:t>O у испитном гасу био висок барем као највиши очекивани садржај током испитивања. Ако узорак пролази кроз уређај за сушење током испитивања, температура посуде мора се регулисати тако да генерише садржај H2O у испитном гасу који је барем једнако висок као највиши очекивани садржај на излазу уређаја за сушење у складу с тачком 9.3.2.3.1.1. овог прилога. Употребљава се концентрација распонског CO</w:t>
      </w:r>
      <w:r w:rsidRPr="00B03342">
        <w:rPr>
          <w:rFonts w:ascii="Arial" w:hAnsi="Arial" w:cs="Arial"/>
          <w:color w:val="000000"/>
          <w:vertAlign w:val="subscript"/>
          <w:lang w:eastAsia="sr-Latn-RS"/>
        </w:rPr>
        <w:t>2</w:t>
      </w:r>
      <w:r w:rsidRPr="00B03342">
        <w:rPr>
          <w:rFonts w:ascii="Arial" w:hAnsi="Arial" w:cs="Arial"/>
          <w:color w:val="000000"/>
          <w:lang w:eastAsia="sr-Latn-RS"/>
        </w:rPr>
        <w:t> која је висока барем као највиша очекивани ниво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овлажени испитни гас CO</w:t>
      </w:r>
      <w:r w:rsidRPr="00B03342">
        <w:rPr>
          <w:rFonts w:ascii="Arial" w:hAnsi="Arial" w:cs="Arial"/>
          <w:color w:val="000000"/>
          <w:vertAlign w:val="subscript"/>
          <w:lang w:eastAsia="sr-Latn-RS"/>
        </w:rPr>
        <w:t>2</w:t>
      </w:r>
      <w:r w:rsidRPr="00B03342">
        <w:rPr>
          <w:rFonts w:ascii="Arial" w:hAnsi="Arial" w:cs="Arial"/>
          <w:color w:val="000000"/>
          <w:lang w:eastAsia="sr-Latn-RS"/>
        </w:rPr>
        <w:t> уводи се у систем за узорковање. Овлажени испитни гас CO</w:t>
      </w:r>
      <w:r w:rsidRPr="00B03342">
        <w:rPr>
          <w:rFonts w:ascii="Arial" w:hAnsi="Arial" w:cs="Arial"/>
          <w:color w:val="000000"/>
          <w:vertAlign w:val="subscript"/>
          <w:lang w:eastAsia="sr-Latn-RS"/>
        </w:rPr>
        <w:t>2</w:t>
      </w:r>
      <w:r w:rsidRPr="00B03342">
        <w:rPr>
          <w:rFonts w:ascii="Arial" w:hAnsi="Arial" w:cs="Arial"/>
          <w:color w:val="000000"/>
          <w:lang w:eastAsia="sr-Latn-RS"/>
        </w:rPr>
        <w:t> може се увести иза било којег уређаја за сушење узорака ако се тај уређај употребљава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моларна се фракција x H</w:t>
      </w:r>
      <w:r w:rsidRPr="00B03342">
        <w:rPr>
          <w:rFonts w:ascii="Arial" w:hAnsi="Arial" w:cs="Arial"/>
          <w:color w:val="000000"/>
          <w:vertAlign w:val="subscript"/>
          <w:lang w:eastAsia="sr-Latn-RS"/>
        </w:rPr>
        <w:t>2</w:t>
      </w:r>
      <w:r w:rsidRPr="00B03342">
        <w:rPr>
          <w:rFonts w:ascii="Arial" w:hAnsi="Arial" w:cs="Arial"/>
          <w:color w:val="000000"/>
          <w:lang w:eastAsia="sr-Latn-RS"/>
        </w:rPr>
        <w:t>O овлаженог испитног гаса мери што је ближе могуће улазу анализатора. Нпр, мере се тачка рошења, T dew, и апсолутни притисак, p total, како би се обрачунао x H</w:t>
      </w:r>
      <w:r w:rsidRPr="00B03342">
        <w:rPr>
          <w:rFonts w:ascii="Arial" w:hAnsi="Arial" w:cs="Arial"/>
          <w:color w:val="000000"/>
          <w:vertAlign w:val="subscript"/>
          <w:lang w:eastAsia="sr-Latn-RS"/>
        </w:rPr>
        <w:t>2</w:t>
      </w:r>
      <w:r w:rsidRPr="00B03342">
        <w:rPr>
          <w:rFonts w:ascii="Arial" w:hAnsi="Arial" w:cs="Arial"/>
          <w:color w:val="000000"/>
          <w:lang w:eastAsia="sr-Latn-RS"/>
        </w:rPr>
        <w:t>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за спречавање кондензације у преносним водовима, спојевима или вентилима од тачке где се мери x H</w:t>
      </w:r>
      <w:r w:rsidRPr="00B03342">
        <w:rPr>
          <w:rFonts w:ascii="Arial" w:hAnsi="Arial" w:cs="Arial"/>
          <w:color w:val="000000"/>
          <w:vertAlign w:val="subscript"/>
          <w:lang w:eastAsia="sr-Latn-RS"/>
        </w:rPr>
        <w:t>2</w:t>
      </w:r>
      <w:r w:rsidRPr="00B03342">
        <w:rPr>
          <w:rFonts w:ascii="Arial" w:hAnsi="Arial" w:cs="Arial"/>
          <w:color w:val="000000"/>
          <w:lang w:eastAsia="sr-Latn-RS"/>
        </w:rPr>
        <w:t>O према анализатору примењује се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мора се допустити време за стабилизацију одзива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док анализатор мери концентрацију узорка, 30 секунда бележе се излазне вредности анализатора. Обрачунава се аритметичка средина тих података;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анализатор пролази верификацију интерференције ако је резултат из става (г) ове тачке у границама допуштеног одступања из тачке 8.1.9.2.3.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 одвојено се могу спровести и поступци провере интерференције за CO</w:t>
      </w:r>
      <w:r w:rsidRPr="00B03342">
        <w:rPr>
          <w:rFonts w:ascii="Arial" w:hAnsi="Arial" w:cs="Arial"/>
          <w:color w:val="000000"/>
          <w:vertAlign w:val="subscript"/>
          <w:lang w:eastAsia="sr-Latn-RS"/>
        </w:rPr>
        <w:t>2</w:t>
      </w:r>
      <w:r w:rsidRPr="00B03342">
        <w:rPr>
          <w:rFonts w:ascii="Arial" w:hAnsi="Arial" w:cs="Arial"/>
          <w:color w:val="000000"/>
          <w:lang w:eastAsia="sr-Latn-RS"/>
        </w:rPr>
        <w:t> и H</w:t>
      </w:r>
      <w:r w:rsidRPr="00B03342">
        <w:rPr>
          <w:rFonts w:ascii="Arial" w:hAnsi="Arial" w:cs="Arial"/>
          <w:color w:val="000000"/>
          <w:vertAlign w:val="subscript"/>
          <w:lang w:eastAsia="sr-Latn-RS"/>
        </w:rPr>
        <w:t>2</w:t>
      </w:r>
      <w:r w:rsidRPr="00B03342">
        <w:rPr>
          <w:rFonts w:ascii="Arial" w:hAnsi="Arial" w:cs="Arial"/>
          <w:color w:val="000000"/>
          <w:lang w:eastAsia="sr-Latn-RS"/>
        </w:rPr>
        <w:t>O. Ако су коришћене нивое CO</w:t>
      </w:r>
      <w:r w:rsidRPr="00B03342">
        <w:rPr>
          <w:rFonts w:ascii="Arial" w:hAnsi="Arial" w:cs="Arial"/>
          <w:color w:val="000000"/>
          <w:vertAlign w:val="subscript"/>
          <w:lang w:eastAsia="sr-Latn-RS"/>
        </w:rPr>
        <w:t>2</w:t>
      </w:r>
      <w:r w:rsidRPr="00B03342">
        <w:rPr>
          <w:rFonts w:ascii="Arial" w:hAnsi="Arial" w:cs="Arial"/>
          <w:color w:val="000000"/>
          <w:lang w:eastAsia="sr-Latn-RS"/>
        </w:rPr>
        <w:t> и H</w:t>
      </w:r>
      <w:r w:rsidRPr="00B03342">
        <w:rPr>
          <w:rFonts w:ascii="Arial" w:hAnsi="Arial" w:cs="Arial"/>
          <w:color w:val="000000"/>
          <w:vertAlign w:val="subscript"/>
          <w:lang w:eastAsia="sr-Latn-RS"/>
        </w:rPr>
        <w:t>2</w:t>
      </w:r>
      <w:r w:rsidRPr="00B03342">
        <w:rPr>
          <w:rFonts w:ascii="Arial" w:hAnsi="Arial" w:cs="Arial"/>
          <w:color w:val="000000"/>
          <w:lang w:eastAsia="sr-Latn-RS"/>
        </w:rPr>
        <w:t>O више од максималних нивоа очекиваних током испитивања, свака се проматрана вредност интерференције смањује тако да се опажена интерференција помножи с односом максималне очекиване вредности концентрације и стварне вредности коришћене током овог поступка. Могу се спровести и одвојени поступци провере интерференције за концентрације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(све до удела H</w:t>
      </w:r>
      <w:r w:rsidRPr="00B03342">
        <w:rPr>
          <w:rFonts w:ascii="Arial" w:hAnsi="Arial" w:cs="Arial"/>
          <w:color w:val="000000"/>
          <w:vertAlign w:val="subscript"/>
          <w:lang w:eastAsia="sr-Latn-RS"/>
        </w:rPr>
        <w:t>2</w:t>
      </w:r>
      <w:r w:rsidRPr="00B03342">
        <w:rPr>
          <w:rFonts w:ascii="Arial" w:hAnsi="Arial" w:cs="Arial"/>
          <w:color w:val="000000"/>
          <w:lang w:eastAsia="sr-Latn-RS"/>
        </w:rPr>
        <w:t>O од 0,025 mol/mol) које су ниже од максималних нивоа очекиваних током испитивања, но онда се проматрана вредност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мора повећати тако да се опажена интерференција помножи с односом максималне очекиване вредности концентрације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и њезине стварне вредности коришћене током овог поступка. Производ двају прилагођених вредности интерференције мора бити у границама допуштеног одступања из тачке 8.1.9.2.3.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 Мерења угљо-водоника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8.1.10.1. Оптимизација и верификација FID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8.1.10.1.1. Опсег и фреквенција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Свим се FID анализаторима FID мора умерити при почетној инсталацији. Умеравање се мора према потреби понављати на основу добре инжењерске процене. За FID који мери угљо-водонике (HC) морају се спровести следећи кораци: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одзив FID-а на различите угљо-водонике оптимизује се након почетне инсталације анализатора и након већег одржавања. Одзив FID-а на пропилен и тоулен мора бити између 0,9 и 1,1 у односу на пропан;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(б) фактор одзива FID-а на метан (CH</w:t>
      </w:r>
      <w:r w:rsidRPr="00B03342">
        <w:rPr>
          <w:rFonts w:ascii="Arial" w:hAnsi="Arial" w:cs="Arial"/>
          <w:color w:val="000000"/>
          <w:vertAlign w:val="subscript"/>
          <w:lang w:eastAsia="sr-Latn-RS"/>
        </w:rPr>
        <w:t>4</w:t>
      </w:r>
      <w:r w:rsidRPr="00B03342">
        <w:rPr>
          <w:rFonts w:ascii="Arial" w:hAnsi="Arial" w:cs="Arial"/>
          <w:color w:val="000000"/>
          <w:lang w:eastAsia="sr-Latn-RS"/>
        </w:rPr>
        <w:t>) утврђује се након почетне инсталације анализатора и након већег одржавања како је описано у тачки 8.1.10.1.4.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одзив на метан (CH</w:t>
      </w:r>
      <w:r w:rsidRPr="00B03342">
        <w:rPr>
          <w:rFonts w:ascii="Arial" w:hAnsi="Arial" w:cs="Arial"/>
          <w:color w:val="000000"/>
          <w:vertAlign w:val="subscript"/>
          <w:lang w:eastAsia="sr-Latn-RS"/>
        </w:rPr>
        <w:t>4</w:t>
      </w:r>
      <w:r w:rsidRPr="00B03342">
        <w:rPr>
          <w:rFonts w:ascii="Arial" w:hAnsi="Arial" w:cs="Arial"/>
          <w:color w:val="000000"/>
          <w:lang w:eastAsia="sr-Latn-RS"/>
        </w:rPr>
        <w:t>) проверава се унутар 185 дана пре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8.1.10.1.2. Умеравање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Умерни се поступак мора развити на основу добре инжењерске процене попут оне која се базира на упутствима произвођача FID анализатора и препорученој фреквенцији за умеравање FID-а. FID се мора умеравати помоћу умерних гасова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који задовољавају спецификације из тачке 9.5.1. овог прилога. Умерава се на бази броја угљеника од један (C</w:t>
      </w:r>
      <w:r w:rsidRPr="00B03342">
        <w:rPr>
          <w:rFonts w:ascii="Arial" w:hAnsi="Arial" w:cs="Arial"/>
          <w:color w:val="000000"/>
          <w:vertAlign w:val="subscript"/>
          <w:lang w:eastAsia="sr-Latn-RS"/>
        </w:rPr>
        <w:t>1</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8.1.10.1.3. Оптимизација одзива FID–а на угљо-водонике (HC)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се поступак односи само на FID анализаторе који мере HC.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При првом покретању инструмента и за основне прилагођавања при раду помоћу горива FID-а и нултог ваздуха примењују се захтеви произвођача инструмента и добра инжењерска процена. Загрејани FID-ови морају се налазити унутар захтеваних распона радне температуре. Одзив FID-а оптимизује се како би испуњавао захтев за одзивне факторе угљо-водоника и проверу интерференције кисеоника у складу с тач. 8.1.10.1.1.(а) и 8.1.10.2. овог прилога у најуобичајенијем очекиваном распону анализатора током испитивања емисије. Ако је уобичајени распон анализатора мањи од минималног распона за оптимизација који је специфицирао произвођач инструмента, за тачно се оптимизација FID-а може употребљавати већи распон анализатора у складу с препоруком произвођача инструмента и добром инжењерском проценом.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Загрејани FID-ови морају бити унутар захтеваних распона радне температуре. Одзив FID-а оптимизује се у најуобичајенијем очекиваном распону анализатора током испитивања емисије. Кад се протоци горива FID-а и ваздуха успоставе према произвођачевим препорукама, у анализатор се уводи распонски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оптимизацију се следећи кораци од I. до IV. или поступак који препоручује произвођач инструмента. За оптимизација могу се употребљавати и поступци наведени у документу удружења SAE бр. 770141;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Одзив на задати проток горива FID-а утврђује се из разлике између одзива на распонски гас и одзива на нулти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Проток горива поступно се регулише изнад и испод спецификације произвођача. Бележе се распонски и нулти одзив при тим протоцима горива FID-а.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Разлика између распонског одзива и нултог одзива уцртава се у дијаграм, а проток горива прилагођава према пуној страни криве. То је почетна поставка протока коју ће можда требати додатно оптимизовати зависно о резултатима одзивних фактора угљо-водоника и провере интерференције кисеоника у складу с тач. 8.1.10.1.1.(а) и 8.1.10.2.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Ако интерференција кисеоника и одзивни фактори угљо-водоника не задовољавају следеће спецификације, онда се проток ваздуха поступно прилагођава изнад и испод нивое из спецификација произвођача те се за сваки проток понављају тач. 8.1.10.1.1.(а) и 8.1.10.2.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Морају се утврдити оптималне брзине протока и/или притисака за гориво FID-а и ваздух горионика те их се мора узорковати и забележити за будућу употребу.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8.1.10.1.4. Утврђивање фактора одзива на CH</w:t>
      </w:r>
      <w:r w:rsidRPr="00B03342">
        <w:rPr>
          <w:rFonts w:ascii="Arial" w:hAnsi="Arial" w:cs="Arial"/>
          <w:color w:val="000000"/>
          <w:vertAlign w:val="subscript"/>
          <w:lang w:eastAsia="sr-Latn-RS"/>
        </w:rPr>
        <w:t>4</w:t>
      </w:r>
      <w:r w:rsidRPr="00B03342">
        <w:rPr>
          <w:rFonts w:ascii="Arial" w:hAnsi="Arial" w:cs="Arial"/>
          <w:color w:val="000000"/>
          <w:lang w:eastAsia="sr-Latn-RS"/>
        </w:rPr>
        <w:t> FID-a за угљо-водонике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 обзиром на то да FID анализатори обично имају друкчију реакцију на CH</w:t>
      </w:r>
      <w:r w:rsidRPr="00B03342">
        <w:rPr>
          <w:rFonts w:ascii="Arial" w:hAnsi="Arial" w:cs="Arial"/>
          <w:color w:val="000000"/>
          <w:vertAlign w:val="subscript"/>
          <w:lang w:eastAsia="sr-Latn-RS"/>
        </w:rPr>
        <w:t>4</w:t>
      </w:r>
      <w:r w:rsidRPr="00B03342">
        <w:rPr>
          <w:rFonts w:ascii="Arial" w:hAnsi="Arial" w:cs="Arial"/>
          <w:color w:val="000000"/>
          <w:lang w:eastAsia="sr-Latn-RS"/>
        </w:rPr>
        <w:t> у односу на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након оптимизације FID-а мора се одредити фактор одзива сваког FID анализатора угљо-водоника на CH</w:t>
      </w:r>
      <w:r w:rsidRPr="00B03342">
        <w:rPr>
          <w:rFonts w:ascii="Arial" w:hAnsi="Arial" w:cs="Arial"/>
          <w:color w:val="000000"/>
          <w:vertAlign w:val="subscript"/>
          <w:lang w:eastAsia="sr-Latn-RS"/>
        </w:rPr>
        <w:t>4</w:t>
      </w:r>
      <w:r w:rsidRPr="00B03342">
        <w:rPr>
          <w:rFonts w:ascii="Arial" w:hAnsi="Arial" w:cs="Arial"/>
          <w:color w:val="000000"/>
          <w:lang w:eastAsia="sr-Latn-RS"/>
        </w:rPr>
        <w:t>, RF </w:t>
      </w:r>
      <w:r w:rsidRPr="00B03342">
        <w:rPr>
          <w:rFonts w:ascii="Arial" w:hAnsi="Arial" w:cs="Arial"/>
          <w:color w:val="000000"/>
          <w:vertAlign w:val="subscript"/>
          <w:lang w:eastAsia="sr-Latn-RS"/>
        </w:rPr>
        <w:t>CH4[THC-FID]</w:t>
      </w:r>
      <w:r w:rsidRPr="00B03342">
        <w:rPr>
          <w:rFonts w:ascii="Arial" w:hAnsi="Arial" w:cs="Arial"/>
          <w:color w:val="000000"/>
          <w:lang w:eastAsia="sr-Latn-RS"/>
        </w:rPr>
        <w:t>. Најактуелнији измерени RF </w:t>
      </w:r>
      <w:r w:rsidRPr="00B03342">
        <w:rPr>
          <w:rFonts w:ascii="Arial" w:hAnsi="Arial" w:cs="Arial"/>
          <w:color w:val="000000"/>
          <w:vertAlign w:val="subscript"/>
          <w:lang w:eastAsia="sr-Latn-RS"/>
        </w:rPr>
        <w:t>CH4[THC-FID]</w:t>
      </w:r>
      <w:r w:rsidRPr="00B03342">
        <w:rPr>
          <w:rFonts w:ascii="Arial" w:hAnsi="Arial" w:cs="Arial"/>
          <w:color w:val="000000"/>
          <w:lang w:eastAsia="sr-Latn-RS"/>
        </w:rPr>
        <w:t> у складу с овим Одељком употребљава се при обрачунима за одређивање HC описанима у Одељку 2. Прилога 10 ове уредбе (приступ базиран на маси) или Одељку 3. Прилога 10 ове уредбе (моларни приступ) како би се компензовао одзив на CH</w:t>
      </w:r>
      <w:r w:rsidRPr="00B03342">
        <w:rPr>
          <w:rFonts w:ascii="Arial" w:hAnsi="Arial" w:cs="Arial"/>
          <w:color w:val="000000"/>
          <w:vertAlign w:val="subscript"/>
          <w:lang w:eastAsia="sr-Latn-RS"/>
        </w:rPr>
        <w:t>4</w:t>
      </w:r>
      <w:r w:rsidRPr="00B03342">
        <w:rPr>
          <w:rFonts w:ascii="Arial" w:hAnsi="Arial" w:cs="Arial"/>
          <w:color w:val="000000"/>
          <w:lang w:eastAsia="sr-Latn-RS"/>
        </w:rPr>
        <w:t>. RF </w:t>
      </w:r>
      <w:r w:rsidRPr="00B03342">
        <w:rPr>
          <w:rFonts w:ascii="Arial" w:hAnsi="Arial" w:cs="Arial"/>
          <w:color w:val="000000"/>
          <w:vertAlign w:val="subscript"/>
          <w:lang w:eastAsia="sr-Latn-RS"/>
        </w:rPr>
        <w:t>CH4[THC-FID]</w:t>
      </w:r>
      <w:r w:rsidRPr="00B03342">
        <w:rPr>
          <w:rFonts w:ascii="Arial" w:hAnsi="Arial" w:cs="Arial"/>
          <w:color w:val="000000"/>
          <w:lang w:eastAsia="sr-Latn-RS"/>
        </w:rPr>
        <w:t> мора се утврдити како редоследи: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одабире се концентрација распонског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како би се анализатор распонски умерио пре испитивања емисије. Одабиру се само распонски гасови који задовољавају спецификације из тачке 9.5.1. овог прилога те се бележи концентрација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 гасу;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одабире се распонски CH</w:t>
      </w:r>
      <w:r w:rsidRPr="00B03342">
        <w:rPr>
          <w:rFonts w:ascii="Arial" w:hAnsi="Arial" w:cs="Arial"/>
          <w:color w:val="000000"/>
          <w:vertAlign w:val="subscript"/>
          <w:lang w:eastAsia="sr-Latn-RS"/>
        </w:rPr>
        <w:t>4</w:t>
      </w:r>
      <w:r w:rsidRPr="00B03342">
        <w:rPr>
          <w:rFonts w:ascii="Arial" w:hAnsi="Arial" w:cs="Arial"/>
          <w:color w:val="000000"/>
          <w:lang w:eastAsia="sr-Latn-RS"/>
        </w:rPr>
        <w:t> који задовољава спецификације из тачке 9.5.1. овог прилога те се бележи концентрација CH</w:t>
      </w:r>
      <w:r w:rsidRPr="00B03342">
        <w:rPr>
          <w:rFonts w:ascii="Arial" w:hAnsi="Arial" w:cs="Arial"/>
          <w:color w:val="000000"/>
          <w:vertAlign w:val="subscript"/>
          <w:lang w:eastAsia="sr-Latn-RS"/>
        </w:rPr>
        <w:t>4</w:t>
      </w:r>
      <w:r w:rsidRPr="00B03342">
        <w:rPr>
          <w:rFonts w:ascii="Arial" w:hAnsi="Arial" w:cs="Arial"/>
          <w:color w:val="000000"/>
          <w:lang w:eastAsia="sr-Latn-RS"/>
        </w:rPr>
        <w:t> у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FID анализатором мора се руковати у складу с упутствима произвођача;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мора се потврдити да је FID анализатор умерен гасом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Умеравање се спроводи на бази броја угљеника од један (C1);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FID се нулто умери нултим гасом који се употребљава за испитивање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(ђ) FID се распонски умери распонским гасом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 на отвор FID анализатора за узорке уводи се распонски гас CH</w:t>
      </w:r>
      <w:r w:rsidRPr="00B03342">
        <w:rPr>
          <w:rFonts w:ascii="Arial" w:hAnsi="Arial" w:cs="Arial"/>
          <w:color w:val="000000"/>
          <w:vertAlign w:val="subscript"/>
          <w:lang w:eastAsia="sr-Latn-RS"/>
        </w:rPr>
        <w:t>4</w:t>
      </w:r>
      <w:r w:rsidRPr="00B03342">
        <w:rPr>
          <w:rFonts w:ascii="Arial" w:hAnsi="Arial" w:cs="Arial"/>
          <w:color w:val="000000"/>
          <w:lang w:eastAsia="sr-Latn-RS"/>
        </w:rPr>
        <w:t> одабран у складу са ставом (б) ове тачке;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одзив анализатора мора се стабилизовати. Време стабилизације може укључивати време за прочишћавање анализатора и време да се узме у обзир одзив анализатора;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 док анализатор мери концентрацију CH</w:t>
      </w:r>
      <w:r w:rsidRPr="00B03342">
        <w:rPr>
          <w:rFonts w:ascii="Arial" w:hAnsi="Arial" w:cs="Arial"/>
          <w:color w:val="000000"/>
          <w:vertAlign w:val="subscript"/>
          <w:lang w:eastAsia="sr-Latn-RS"/>
        </w:rPr>
        <w:t>4</w:t>
      </w:r>
      <w:r w:rsidRPr="00B03342">
        <w:rPr>
          <w:rFonts w:ascii="Arial" w:hAnsi="Arial" w:cs="Arial"/>
          <w:color w:val="000000"/>
          <w:lang w:eastAsia="sr-Latn-RS"/>
        </w:rPr>
        <w:t>, бележи се 30 секунда узоркованих података те се обрачунава аритметичка средина тих вредности;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 средња измерена концентрација подели се с забележеном распонском концентрацијом CH</w:t>
      </w:r>
      <w:r w:rsidRPr="00B03342">
        <w:rPr>
          <w:rFonts w:ascii="Arial" w:hAnsi="Arial" w:cs="Arial"/>
          <w:color w:val="000000"/>
          <w:vertAlign w:val="subscript"/>
          <w:lang w:eastAsia="sr-Latn-RS"/>
        </w:rPr>
        <w:t>4</w:t>
      </w:r>
      <w:r w:rsidRPr="00B03342">
        <w:rPr>
          <w:rFonts w:ascii="Arial" w:hAnsi="Arial" w:cs="Arial"/>
          <w:color w:val="000000"/>
          <w:lang w:eastAsia="sr-Latn-RS"/>
        </w:rPr>
        <w:t>. Резултат је фактор одзива FID анализатора на CH4,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8.1.10.1.5. Верификација одзива FID-а за угљо-водонике на метан (CH</w:t>
      </w:r>
      <w:r w:rsidRPr="00B03342">
        <w:rPr>
          <w:rFonts w:ascii="Arial" w:hAnsi="Arial" w:cs="Arial"/>
          <w:color w:val="000000"/>
          <w:vertAlign w:val="subscript"/>
          <w:lang w:eastAsia="sr-Latn-RS"/>
        </w:rPr>
        <w:t>4</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је вредност RF </w:t>
      </w:r>
      <w:r w:rsidRPr="00B03342">
        <w:rPr>
          <w:rFonts w:ascii="Arial" w:hAnsi="Arial" w:cs="Arial"/>
          <w:color w:val="000000"/>
          <w:vertAlign w:val="subscript"/>
          <w:lang w:eastAsia="sr-Latn-RS"/>
        </w:rPr>
        <w:t>CH4[THC-FID]</w:t>
      </w:r>
      <w:r w:rsidRPr="00B03342">
        <w:rPr>
          <w:rFonts w:ascii="Arial" w:hAnsi="Arial" w:cs="Arial"/>
          <w:color w:val="000000"/>
          <w:lang w:eastAsia="sr-Latn-RS"/>
        </w:rPr>
        <w:t> добијена у складу с тачком 8.1.10.1.4. овог прилога унутар ± 5,0 % његове најактуелније претходно утврђене вредности, FID за HC пролази верификацију одзива на метан.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(а) Прво се верификује је ли сваки притисак и/или брзина протока горива за FID, ваздуха за горионик и узорак унутар ± 0,5 % њихових Најактуелнијих претходно забележених вредности, како је описано у тачки 8.1.10.1.3. Ако се те брзине протока морају прилагодити, нови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 утврђује се како је описано у тачки 8.1.10.1.4. Треба проверити налази ли се одређена вредност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 унутар допуштеног одступања наведеног у овој тачки 8.1.10.1.5.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Ако вредност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 није унутар допуштеног одступања из тачке 8.1.10.1.5, одзив FID–а поновно се оптимизује како је описано у тачки 8.1.10.1.3.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(ц) нови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 утврђује се како је описано у тачки 8.1.10.1.4. овог прилога. Та нова вредност RF CH</w:t>
      </w:r>
      <w:r w:rsidRPr="00B03342">
        <w:rPr>
          <w:rFonts w:ascii="Arial" w:hAnsi="Arial" w:cs="Arial"/>
          <w:color w:val="000000"/>
          <w:vertAlign w:val="subscript"/>
          <w:lang w:eastAsia="sr-Latn-RS"/>
        </w:rPr>
        <w:t>4</w:t>
      </w:r>
      <w:r w:rsidRPr="00B03342">
        <w:rPr>
          <w:rFonts w:ascii="Arial" w:hAnsi="Arial" w:cs="Arial"/>
          <w:color w:val="000000"/>
          <w:lang w:eastAsia="sr-Latn-RS"/>
        </w:rPr>
        <w:t> [THC-FID] употребљава се при обрачунима за одређивање HC-a описанима у Одељку 2. Прилога 10 ове уредбе (приступ базиран на маси) или Одељку 3. Прилога 10 ове уредбе (моларни приступ).</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8.1.10.2. Нестехиометријска верификација интерференције O</w:t>
      </w:r>
      <w:r w:rsidRPr="00B03342">
        <w:rPr>
          <w:rFonts w:ascii="Arial" w:hAnsi="Arial" w:cs="Arial"/>
          <w:color w:val="000000"/>
          <w:vertAlign w:val="subscript"/>
          <w:lang w:eastAsia="sr-Latn-RS"/>
        </w:rPr>
        <w:t>2</w:t>
      </w:r>
      <w:r w:rsidRPr="00B03342">
        <w:rPr>
          <w:rFonts w:ascii="Arial" w:hAnsi="Arial" w:cs="Arial"/>
          <w:color w:val="000000"/>
          <w:lang w:eastAsia="sr-Latn-RS"/>
        </w:rPr>
        <w:t> за FID којим се мери неразређени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8.1.10.2.1.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FID анализатори употребљавају за мерења неразређеног издувног гаса, величина интерференције O</w:t>
      </w:r>
      <w:r w:rsidRPr="00B03342">
        <w:rPr>
          <w:rFonts w:ascii="Arial" w:hAnsi="Arial" w:cs="Arial"/>
          <w:color w:val="000000"/>
          <w:vertAlign w:val="subscript"/>
          <w:lang w:eastAsia="sr-Latn-RS"/>
        </w:rPr>
        <w:t>2</w:t>
      </w:r>
      <w:r w:rsidRPr="00B03342">
        <w:rPr>
          <w:rFonts w:ascii="Arial" w:hAnsi="Arial" w:cs="Arial"/>
          <w:color w:val="000000"/>
          <w:lang w:eastAsia="sr-Latn-RS"/>
        </w:rPr>
        <w:t> за FID проверава се при почетној инсталацији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8.1.10.2.2.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Промене концентрације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у неразређеном издувном гасу могу утицати на одзив FID-а променом температуре пламена FID-а. Гориво за FID, ваздух горионика и проток узорка морају се оптимизовати како би задовољили на верификацији. Радни учинак FID-а мора се верификовати компензацијским алгоритмима за интерференцију О</w:t>
      </w:r>
      <w:r w:rsidRPr="00B03342">
        <w:rPr>
          <w:rFonts w:ascii="Arial" w:hAnsi="Arial" w:cs="Arial"/>
          <w:color w:val="000000"/>
          <w:vertAlign w:val="subscript"/>
          <w:lang w:eastAsia="sr-Latn-RS"/>
        </w:rPr>
        <w:t>2</w:t>
      </w:r>
      <w:r w:rsidRPr="00B03342">
        <w:rPr>
          <w:rFonts w:ascii="Arial" w:hAnsi="Arial" w:cs="Arial"/>
          <w:color w:val="000000"/>
          <w:lang w:eastAsia="sr-Latn-RS"/>
        </w:rPr>
        <w:t> за FID који делује током испитивања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8.1.10.2.3.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Сваки FID анализатор који се употребљава током испитивања мора проћи верификацију интерференције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за FID према поступку у овом Одељку.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8.1.10.2.4. Поступак</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Интерференција О</w:t>
      </w:r>
      <w:r w:rsidRPr="00B03342">
        <w:rPr>
          <w:rFonts w:ascii="Arial" w:hAnsi="Arial" w:cs="Arial"/>
          <w:color w:val="000000"/>
          <w:vertAlign w:val="subscript"/>
          <w:lang w:eastAsia="sr-Latn-RS"/>
        </w:rPr>
        <w:t>2</w:t>
      </w:r>
      <w:r w:rsidRPr="00B03342">
        <w:rPr>
          <w:rFonts w:ascii="Arial" w:hAnsi="Arial" w:cs="Arial"/>
          <w:color w:val="000000"/>
          <w:lang w:eastAsia="sr-Latn-RS"/>
        </w:rPr>
        <w:t> за FID мора се утврдити на следећи начин, уз напомену да се може употребљавати један или више разделника гаса како би се добиле референтне концентрације гаса које су нужне за спровођење ове верификације: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за распонско умеравање анализатора пре испитивања емисија изаберу се три референтна распонска гаса који су у складу са спецификацијама из тачке 9.5.1. овог прилога и садржавају концентрацију C</w:t>
      </w:r>
      <w:r w:rsidRPr="00B03342">
        <w:rPr>
          <w:rFonts w:ascii="Arial" w:hAnsi="Arial" w:cs="Arial"/>
          <w:color w:val="000000"/>
          <w:vertAlign w:val="subscript"/>
          <w:lang w:eastAsia="sr-Latn-RS"/>
        </w:rPr>
        <w:t>3</w:t>
      </w:r>
      <w:r w:rsidRPr="00B03342">
        <w:rPr>
          <w:rFonts w:ascii="Arial" w:hAnsi="Arial" w:cs="Arial"/>
          <w:color w:val="000000"/>
          <w:lang w:eastAsia="sr-Latn-RS"/>
        </w:rPr>
        <w:t>H</w:t>
      </w:r>
      <w:r w:rsidRPr="00B03342">
        <w:rPr>
          <w:rFonts w:ascii="Arial" w:hAnsi="Arial" w:cs="Arial"/>
          <w:color w:val="000000"/>
          <w:vertAlign w:val="subscript"/>
          <w:lang w:eastAsia="sr-Latn-RS"/>
        </w:rPr>
        <w:t>8</w:t>
      </w:r>
      <w:r w:rsidRPr="00B03342">
        <w:rPr>
          <w:rFonts w:ascii="Arial" w:hAnsi="Arial" w:cs="Arial"/>
          <w:color w:val="000000"/>
          <w:lang w:eastAsia="sr-Latn-RS"/>
        </w:rPr>
        <w:t>. референтни распонски гасови CH</w:t>
      </w:r>
      <w:r w:rsidRPr="00B03342">
        <w:rPr>
          <w:rFonts w:ascii="Arial" w:hAnsi="Arial" w:cs="Arial"/>
          <w:color w:val="000000"/>
          <w:vertAlign w:val="subscript"/>
          <w:lang w:eastAsia="sr-Latn-RS"/>
        </w:rPr>
        <w:t>4</w:t>
      </w:r>
      <w:r w:rsidRPr="00B03342">
        <w:rPr>
          <w:rFonts w:ascii="Arial" w:hAnsi="Arial" w:cs="Arial"/>
          <w:color w:val="000000"/>
          <w:lang w:eastAsia="sr-Latn-RS"/>
        </w:rPr>
        <w:t> морају се бирати за FID-ове умерене на CH</w:t>
      </w:r>
      <w:r w:rsidRPr="00B03342">
        <w:rPr>
          <w:rFonts w:ascii="Arial" w:hAnsi="Arial" w:cs="Arial"/>
          <w:color w:val="000000"/>
          <w:vertAlign w:val="subscript"/>
          <w:lang w:eastAsia="sr-Latn-RS"/>
        </w:rPr>
        <w:t>4</w:t>
      </w:r>
      <w:r w:rsidRPr="00B03342">
        <w:rPr>
          <w:rFonts w:ascii="Arial" w:hAnsi="Arial" w:cs="Arial"/>
          <w:color w:val="000000"/>
          <w:lang w:eastAsia="sr-Latn-RS"/>
        </w:rPr>
        <w:t> с филтером пропусним само за метан. Захтев за је декларисаном просечне концентрације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може се занемарити ако је FID умерен распонским гасом који је уравнотежен просечном очекиваном концентрацијом кисеоника;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мора се потврдити да FID анализатор одговара свим спецификацијама из тачке 8.1.10.1.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FID анализатор мора се покренути и радити као што би то било и пре испитивања емисије. Независно о извору ваздуха за горионик FID-а током испитивања, за ову се верификацију као извор ваздуха за горионик употребљава нулти ваздух;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анализатор се намести на нулу;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анализатор се распонски умери распонским гасом који се употребљава током испитивања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нулти одзив проверава се нултим гасом који се употребљава током испитивања емисије. Следећи се корак изводи ако је средњи нулти одзив 30 секунда узоркованих података унутар ± 0,5 % референтне распонске вредности употребљене у ставу (е) ове тачке, а у супротном поступак се понавља од става (д) ове тачке;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 одзив анализатора проверава се распонским гасом који има минималну концентрацију О</w:t>
      </w:r>
      <w:r w:rsidRPr="00B03342">
        <w:rPr>
          <w:rFonts w:ascii="Arial" w:hAnsi="Arial" w:cs="Arial"/>
          <w:color w:val="000000"/>
          <w:vertAlign w:val="subscript"/>
          <w:lang w:eastAsia="sr-Latn-RS"/>
        </w:rPr>
        <w:t>2</w:t>
      </w:r>
      <w:r w:rsidRPr="00B03342">
        <w:rPr>
          <w:rFonts w:ascii="Arial" w:hAnsi="Arial" w:cs="Arial"/>
          <w:color w:val="000000"/>
          <w:lang w:eastAsia="sr-Latn-RS"/>
        </w:rPr>
        <w:t> која се очекује током испитивања. Средњи одзив 30 секунда стабилизујених података бележи се као x О</w:t>
      </w:r>
      <w:r w:rsidRPr="00B03342">
        <w:rPr>
          <w:rFonts w:ascii="Arial" w:hAnsi="Arial" w:cs="Arial"/>
          <w:color w:val="000000"/>
          <w:vertAlign w:val="subscript"/>
          <w:lang w:eastAsia="sr-Latn-RS"/>
        </w:rPr>
        <w:t>2minHC</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нулти одзив FID анализатора мора се проверити нултим гасом који се употребљава током испитивања емисије. Следећи се корак изводи ако је средњи нулти одзив 30 секунда стабилизујених података узорка унутар ± 0,5 % референтне распонске вредности наведене у ставу (е) ове тачке, а у супротном поступак се понавља од става (д) ове тачке;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 одзив анализатора проверава се распонским гасом који садржава просечну концентрацију О</w:t>
      </w:r>
      <w:r w:rsidRPr="00B03342">
        <w:rPr>
          <w:rFonts w:ascii="Arial" w:hAnsi="Arial" w:cs="Arial"/>
          <w:color w:val="000000"/>
          <w:vertAlign w:val="subscript"/>
          <w:lang w:eastAsia="sr-Latn-RS"/>
        </w:rPr>
        <w:t>2</w:t>
      </w:r>
      <w:r w:rsidRPr="00B03342">
        <w:rPr>
          <w:rFonts w:ascii="Arial" w:hAnsi="Arial" w:cs="Arial"/>
          <w:color w:val="000000"/>
          <w:lang w:eastAsia="sr-Latn-RS"/>
        </w:rPr>
        <w:t> која се очекује током испитивања. Средњи одзив 30 секунда стабилизујених података узорка бележи се као x О</w:t>
      </w:r>
      <w:r w:rsidRPr="00B03342">
        <w:rPr>
          <w:rFonts w:ascii="Arial" w:hAnsi="Arial" w:cs="Arial"/>
          <w:color w:val="000000"/>
          <w:vertAlign w:val="subscript"/>
          <w:lang w:eastAsia="sr-Latn-RS"/>
        </w:rPr>
        <w:t>2avgHC</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нулти одзив FID анализатора мора се проверити нултим гасом који се употребљава током испитивања емисије. Следећи се корак изводи ако је средњи нулти одзив 30 секунда стабилизујених података узорка унутар ± 0,5 % референтне распонске вредности наведене у ставу (е) ове тачке, а у супротном поступак се понавља од става (д) ове тачке;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(ј) одзив анализатора проверава се распонским гасом с максималном концентрацијом О</w:t>
      </w:r>
      <w:r w:rsidRPr="00B03342">
        <w:rPr>
          <w:rFonts w:ascii="Arial" w:hAnsi="Arial" w:cs="Arial"/>
          <w:color w:val="000000"/>
          <w:vertAlign w:val="subscript"/>
          <w:lang w:eastAsia="sr-Latn-RS"/>
        </w:rPr>
        <w:t>2</w:t>
      </w:r>
      <w:r w:rsidRPr="00B03342">
        <w:rPr>
          <w:rFonts w:ascii="Arial" w:hAnsi="Arial" w:cs="Arial"/>
          <w:color w:val="000000"/>
          <w:lang w:eastAsia="sr-Latn-RS"/>
        </w:rPr>
        <w:t> која се очекује током испитивања. Средњи одзив 30-секундних стабилизујених података о узорку бележи се као x О</w:t>
      </w:r>
      <w:r w:rsidRPr="00B03342">
        <w:rPr>
          <w:rFonts w:ascii="Arial" w:hAnsi="Arial" w:cs="Arial"/>
          <w:color w:val="000000"/>
          <w:vertAlign w:val="subscript"/>
          <w:lang w:eastAsia="sr-Latn-RS"/>
        </w:rPr>
        <w:t>2maxHC</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 нулти одзив FID анализатора мора се проверити нултим је декларисаном који се употребљава током испитивања емисије. Следећи се корак изводи ако је средњи нулти одзив 30 секунда стабилизујених података узорка унутар ± 0,5 % референтне распонске вредности наведене у ставу (е) ове тачке, а у супротном поступак се понавља од става (л) ове тачке;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(љ) обрачунава се разлика у процентима између x О</w:t>
      </w:r>
      <w:r w:rsidRPr="00B03342">
        <w:rPr>
          <w:rFonts w:ascii="Arial" w:hAnsi="Arial" w:cs="Arial"/>
          <w:color w:val="000000"/>
          <w:vertAlign w:val="subscript"/>
          <w:lang w:eastAsia="sr-Latn-RS"/>
        </w:rPr>
        <w:t>2maxHC</w:t>
      </w:r>
      <w:r w:rsidRPr="00B03342">
        <w:rPr>
          <w:rFonts w:ascii="Arial" w:hAnsi="Arial" w:cs="Arial"/>
          <w:color w:val="000000"/>
          <w:lang w:eastAsia="sr-Latn-RS"/>
        </w:rPr>
        <w:t> и његове концентрације референтног гаса. Обрачунава се разлика у процентима између x О</w:t>
      </w:r>
      <w:r w:rsidRPr="00B03342">
        <w:rPr>
          <w:rFonts w:ascii="Arial" w:hAnsi="Arial" w:cs="Arial"/>
          <w:color w:val="000000"/>
          <w:vertAlign w:val="subscript"/>
          <w:lang w:eastAsia="sr-Latn-RS"/>
        </w:rPr>
        <w:t>2avgHC</w:t>
      </w:r>
      <w:r w:rsidRPr="00B03342">
        <w:rPr>
          <w:rFonts w:ascii="Arial" w:hAnsi="Arial" w:cs="Arial"/>
          <w:color w:val="000000"/>
          <w:lang w:eastAsia="sr-Latn-RS"/>
        </w:rPr>
        <w:t> и његове концентрације референтног гаса. обрачунава се разлика у процентима између x О</w:t>
      </w:r>
      <w:r w:rsidRPr="00B03342">
        <w:rPr>
          <w:rFonts w:ascii="Arial" w:hAnsi="Arial" w:cs="Arial"/>
          <w:color w:val="000000"/>
          <w:vertAlign w:val="subscript"/>
          <w:lang w:eastAsia="sr-Latn-RS"/>
        </w:rPr>
        <w:t>2minHC</w:t>
      </w:r>
      <w:r w:rsidRPr="00B03342">
        <w:rPr>
          <w:rFonts w:ascii="Arial" w:hAnsi="Arial" w:cs="Arial"/>
          <w:color w:val="000000"/>
          <w:lang w:eastAsia="sr-Latn-RS"/>
        </w:rPr>
        <w:t> и његове концентрације референтног гаса. Затим се утврди максимална разлика у процентима између тих трију вредности. То је интерференција О</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 ако је интерференција О</w:t>
      </w:r>
      <w:r w:rsidRPr="00B03342">
        <w:rPr>
          <w:rFonts w:ascii="Arial" w:hAnsi="Arial" w:cs="Arial"/>
          <w:color w:val="000000"/>
          <w:vertAlign w:val="subscript"/>
          <w:lang w:eastAsia="sr-Latn-RS"/>
        </w:rPr>
        <w:t>2</w:t>
      </w:r>
      <w:r w:rsidRPr="00B03342">
        <w:rPr>
          <w:rFonts w:ascii="Arial" w:hAnsi="Arial" w:cs="Arial"/>
          <w:color w:val="000000"/>
          <w:lang w:eastAsia="sr-Latn-RS"/>
        </w:rPr>
        <w:t> унутар ± 3 %, FID пролази верификацију интерференције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у супротном нужно је уклонити недостатак спровођењем најмање једног од следећих поступака: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I. верификација се мора поновити како би се утврдило је ли током поступка учињена грешка;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 за испитивање емисија морају се одабрати нулти и распонски гасови који садржавају вишу или нижу концентрацију О</w:t>
      </w:r>
      <w:r w:rsidRPr="00B03342">
        <w:rPr>
          <w:rFonts w:ascii="Arial" w:hAnsi="Arial" w:cs="Arial"/>
          <w:color w:val="000000"/>
          <w:vertAlign w:val="subscript"/>
          <w:lang w:eastAsia="sr-Latn-RS"/>
        </w:rPr>
        <w:t>2</w:t>
      </w:r>
      <w:r w:rsidRPr="00B03342">
        <w:rPr>
          <w:rFonts w:ascii="Arial" w:hAnsi="Arial" w:cs="Arial"/>
          <w:color w:val="000000"/>
          <w:lang w:eastAsia="sr-Latn-RS"/>
        </w:rPr>
        <w:t> па се верификација мора поновити;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III. морају се прилагодити брзине протока ваздуха за горионик FID-а, горива и узорка. Ако су те брзине протока намештене на FID-у укупних угљо-водоника (THC FID) како би се испунили захтеви верификације интерференције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за следећу се верификацију RF CH</w:t>
      </w:r>
      <w:r w:rsidRPr="00B03342">
        <w:rPr>
          <w:rFonts w:ascii="Arial" w:hAnsi="Arial" w:cs="Arial"/>
          <w:color w:val="000000"/>
          <w:vertAlign w:val="subscript"/>
          <w:lang w:eastAsia="sr-Latn-RS"/>
        </w:rPr>
        <w:t>4</w:t>
      </w:r>
      <w:r w:rsidRPr="00B03342">
        <w:rPr>
          <w:rFonts w:ascii="Arial" w:hAnsi="Arial" w:cs="Arial"/>
          <w:color w:val="000000"/>
          <w:lang w:eastAsia="sr-Latn-RS"/>
        </w:rPr>
        <w:t> мора поновно наместити RF CH</w:t>
      </w:r>
      <w:r w:rsidRPr="00B03342">
        <w:rPr>
          <w:rFonts w:ascii="Arial" w:hAnsi="Arial" w:cs="Arial"/>
          <w:color w:val="000000"/>
          <w:vertAlign w:val="subscript"/>
          <w:lang w:eastAsia="sr-Latn-RS"/>
        </w:rPr>
        <w:t>4</w:t>
      </w:r>
      <w:r w:rsidRPr="00B03342">
        <w:rPr>
          <w:rFonts w:ascii="Arial" w:hAnsi="Arial" w:cs="Arial"/>
          <w:color w:val="000000"/>
          <w:lang w:eastAsia="sr-Latn-RS"/>
        </w:rPr>
        <w:t>. Верификација интерференције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мора се поновити након намештања те се мора одредити RF CH</w:t>
      </w:r>
      <w:r w:rsidRPr="00B03342">
        <w:rPr>
          <w:rFonts w:ascii="Arial" w:hAnsi="Arial" w:cs="Arial"/>
          <w:color w:val="000000"/>
          <w:vertAlign w:val="subscript"/>
          <w:lang w:eastAsia="sr-Latn-RS"/>
        </w:rPr>
        <w:t>4</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IV. FID се мора поправити или заменити, а верификација интерференције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мора се поновити.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8.1.10.3. Пенетрацијске фракције филтера пропусног само за метан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 Мерења NOx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8.1.11.1. Верификација гушења CO</w:t>
      </w:r>
      <w:r w:rsidRPr="00B03342">
        <w:rPr>
          <w:rFonts w:ascii="Arial" w:hAnsi="Arial" w:cs="Arial"/>
          <w:color w:val="000000"/>
          <w:vertAlign w:val="subscript"/>
          <w:lang w:eastAsia="sr-Latn-RS"/>
        </w:rPr>
        <w:t>2</w:t>
      </w:r>
      <w:r w:rsidRPr="00B03342">
        <w:rPr>
          <w:rFonts w:ascii="Arial" w:hAnsi="Arial" w:cs="Arial"/>
          <w:color w:val="000000"/>
          <w:lang w:eastAsia="sr-Latn-RS"/>
        </w:rPr>
        <w:t> и H</w:t>
      </w:r>
      <w:r w:rsidRPr="00B03342">
        <w:rPr>
          <w:rFonts w:ascii="Arial" w:hAnsi="Arial" w:cs="Arial"/>
          <w:color w:val="000000"/>
          <w:vertAlign w:val="subscript"/>
          <w:lang w:eastAsia="sr-Latn-RS"/>
        </w:rPr>
        <w:t>2</w:t>
      </w:r>
      <w:r w:rsidRPr="00B03342">
        <w:rPr>
          <w:rFonts w:ascii="Arial" w:hAnsi="Arial" w:cs="Arial"/>
          <w:color w:val="000000"/>
          <w:lang w:eastAsia="sr-Latn-RS"/>
        </w:rPr>
        <w:t>O за хемилуминисцентни детектор (CLD)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8.1.11.1.1.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CLD анализатор употребљава за мерење NO</w:t>
      </w:r>
      <w:r w:rsidRPr="00B03342">
        <w:rPr>
          <w:rFonts w:ascii="Arial" w:hAnsi="Arial" w:cs="Arial"/>
          <w:color w:val="000000"/>
          <w:vertAlign w:val="subscript"/>
          <w:lang w:eastAsia="sr-Latn-RS"/>
        </w:rPr>
        <w:t>x</w:t>
      </w:r>
      <w:r w:rsidRPr="00B03342">
        <w:rPr>
          <w:rFonts w:ascii="Arial" w:hAnsi="Arial" w:cs="Arial"/>
          <w:color w:val="000000"/>
          <w:lang w:eastAsia="sr-Latn-RS"/>
        </w:rPr>
        <w:t>, износ гушења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мора се верификовати након инсталације CLD анализатора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8.1.11.1.2.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могу негативно утицати на одзив CLD-а на NOx динамичким гушењем, које инхибира хемилуминисцентну реакцију коју CLD употребљава за детекцију NOx. Тим се поступком и обрачунима из тачке 8.1.11.2.3. овог прилога утврђује гушење и резултате гушења прилагођавају према максималној моларној фракцији H</w:t>
      </w:r>
      <w:r w:rsidRPr="00B03342">
        <w:rPr>
          <w:rFonts w:ascii="Arial" w:hAnsi="Arial" w:cs="Arial"/>
          <w:color w:val="000000"/>
          <w:vertAlign w:val="subscript"/>
          <w:lang w:eastAsia="sr-Latn-RS"/>
        </w:rPr>
        <w:t>2</w:t>
      </w:r>
      <w:r w:rsidRPr="00B03342">
        <w:rPr>
          <w:rFonts w:ascii="Arial" w:hAnsi="Arial" w:cs="Arial"/>
          <w:color w:val="000000"/>
          <w:lang w:eastAsia="sr-Latn-RS"/>
        </w:rPr>
        <w:t>O и максималној концентрацији CO</w:t>
      </w:r>
      <w:r w:rsidRPr="00B03342">
        <w:rPr>
          <w:rFonts w:ascii="Arial" w:hAnsi="Arial" w:cs="Arial"/>
          <w:color w:val="000000"/>
          <w:vertAlign w:val="subscript"/>
          <w:lang w:eastAsia="sr-Latn-RS"/>
        </w:rPr>
        <w:t>2</w:t>
      </w:r>
      <w:r w:rsidRPr="00B03342">
        <w:rPr>
          <w:rFonts w:ascii="Arial" w:hAnsi="Arial" w:cs="Arial"/>
          <w:color w:val="000000"/>
          <w:lang w:eastAsia="sr-Latn-RS"/>
        </w:rPr>
        <w:t> које се очекују током испитивања емисије. Ако CLD анализатор употребљава компензацијске алгоритме гушења који пак употребљавају инструменте за мерење H</w:t>
      </w:r>
      <w:r w:rsidRPr="00B03342">
        <w:rPr>
          <w:rFonts w:ascii="Arial" w:hAnsi="Arial" w:cs="Arial"/>
          <w:color w:val="000000"/>
          <w:vertAlign w:val="subscript"/>
          <w:lang w:eastAsia="sr-Latn-RS"/>
        </w:rPr>
        <w:t>2</w:t>
      </w:r>
      <w:r w:rsidRPr="00B03342">
        <w:rPr>
          <w:rFonts w:ascii="Arial" w:hAnsi="Arial" w:cs="Arial"/>
          <w:color w:val="000000"/>
          <w:lang w:eastAsia="sr-Latn-RS"/>
        </w:rPr>
        <w:t>O и/или CO</w:t>
      </w:r>
      <w:r w:rsidRPr="00B03342">
        <w:rPr>
          <w:rFonts w:ascii="Arial" w:hAnsi="Arial" w:cs="Arial"/>
          <w:color w:val="000000"/>
          <w:vertAlign w:val="subscript"/>
          <w:lang w:eastAsia="sr-Latn-RS"/>
        </w:rPr>
        <w:t>2</w:t>
      </w:r>
      <w:r w:rsidRPr="00B03342">
        <w:rPr>
          <w:rFonts w:ascii="Arial" w:hAnsi="Arial" w:cs="Arial"/>
          <w:color w:val="000000"/>
          <w:lang w:eastAsia="sr-Latn-RS"/>
        </w:rPr>
        <w:t>, гушење се мора еволуирати док су ти инструменти активни и док се примењују компензацијски алгоритми.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8.1.11.1.3.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 мерењу разређеног гаса CLD анализатор не сме премашити комбиновано гушење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више од ± 2 %. При мерењу неразређеног гаса CLD анализатор не сме премашити комбиновано гушење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r w:rsidRPr="00B03342">
        <w:rPr>
          <w:rFonts w:ascii="Arial" w:hAnsi="Arial" w:cs="Arial"/>
          <w:color w:val="000000"/>
          <w:lang w:eastAsia="sr-Latn-RS"/>
        </w:rPr>
        <w:t> више од ± 2,5 %. Комбиновано гушење збир је гушења CO</w:t>
      </w:r>
      <w:r w:rsidRPr="00B03342">
        <w:rPr>
          <w:rFonts w:ascii="Arial" w:hAnsi="Arial" w:cs="Arial"/>
          <w:color w:val="000000"/>
          <w:vertAlign w:val="subscript"/>
          <w:lang w:eastAsia="sr-Latn-RS"/>
        </w:rPr>
        <w:t>2</w:t>
      </w:r>
      <w:r w:rsidRPr="00B03342">
        <w:rPr>
          <w:rFonts w:ascii="Arial" w:hAnsi="Arial" w:cs="Arial"/>
          <w:color w:val="000000"/>
          <w:lang w:eastAsia="sr-Latn-RS"/>
        </w:rPr>
        <w:t> одређеног како је описано у тачки 8.1.11.1.4. овог прилога и гушења H</w:t>
      </w:r>
      <w:r w:rsidRPr="00B03342">
        <w:rPr>
          <w:rFonts w:ascii="Arial" w:hAnsi="Arial" w:cs="Arial"/>
          <w:color w:val="000000"/>
          <w:vertAlign w:val="subscript"/>
          <w:lang w:eastAsia="sr-Latn-RS"/>
        </w:rPr>
        <w:t>2</w:t>
      </w:r>
      <w:r w:rsidRPr="00B03342">
        <w:rPr>
          <w:rFonts w:ascii="Arial" w:hAnsi="Arial" w:cs="Arial"/>
          <w:color w:val="000000"/>
          <w:lang w:eastAsia="sr-Latn-RS"/>
        </w:rPr>
        <w:t>O како је одређено у тачки 8.1.11.1.5. овог прилога. Ако ти захтеви нису испуњени, морају се предузети корективне мере, и то поправљање или замена анализатора. Пре покретања испитивања емисија мора се верификовати је ли анализатор корективним мерама враћен у стање исправног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8.1.11.1.4. Поступак верификације гушења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Следећа метода или метода коју је прописао произвођач инструмента могу се употребити за утврђивање гушења CO</w:t>
      </w:r>
      <w:r w:rsidRPr="00B03342">
        <w:rPr>
          <w:rFonts w:ascii="Arial" w:hAnsi="Arial" w:cs="Arial"/>
          <w:color w:val="000000"/>
          <w:vertAlign w:val="subscript"/>
          <w:lang w:eastAsia="sr-Latn-RS"/>
        </w:rPr>
        <w:t>2</w:t>
      </w:r>
      <w:r w:rsidRPr="00B03342">
        <w:rPr>
          <w:rFonts w:ascii="Arial" w:hAnsi="Arial" w:cs="Arial"/>
          <w:color w:val="000000"/>
          <w:lang w:eastAsia="sr-Latn-RS"/>
        </w:rPr>
        <w:t> с помоћу разделника гаса који меша бинарне распонске гасове с нултим гасом као разређивачем и који одговара спецификацијама из тачке 9.4.5.6, или се на основу добре инжењерске процене развија друкчији протокол:</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повезивање се морају употребити цеви од политетрафлуоретилена (PTFE) или од нерђајућег челика;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разделник гаса мора се конфигурисати тако да се међусобно мешају готово једнаке количине распонског гаса и гаса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CLD анализатор има начин рада у којем открива само НО, за разлику од укупног NOx, тада мора радити у начину рада само за НО;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мора се употребљавати распонски CO</w:t>
      </w:r>
      <w:r w:rsidRPr="00B03342">
        <w:rPr>
          <w:rFonts w:ascii="Arial" w:hAnsi="Arial" w:cs="Arial"/>
          <w:color w:val="000000"/>
          <w:vertAlign w:val="subscript"/>
          <w:lang w:eastAsia="sr-Latn-RS"/>
        </w:rPr>
        <w:t>2</w:t>
      </w:r>
      <w:r w:rsidRPr="00B03342">
        <w:rPr>
          <w:rFonts w:ascii="Arial" w:hAnsi="Arial" w:cs="Arial"/>
          <w:color w:val="000000"/>
          <w:lang w:eastAsia="sr-Latn-RS"/>
        </w:rPr>
        <w:t> који испуњава захтеве из тачке 9.5.1. овог прилога и концентрација која је приближно двоструко већа од максималне очекиване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током испитивања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мора се употребљавати распонски НО који испуњава захтеве из тачке 9.5.1. овог прилога и концентрација која је приближно двоструко већа од максималне очекиване концентрације НО током испитивања емисије. Веће концентрације могу се употребљавати у складу с препоруком произвођача инструмента и добром инжењерском проценом како би се добила тачна верификација ако је очекивана концентрација НО нижа од минималног распона за верификацију који је специфицирао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CLD анализатор мора се нулто и распонски умерити. CLD анализатор распонски се умерава распонским гасом НО из става (е) ове тачке помоћу разделника гаса. Распонски НО спаја се на распонски отвор разделника гаса; нулти гас спаја се на отвор разређивача на разделнику гаса; употребљава се исти номинални однос мешања који је одабран у ставу (б) ове тачке; а излазна концентрација НО из разделника гаса употребљава се за распонско умеравање CLD анализатора. Корекције својстава гаса примењују се према потреби како би се осигурала тачна подела гаса;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 распонски CO</w:t>
      </w:r>
      <w:r w:rsidRPr="00B03342">
        <w:rPr>
          <w:rFonts w:ascii="Arial" w:hAnsi="Arial" w:cs="Arial"/>
          <w:color w:val="000000"/>
          <w:vertAlign w:val="subscript"/>
          <w:lang w:eastAsia="sr-Latn-RS"/>
        </w:rPr>
        <w:t>2</w:t>
      </w:r>
      <w:r w:rsidRPr="00B03342">
        <w:rPr>
          <w:rFonts w:ascii="Arial" w:hAnsi="Arial" w:cs="Arial"/>
          <w:color w:val="000000"/>
          <w:lang w:eastAsia="sr-Latn-RS"/>
        </w:rPr>
        <w:t> спаја се на распонски отвор разделника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распонски НО спаја се на распонски отвор разделника гаса;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 док НО и CO</w:t>
      </w:r>
      <w:r w:rsidRPr="00B03342">
        <w:rPr>
          <w:rFonts w:ascii="Arial" w:hAnsi="Arial" w:cs="Arial"/>
          <w:color w:val="000000"/>
          <w:vertAlign w:val="subscript"/>
          <w:lang w:eastAsia="sr-Latn-RS"/>
        </w:rPr>
        <w:t>2</w:t>
      </w:r>
      <w:r w:rsidRPr="00B03342">
        <w:rPr>
          <w:rFonts w:ascii="Arial" w:hAnsi="Arial" w:cs="Arial"/>
          <w:color w:val="000000"/>
          <w:lang w:eastAsia="sr-Latn-RS"/>
        </w:rPr>
        <w:t> протичу кроз разделник гаса, излаз разделника гаса мора се стабилизовати. Мора се утврдити концентрација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из излаза разделника гаса, према потреби примењујући корекцију својстава гаса како би се осигурала тачна подела гаса. Ту се концентрацију, x CO</w:t>
      </w:r>
      <w:r w:rsidRPr="00B03342">
        <w:rPr>
          <w:rFonts w:ascii="Arial" w:hAnsi="Arial" w:cs="Arial"/>
          <w:color w:val="000000"/>
          <w:vertAlign w:val="subscript"/>
          <w:lang w:eastAsia="sr-Latn-RS"/>
        </w:rPr>
        <w:t>2</w:t>
      </w:r>
      <w:r w:rsidRPr="00B03342">
        <w:rPr>
          <w:rFonts w:ascii="Arial" w:hAnsi="Arial" w:cs="Arial"/>
          <w:color w:val="000000"/>
          <w:lang w:eastAsia="sr-Latn-RS"/>
        </w:rPr>
        <w:t>act, мора забележити и употребљавати у обрачунима за верификацију гушења из тачке 8.1.11.2.3. Алтернативно, уместо разделника гаса може се употребљавати и неки други једноставан уређај за мешање гасова. У том се случају анализатор употребљава за утврђивање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Ако се NDIR употребљава у комбинацији с једноставним уређајем за мешање гаса, он мора испуњавати захтеве из овог одељка и мора га се распонски умерити помоћу CO</w:t>
      </w:r>
      <w:r w:rsidRPr="00B03342">
        <w:rPr>
          <w:rFonts w:ascii="Arial" w:hAnsi="Arial" w:cs="Arial"/>
          <w:color w:val="000000"/>
          <w:vertAlign w:val="subscript"/>
          <w:lang w:eastAsia="sr-Latn-RS"/>
        </w:rPr>
        <w:t>2</w:t>
      </w:r>
      <w:r w:rsidRPr="00B03342">
        <w:rPr>
          <w:rFonts w:ascii="Arial" w:hAnsi="Arial" w:cs="Arial"/>
          <w:color w:val="000000"/>
          <w:lang w:eastAsia="sr-Latn-RS"/>
        </w:rPr>
        <w:t> из става (д) ове тачке. Линеарност NDIR анализатора мора се унапред проверити на целом распону до двоструке вредности максималне очекиване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(ј) концентрација НО мери се иза разделника гаса CLD анализатором. Мора се допустити време за стабилизацију одзива анализатора. Време стабилизације може укључивати време потребно за прочишћавање преносног вода и време којим се узима у обзир одзив анализатора. Док анализатор мери концентрацију узорка, 30 секунда бележе се излазне вредности анализатора. Из наведених се података рачуна артиметичка средина концентрације, x NOmeas. Вредност x NOmeas мора се бележити и употребљавати у обрачунима за верификацију гушења из тачке 8.1.11.2.3.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 стварна концентрација НО рачуна се на излазу разделника гаса, x NOact, на основу концентрација распонског гаса и x CO</w:t>
      </w:r>
      <w:r w:rsidRPr="00B03342">
        <w:rPr>
          <w:rFonts w:ascii="Arial" w:hAnsi="Arial" w:cs="Arial"/>
          <w:color w:val="000000"/>
          <w:vertAlign w:val="subscript"/>
          <w:lang w:eastAsia="sr-Latn-RS"/>
        </w:rPr>
        <w:t>2</w:t>
      </w:r>
      <w:r w:rsidRPr="00B03342">
        <w:rPr>
          <w:rFonts w:ascii="Arial" w:hAnsi="Arial" w:cs="Arial"/>
          <w:color w:val="000000"/>
          <w:lang w:eastAsia="sr-Latn-RS"/>
        </w:rPr>
        <w:t>act према једначина (6-24). Обрачуната вредност употребљава се у обрачунима за верификацију гушења у једначина (6-23);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 вредности забележене у складу с тач. 8.1.11.1.4. и 8.1.11.1.5. овог прилога употребљавају се за рачунање гушења како је описано у тачки 8.1.11.2.3.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8.1.11.1.5. Поступак верификације гушења H</w:t>
      </w:r>
      <w:r w:rsidRPr="00B03342">
        <w:rPr>
          <w:rFonts w:ascii="Arial" w:hAnsi="Arial" w:cs="Arial"/>
          <w:color w:val="000000"/>
          <w:vertAlign w:val="subscript"/>
          <w:lang w:eastAsia="sr-Latn-RS"/>
        </w:rPr>
        <w:t>2</w:t>
      </w:r>
      <w:r w:rsidRPr="00B03342">
        <w:rPr>
          <w:rFonts w:ascii="Arial" w:hAnsi="Arial" w:cs="Arial"/>
          <w:color w:val="000000"/>
          <w:lang w:eastAsia="sr-Latn-RS"/>
        </w:rPr>
        <w:t>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утврђивање гушења H</w:t>
      </w:r>
      <w:r w:rsidRPr="00B03342">
        <w:rPr>
          <w:rFonts w:ascii="Arial" w:hAnsi="Arial" w:cs="Arial"/>
          <w:color w:val="000000"/>
          <w:vertAlign w:val="subscript"/>
          <w:lang w:eastAsia="sr-Latn-RS"/>
        </w:rPr>
        <w:t>2</w:t>
      </w:r>
      <w:r w:rsidRPr="00B03342">
        <w:rPr>
          <w:rFonts w:ascii="Arial" w:hAnsi="Arial" w:cs="Arial"/>
          <w:color w:val="000000"/>
          <w:lang w:eastAsia="sr-Latn-RS"/>
        </w:rPr>
        <w:t>O могу се употребљавати следећа метода или метода коју је прописао произвођач инструмента, или се на основу добре инжењерске процене развија друкчији протокол:</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потребне се везе морају употребити цеви од политетрафлуоретилена (PTFE) или од нерђајућег челика;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CLD анализатор има начин рада у којем се открива само НО, за разлику од укупног NOx, CLD анализатор мора радити у начину рада само за 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морају се употребљавати распонски НО који испуњава захтеве из тачке 9.5.1. овог прилога и концентрација која је близу максималне очекиване концентрације током испитивања емисије. Веће концентрације могу се употребљавати у складу с препоруком произвођача инструмента и добром инжењерском проценом како би се добила тачна верификација ако је очекивана концентрација НО нижа од минималног распона за верификацију који је специфицирао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CLD анализатор мора се нулто и распонски умерити. CLD анализатор распонски се умерава распонским гасом НО из става (ц) ове тачке, концентрација распонског гаса бележи се као x NOdry и употребљава се у обрачунима за верификацију гушења из тачке 8.1.11.2.3.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распонски гас НО овлажује се продувавањем мехурића кроз дестилисану воду у затвореној посуди. Ако узорак овлаженог распонског НО не прође кроз уређај за сушење узорка у сврху овог верификацијског испитивања, температура посуде мора се регулисати тако да генерише садржај H</w:t>
      </w:r>
      <w:r w:rsidRPr="00B03342">
        <w:rPr>
          <w:rFonts w:ascii="Arial" w:hAnsi="Arial" w:cs="Arial"/>
          <w:color w:val="000000"/>
          <w:vertAlign w:val="subscript"/>
          <w:lang w:eastAsia="sr-Latn-RS"/>
        </w:rPr>
        <w:t>2</w:t>
      </w:r>
      <w:r w:rsidRPr="00B03342">
        <w:rPr>
          <w:rFonts w:ascii="Arial" w:hAnsi="Arial" w:cs="Arial"/>
          <w:color w:val="000000"/>
          <w:lang w:eastAsia="sr-Latn-RS"/>
        </w:rPr>
        <w:t>O у распонском гасу који је приближно једнак максималној очекиваној моларној фракцији H2O током испитивања емисије. Ако овлажени узорак распонског NО не прође кроз уређај за сушење узорка, прорачуни за верификацију гушења из тачке 8.1.11.2.3. овог прилога постављају измерено гушење H</w:t>
      </w:r>
      <w:r w:rsidRPr="00B03342">
        <w:rPr>
          <w:rFonts w:ascii="Arial" w:hAnsi="Arial" w:cs="Arial"/>
          <w:color w:val="000000"/>
          <w:vertAlign w:val="subscript"/>
          <w:lang w:eastAsia="sr-Latn-RS"/>
        </w:rPr>
        <w:t>2</w:t>
      </w:r>
      <w:r w:rsidRPr="00B03342">
        <w:rPr>
          <w:rFonts w:ascii="Arial" w:hAnsi="Arial" w:cs="Arial"/>
          <w:color w:val="000000"/>
          <w:lang w:eastAsia="sr-Latn-RS"/>
        </w:rPr>
        <w:t>O према највишој очекиваној моларној фракцији H</w:t>
      </w:r>
      <w:r w:rsidRPr="00B03342">
        <w:rPr>
          <w:rFonts w:ascii="Arial" w:hAnsi="Arial" w:cs="Arial"/>
          <w:color w:val="000000"/>
          <w:vertAlign w:val="subscript"/>
          <w:lang w:eastAsia="sr-Latn-RS"/>
        </w:rPr>
        <w:t>2</w:t>
      </w:r>
      <w:r w:rsidRPr="00B03342">
        <w:rPr>
          <w:rFonts w:ascii="Arial" w:hAnsi="Arial" w:cs="Arial"/>
          <w:color w:val="000000"/>
          <w:lang w:eastAsia="sr-Latn-RS"/>
        </w:rPr>
        <w:t>O током испитивања емисије. Ако овлажени узорак распонског NО пролази кроз уређај за сушење у сврху ове верификације, температура посуде мора се регулисати тако да генерише садржај H</w:t>
      </w:r>
      <w:r w:rsidRPr="00B03342">
        <w:rPr>
          <w:rFonts w:ascii="Arial" w:hAnsi="Arial" w:cs="Arial"/>
          <w:color w:val="000000"/>
          <w:vertAlign w:val="subscript"/>
          <w:lang w:eastAsia="sr-Latn-RS"/>
        </w:rPr>
        <w:t>2</w:t>
      </w:r>
      <w:r w:rsidRPr="00B03342">
        <w:rPr>
          <w:rFonts w:ascii="Arial" w:hAnsi="Arial" w:cs="Arial"/>
          <w:color w:val="000000"/>
          <w:lang w:eastAsia="sr-Latn-RS"/>
        </w:rPr>
        <w:t>O у распонском гасу који је барем једнако висок као највиши очекивани садржај на излазу уређаја за сушење у складу с тачком 9.3.2.3.1.1 овог прилога. У том се случају прорачунима за верификацију гушења из тачке 8.1.11.2.3. овог прилога сразмерно не мења измерено гушење H2O;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овлажени испитни гас НО уводи се у систем узорковања. Може се увести испред или иза уређаја за сушење узорка који се употребљава током испитивања емисије. Зависно о месту увођења одабире се одговарајућа метода обрачуна из става (е) ове тачке. Уређај за сушење узорака мора проћи верификацијску проверу уређаја за сушење узорака из тачке 8.1.12.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 мери се моларна фракција H</w:t>
      </w:r>
      <w:r w:rsidRPr="00B03342">
        <w:rPr>
          <w:rFonts w:ascii="Arial" w:hAnsi="Arial" w:cs="Arial"/>
          <w:color w:val="000000"/>
          <w:vertAlign w:val="subscript"/>
          <w:lang w:eastAsia="sr-Latn-RS"/>
        </w:rPr>
        <w:t>2</w:t>
      </w:r>
      <w:r w:rsidRPr="00B03342">
        <w:rPr>
          <w:rFonts w:ascii="Arial" w:hAnsi="Arial" w:cs="Arial"/>
          <w:color w:val="000000"/>
          <w:lang w:eastAsia="sr-Latn-RS"/>
        </w:rPr>
        <w:t>O у овлаженом распонском НО. Ако се употребљава уређај за сушење узорка, моларна фракција H</w:t>
      </w:r>
      <w:r w:rsidRPr="00B03342">
        <w:rPr>
          <w:rFonts w:ascii="Arial" w:hAnsi="Arial" w:cs="Arial"/>
          <w:color w:val="000000"/>
          <w:vertAlign w:val="subscript"/>
          <w:lang w:eastAsia="sr-Latn-RS"/>
        </w:rPr>
        <w:t>2</w:t>
      </w:r>
      <w:r w:rsidRPr="00B03342">
        <w:rPr>
          <w:rFonts w:ascii="Arial" w:hAnsi="Arial" w:cs="Arial"/>
          <w:color w:val="000000"/>
          <w:lang w:eastAsia="sr-Latn-RS"/>
        </w:rPr>
        <w:t>O у овлаженом распонском НО мери се иза уређаја за сушење узорка, x H</w:t>
      </w:r>
      <w:r w:rsidRPr="00B03342">
        <w:rPr>
          <w:rFonts w:ascii="Arial" w:hAnsi="Arial" w:cs="Arial"/>
          <w:color w:val="000000"/>
          <w:vertAlign w:val="subscript"/>
          <w:lang w:eastAsia="sr-Latn-RS"/>
        </w:rPr>
        <w:t>2</w:t>
      </w:r>
      <w:r w:rsidRPr="00B03342">
        <w:rPr>
          <w:rFonts w:ascii="Arial" w:hAnsi="Arial" w:cs="Arial"/>
          <w:color w:val="000000"/>
          <w:lang w:eastAsia="sr-Latn-RS"/>
        </w:rPr>
        <w:t>O </w:t>
      </w:r>
      <w:r w:rsidRPr="00B03342">
        <w:rPr>
          <w:rFonts w:ascii="Arial" w:hAnsi="Arial" w:cs="Arial"/>
          <w:color w:val="000000"/>
          <w:vertAlign w:val="subscript"/>
          <w:lang w:eastAsia="sr-Latn-RS"/>
        </w:rPr>
        <w:t>meas</w:t>
      </w:r>
      <w:r w:rsidRPr="00B03342">
        <w:rPr>
          <w:rFonts w:ascii="Arial" w:hAnsi="Arial" w:cs="Arial"/>
          <w:color w:val="000000"/>
          <w:lang w:eastAsia="sr-Latn-RS"/>
        </w:rPr>
        <w:t>. Препоручује се мерење x H</w:t>
      </w:r>
      <w:r w:rsidRPr="00B03342">
        <w:rPr>
          <w:rFonts w:ascii="Arial" w:hAnsi="Arial" w:cs="Arial"/>
          <w:color w:val="000000"/>
          <w:vertAlign w:val="subscript"/>
          <w:lang w:eastAsia="sr-Latn-RS"/>
        </w:rPr>
        <w:t>2</w:t>
      </w:r>
      <w:r w:rsidRPr="00B03342">
        <w:rPr>
          <w:rFonts w:ascii="Arial" w:hAnsi="Arial" w:cs="Arial"/>
          <w:color w:val="000000"/>
          <w:lang w:eastAsia="sr-Latn-RS"/>
        </w:rPr>
        <w:t>O </w:t>
      </w:r>
      <w:r w:rsidRPr="00B03342">
        <w:rPr>
          <w:rFonts w:ascii="Arial" w:hAnsi="Arial" w:cs="Arial"/>
          <w:color w:val="000000"/>
          <w:vertAlign w:val="subscript"/>
          <w:lang w:eastAsia="sr-Latn-RS"/>
        </w:rPr>
        <w:t>meas</w:t>
      </w:r>
      <w:r w:rsidRPr="00B03342">
        <w:rPr>
          <w:rFonts w:ascii="Arial" w:hAnsi="Arial" w:cs="Arial"/>
          <w:color w:val="000000"/>
          <w:lang w:eastAsia="sr-Latn-RS"/>
        </w:rPr>
        <w:t> што је ближе могуће улазу CLD анализатора. Вредност x H</w:t>
      </w:r>
      <w:r w:rsidRPr="00B03342">
        <w:rPr>
          <w:rFonts w:ascii="Arial" w:hAnsi="Arial" w:cs="Arial"/>
          <w:color w:val="000000"/>
          <w:vertAlign w:val="subscript"/>
          <w:lang w:eastAsia="sr-Latn-RS"/>
        </w:rPr>
        <w:t>2</w:t>
      </w:r>
      <w:r w:rsidRPr="00B03342">
        <w:rPr>
          <w:rFonts w:ascii="Arial" w:hAnsi="Arial" w:cs="Arial"/>
          <w:color w:val="000000"/>
          <w:lang w:eastAsia="sr-Latn-RS"/>
        </w:rPr>
        <w:t>O </w:t>
      </w:r>
      <w:r w:rsidRPr="00B03342">
        <w:rPr>
          <w:rFonts w:ascii="Arial" w:hAnsi="Arial" w:cs="Arial"/>
          <w:color w:val="000000"/>
          <w:vertAlign w:val="subscript"/>
          <w:lang w:eastAsia="sr-Latn-RS"/>
        </w:rPr>
        <w:t>meas</w:t>
      </w:r>
      <w:r w:rsidRPr="00B03342">
        <w:rPr>
          <w:rFonts w:ascii="Arial" w:hAnsi="Arial" w:cs="Arial"/>
          <w:color w:val="000000"/>
          <w:lang w:eastAsia="sr-Latn-RS"/>
        </w:rPr>
        <w:t> може се обрачунат из мерења рошења, T dew, и апсолутног притисака, p total;</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(ж) спречавање кондензације у преносним водовима, спојевима или вентилима од места мерења x H</w:t>
      </w:r>
      <w:r w:rsidRPr="00B03342">
        <w:rPr>
          <w:rFonts w:ascii="Arial" w:hAnsi="Arial" w:cs="Arial"/>
          <w:color w:val="000000"/>
          <w:vertAlign w:val="subscript"/>
          <w:lang w:eastAsia="sr-Latn-RS"/>
        </w:rPr>
        <w:t>2</w:t>
      </w:r>
      <w:r w:rsidRPr="00B03342">
        <w:rPr>
          <w:rFonts w:ascii="Arial" w:hAnsi="Arial" w:cs="Arial"/>
          <w:color w:val="000000"/>
          <w:lang w:eastAsia="sr-Latn-RS"/>
        </w:rPr>
        <w:t>O </w:t>
      </w:r>
      <w:r w:rsidRPr="00B03342">
        <w:rPr>
          <w:rFonts w:ascii="Arial" w:hAnsi="Arial" w:cs="Arial"/>
          <w:color w:val="000000"/>
          <w:vertAlign w:val="subscript"/>
          <w:lang w:eastAsia="sr-Latn-RS"/>
        </w:rPr>
        <w:t>meas</w:t>
      </w:r>
      <w:r w:rsidRPr="00B03342">
        <w:rPr>
          <w:rFonts w:ascii="Arial" w:hAnsi="Arial" w:cs="Arial"/>
          <w:color w:val="000000"/>
          <w:lang w:eastAsia="sr-Latn-RS"/>
        </w:rPr>
        <w:t> до анализатора мора се учинити на основу добре инжењерске процене. Препоручује се да се систем изведе тако да температуре стенки у преносним водовима, спојевима и вентилима од места мерења x H</w:t>
      </w:r>
      <w:r w:rsidRPr="00B03342">
        <w:rPr>
          <w:rFonts w:ascii="Arial" w:hAnsi="Arial" w:cs="Arial"/>
          <w:color w:val="000000"/>
          <w:vertAlign w:val="subscript"/>
          <w:lang w:eastAsia="sr-Latn-RS"/>
        </w:rPr>
        <w:t>2</w:t>
      </w:r>
      <w:r w:rsidRPr="00B03342">
        <w:rPr>
          <w:rFonts w:ascii="Arial" w:hAnsi="Arial" w:cs="Arial"/>
          <w:color w:val="000000"/>
          <w:lang w:eastAsia="sr-Latn-RS"/>
        </w:rPr>
        <w:t>O </w:t>
      </w:r>
      <w:r w:rsidRPr="00B03342">
        <w:rPr>
          <w:rFonts w:ascii="Arial" w:hAnsi="Arial" w:cs="Arial"/>
          <w:color w:val="000000"/>
          <w:vertAlign w:val="subscript"/>
          <w:lang w:eastAsia="sr-Latn-RS"/>
        </w:rPr>
        <w:t>meas</w:t>
      </w:r>
      <w:r w:rsidRPr="00B03342">
        <w:rPr>
          <w:rFonts w:ascii="Arial" w:hAnsi="Arial" w:cs="Arial"/>
          <w:color w:val="000000"/>
          <w:lang w:eastAsia="sr-Latn-RS"/>
        </w:rPr>
        <w:t> до анализатора буду барем 5 К изнад тачке рошења локалног гаса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концентрација овлаженог распонског НО мери се CLD анализатором. Мора се допустити време за стабилизацију одзива анализатора. Време стабилизације може укључивати време потребно за прочишћавање преносног вода и време којим се узима у обзир одзив анализатора. Док анализатор мери концентрацију узорка, 30 секунда бележе се излазне вредности анализатора. Из наведених се података обрачунава артиметичка средина x NOwet. Вредност x NOwet бележи се и употребљава у обрачунима за верификацију гушења из тачке 8.1.11.2.3.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8.1.11.2. Обрачуни за верификацију гушења CLD-а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Обрачуни за верификацију гушења CLD-а морају се спроводити како је описано у овој тачки.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8.1.11.2.1. Очекивани износ воде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 се проценити максимална очекивана моларна фракција воде током испитивања емисије, x </w:t>
      </w:r>
      <w:r w:rsidRPr="00B03342">
        <w:rPr>
          <w:rFonts w:ascii="Arial" w:hAnsi="Arial" w:cs="Arial"/>
          <w:color w:val="000000"/>
          <w:vertAlign w:val="subscript"/>
          <w:lang w:eastAsia="sr-Latn-RS"/>
        </w:rPr>
        <w:t>H2Oexp</w:t>
      </w:r>
      <w:r w:rsidRPr="00B03342">
        <w:rPr>
          <w:rFonts w:ascii="Arial" w:hAnsi="Arial" w:cs="Arial"/>
          <w:color w:val="000000"/>
          <w:lang w:eastAsia="sr-Latn-RS"/>
        </w:rPr>
        <w:t>. Та се процена ради на месту где је овлажени распонски гас НО уведен у тачки 8.1.11.1.5. (ф) овог прилога. При процењивању максималне очекиване моларне фракције воде узимају се у обзир максимални очекивани удео воде у ваздуху за изгарање, производи изгарања горива и ваздух за разређивање (ако је примењиво). Ако се овлажени распонски гас НО уводи у систем узорковања испред уређаја за сушење узорка током верификацијског испитивања, није потребно одређивати максималну очекивану моларну фракцију воде, а x H</w:t>
      </w:r>
      <w:r w:rsidRPr="00B03342">
        <w:rPr>
          <w:rFonts w:ascii="Arial" w:hAnsi="Arial" w:cs="Arial"/>
          <w:color w:val="000000"/>
          <w:vertAlign w:val="subscript"/>
          <w:lang w:eastAsia="sr-Latn-RS"/>
        </w:rPr>
        <w:t>2</w:t>
      </w:r>
      <w:r w:rsidRPr="00B03342">
        <w:rPr>
          <w:rFonts w:ascii="Arial" w:hAnsi="Arial" w:cs="Arial"/>
          <w:color w:val="000000"/>
          <w:lang w:eastAsia="sr-Latn-RS"/>
        </w:rPr>
        <w:t>Oexp се намести тако да буде једнак x </w:t>
      </w:r>
      <w:r w:rsidRPr="00B03342">
        <w:rPr>
          <w:rFonts w:ascii="Arial" w:hAnsi="Arial" w:cs="Arial"/>
          <w:color w:val="000000"/>
          <w:vertAlign w:val="subscript"/>
          <w:lang w:eastAsia="sr-Latn-RS"/>
        </w:rPr>
        <w:t>H2Oмеас</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8.1.11.2.2. Очекивани износ CO</w:t>
      </w:r>
      <w:r w:rsidRPr="00B03342">
        <w:rPr>
          <w:rFonts w:ascii="Arial" w:hAnsi="Arial" w:cs="Arial"/>
          <w:color w:val="000000"/>
          <w:vertAlign w:val="subscript"/>
          <w:lang w:eastAsia="sr-Latn-RS"/>
        </w:rPr>
        <w:t>2</w:t>
      </w:r>
      <w:r w:rsidRPr="00B03342">
        <w:rPr>
          <w:rFonts w:ascii="Arial" w:hAnsi="Arial" w:cs="Arial"/>
          <w:color w:val="000000"/>
          <w:lang w:eastAsia="sr-Latn-RS"/>
        </w:rPr>
        <w:t>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 се проценити максимална очекивана концентрација CO</w:t>
      </w:r>
      <w:r w:rsidRPr="00B03342">
        <w:rPr>
          <w:rFonts w:ascii="Arial" w:hAnsi="Arial" w:cs="Arial"/>
          <w:color w:val="000000"/>
          <w:vertAlign w:val="subscript"/>
          <w:lang w:eastAsia="sr-Latn-RS"/>
        </w:rPr>
        <w:t>2</w:t>
      </w:r>
      <w:r w:rsidRPr="00B03342">
        <w:rPr>
          <w:rFonts w:ascii="Arial" w:hAnsi="Arial" w:cs="Arial"/>
          <w:color w:val="000000"/>
          <w:lang w:eastAsia="sr-Latn-RS"/>
        </w:rPr>
        <w:t> током испитивања емисије, x </w:t>
      </w:r>
      <w:r w:rsidRPr="00B03342">
        <w:rPr>
          <w:rFonts w:ascii="Arial" w:hAnsi="Arial" w:cs="Arial"/>
          <w:color w:val="000000"/>
          <w:vertAlign w:val="subscript"/>
          <w:lang w:eastAsia="sr-Latn-RS"/>
        </w:rPr>
        <w:t>CO2exp</w:t>
      </w:r>
      <w:r w:rsidRPr="00B03342">
        <w:rPr>
          <w:rFonts w:ascii="Arial" w:hAnsi="Arial" w:cs="Arial"/>
          <w:color w:val="000000"/>
          <w:lang w:eastAsia="sr-Latn-RS"/>
        </w:rPr>
        <w:t>. Та се процена ради на месту у систему узорковања где се помешани распонски гасови НО и CO</w:t>
      </w:r>
      <w:r w:rsidRPr="00B03342">
        <w:rPr>
          <w:rFonts w:ascii="Arial" w:hAnsi="Arial" w:cs="Arial"/>
          <w:color w:val="000000"/>
          <w:vertAlign w:val="subscript"/>
          <w:lang w:eastAsia="sr-Latn-RS"/>
        </w:rPr>
        <w:t>2</w:t>
      </w:r>
      <w:r w:rsidRPr="00B03342">
        <w:rPr>
          <w:rFonts w:ascii="Arial" w:hAnsi="Arial" w:cs="Arial"/>
          <w:color w:val="000000"/>
          <w:lang w:eastAsia="sr-Latn-RS"/>
        </w:rPr>
        <w:t xml:space="preserve"> уводе у складу с тачком 8.1.11.1.4. (ј) овог прилога. </w:t>
      </w:r>
      <w:r w:rsidRPr="00B03342">
        <w:rPr>
          <w:rFonts w:ascii="Arial" w:hAnsi="Arial" w:cs="Arial"/>
          <w:color w:val="000000"/>
          <w:lang w:eastAsia="sr-Latn-RS"/>
        </w:rPr>
        <w:lastRenderedPageBreak/>
        <w:t>При процењивању максималне очекиване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узимају се у обзир максимални очекивани удео CO</w:t>
      </w:r>
      <w:r w:rsidRPr="00B03342">
        <w:rPr>
          <w:rFonts w:ascii="Arial" w:hAnsi="Arial" w:cs="Arial"/>
          <w:color w:val="000000"/>
          <w:vertAlign w:val="subscript"/>
          <w:lang w:eastAsia="sr-Latn-RS"/>
        </w:rPr>
        <w:t>2</w:t>
      </w:r>
      <w:r w:rsidRPr="00B03342">
        <w:rPr>
          <w:rFonts w:ascii="Arial" w:hAnsi="Arial" w:cs="Arial"/>
          <w:color w:val="000000"/>
          <w:lang w:eastAsia="sr-Latn-RS"/>
        </w:rPr>
        <w:t> у производима изгарања горива и ваздуху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8.1.11.2.3. Обрачуни комбинованог гушења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Комбиновано гушење H</w:t>
      </w:r>
      <w:r w:rsidRPr="00B03342">
        <w:rPr>
          <w:rFonts w:ascii="Arial" w:hAnsi="Arial" w:cs="Arial"/>
          <w:color w:val="000000"/>
          <w:vertAlign w:val="subscript"/>
          <w:lang w:eastAsia="sr-Latn-RS"/>
        </w:rPr>
        <w:t>2</w:t>
      </w:r>
      <w:r w:rsidRPr="00B03342">
        <w:rPr>
          <w:rFonts w:ascii="Arial" w:hAnsi="Arial" w:cs="Arial"/>
          <w:color w:val="000000"/>
          <w:lang w:eastAsia="sr-Latn-RS"/>
        </w:rPr>
        <w:t>O и CO</w:t>
      </w:r>
      <w:r w:rsidRPr="00B03342">
        <w:rPr>
          <w:rFonts w:ascii="Arial" w:hAnsi="Arial" w:cs="Arial"/>
          <w:color w:val="000000"/>
          <w:vertAlign w:val="subscript"/>
          <w:lang w:eastAsia="sr-Latn-RS"/>
        </w:rPr>
        <w:t>2 </w:t>
      </w:r>
      <w:r w:rsidRPr="00B03342">
        <w:rPr>
          <w:rFonts w:ascii="Arial" w:hAnsi="Arial" w:cs="Arial"/>
          <w:color w:val="000000"/>
          <w:lang w:eastAsia="sr-Latn-RS"/>
        </w:rPr>
        <w:t>рачуна се једначином (6-23):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B02D643" wp14:editId="06E26F28">
            <wp:extent cx="5057140" cy="564515"/>
            <wp:effectExtent l="0" t="0" r="0" b="6985"/>
            <wp:docPr id="262" name="Picture 262" descr="A mathematical formula defining quench as a percentage involving ratios of nitrogen and oxygen concentrations in different states and experimental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mathematical formula defining quench as a percentage involving ratios of nitrogen and oxygen concentrations in different states and experimental conditions.&#10;&#10;Description generated by A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26"/>
        <w:gridCol w:w="917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гушење (qуench)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гушења за CLD</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NOdry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концентрација НО испред уређаја за мехуриће у складу с тачком 8.1.11.1.5.(д)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NOwet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концентрација НО иза уређаја за мехуриће у складу с тачком 8.1.11.1.5.(и)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H2Oexp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очекивана моларна фракција воде током испитивања емисије у складу с тачком 8.1.11.2.1.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H2Omeas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моларна фракција воде током верификације гушења у складу с тачком 8.1.11.1.5.(г)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NOmeas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измерена концентрација НО кад је распонски НО помешан с распонским гасом CO</w:t>
            </w:r>
            <w:r w:rsidRPr="00B03342">
              <w:rPr>
                <w:rFonts w:ascii="Arial" w:hAnsi="Arial" w:cs="Arial"/>
                <w:vertAlign w:val="subscript"/>
                <w:lang w:eastAsia="sr-Latn-RS"/>
              </w:rPr>
              <w:t>2</w:t>
            </w:r>
            <w:r w:rsidRPr="00B03342">
              <w:rPr>
                <w:rFonts w:ascii="Arial" w:hAnsi="Arial" w:cs="Arial"/>
                <w:lang w:eastAsia="sr-Latn-RS"/>
              </w:rPr>
              <w:t> у складу с тачком 8.1.11.1.4.(ј)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NOact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стварна концентрација НО кад је распонски гас НО помешан с распонским гасом CO</w:t>
            </w:r>
            <w:r w:rsidRPr="00B03342">
              <w:rPr>
                <w:rFonts w:ascii="Arial" w:hAnsi="Arial" w:cs="Arial"/>
                <w:vertAlign w:val="subscript"/>
                <w:lang w:eastAsia="sr-Latn-RS"/>
              </w:rPr>
              <w:t>2</w:t>
            </w:r>
            <w:r w:rsidRPr="00B03342">
              <w:rPr>
                <w:rFonts w:ascii="Arial" w:hAnsi="Arial" w:cs="Arial"/>
                <w:lang w:eastAsia="sr-Latn-RS"/>
              </w:rPr>
              <w:t> у складу с тачком 8.1.11.1.4.(к) и обрачуната из једначине (6-24)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CO2exp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максимална очекивана концентрација CO</w:t>
            </w:r>
            <w:r w:rsidRPr="00B03342">
              <w:rPr>
                <w:rFonts w:ascii="Arial" w:hAnsi="Arial" w:cs="Arial"/>
                <w:vertAlign w:val="subscript"/>
                <w:lang w:eastAsia="sr-Latn-RS"/>
              </w:rPr>
              <w:t>2</w:t>
            </w:r>
            <w:r w:rsidRPr="00B03342">
              <w:rPr>
                <w:rFonts w:ascii="Arial" w:hAnsi="Arial" w:cs="Arial"/>
                <w:lang w:eastAsia="sr-Latn-RS"/>
              </w:rPr>
              <w:t> током испитивања емисије у складу с тачком 8.1.11.2.2.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CO2act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стварна концентрација CO</w:t>
            </w:r>
            <w:r w:rsidRPr="00B03342">
              <w:rPr>
                <w:rFonts w:ascii="Arial" w:hAnsi="Arial" w:cs="Arial"/>
                <w:vertAlign w:val="subscript"/>
                <w:lang w:eastAsia="sr-Latn-RS"/>
              </w:rPr>
              <w:t>2</w:t>
            </w:r>
            <w:r w:rsidRPr="00B03342">
              <w:rPr>
                <w:rFonts w:ascii="Arial" w:hAnsi="Arial" w:cs="Arial"/>
                <w:lang w:eastAsia="sr-Latn-RS"/>
              </w:rPr>
              <w:t> кад је распонски гас за одређивање распона НО помешан с распонским гасом CO</w:t>
            </w:r>
            <w:r w:rsidRPr="00B03342">
              <w:rPr>
                <w:rFonts w:ascii="Arial" w:hAnsi="Arial" w:cs="Arial"/>
                <w:vertAlign w:val="subscript"/>
                <w:lang w:eastAsia="sr-Latn-RS"/>
              </w:rPr>
              <w:t>2</w:t>
            </w:r>
            <w:r w:rsidRPr="00B03342">
              <w:rPr>
                <w:rFonts w:ascii="Arial" w:hAnsi="Arial" w:cs="Arial"/>
                <w:lang w:eastAsia="sr-Latn-RS"/>
              </w:rPr>
              <w:t> у складу с тачком 8.1.11.1.4.(и) овог прилога</w:t>
            </w:r>
          </w:p>
        </w:tc>
      </w:tr>
    </w:tbl>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7CF0874" wp14:editId="1C842974">
            <wp:extent cx="5057140" cy="485140"/>
            <wp:effectExtent l="0" t="0" r="0" b="0"/>
            <wp:docPr id="261" name="Picture 261" descr="A mathematical formula showing XNOct as one minus the ratio of XC02act to XC02span multiplied by XNOspan, labeled as equation 6-2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mathematical formula showing XNOct as one minus the ratio of XC02act to XC02span multiplied by XNOspan, labeled as equation 6-24.&#10;&#10;Description generated by 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57140" cy="4851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72"/>
        <w:gridCol w:w="972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NOspan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улазна концентрација распонског гаса НО у разделник гаса у складу с тачком 8.1.11.1.4.(е) овог прилога</w:t>
            </w:r>
          </w:p>
          <w:p w:rsidR="00DA0CD9" w:rsidRPr="00B03342" w:rsidRDefault="00DA0CD9" w:rsidP="00E26D3C">
            <w:pPr>
              <w:rPr>
                <w:rFonts w:ascii="Arial" w:hAnsi="Arial" w:cs="Arial"/>
                <w:lang w:eastAsia="sr-Latn-RS"/>
              </w:rPr>
            </w:pPr>
            <w:r w:rsidRPr="00B03342">
              <w:rPr>
                <w:rFonts w:ascii="Arial" w:hAnsi="Arial" w:cs="Arial"/>
                <w:lang w:eastAsia="sr-Latn-RS"/>
              </w:rPr>
              <w:t>улазна концентрација распонског гаса CO</w:t>
            </w:r>
            <w:r w:rsidRPr="00B03342">
              <w:rPr>
                <w:rFonts w:ascii="Arial" w:hAnsi="Arial" w:cs="Arial"/>
                <w:vertAlign w:val="subscript"/>
                <w:lang w:eastAsia="sr-Latn-RS"/>
              </w:rPr>
              <w:t>2</w:t>
            </w:r>
            <w:r w:rsidRPr="00B03342">
              <w:rPr>
                <w:rFonts w:ascii="Arial" w:hAnsi="Arial" w:cs="Arial"/>
                <w:lang w:eastAsia="sr-Latn-RS"/>
              </w:rPr>
              <w:t> у разделник гаса у складу с тачком 8.1.11.1.4.(д)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x </w:t>
            </w:r>
            <w:r w:rsidRPr="00B03342">
              <w:rPr>
                <w:rFonts w:ascii="Arial" w:hAnsi="Arial" w:cs="Arial"/>
                <w:vertAlign w:val="subscript"/>
                <w:lang w:eastAsia="sr-Latn-RS"/>
              </w:rPr>
              <w:t>CO2span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улазна концентрација распонског гаса CO</w:t>
            </w:r>
            <w:r w:rsidRPr="00B03342">
              <w:rPr>
                <w:rFonts w:ascii="Arial" w:hAnsi="Arial" w:cs="Arial"/>
                <w:vertAlign w:val="subscript"/>
                <w:lang w:eastAsia="sr-Latn-RS"/>
              </w:rPr>
              <w:t>2</w:t>
            </w:r>
            <w:r w:rsidRPr="00B03342">
              <w:rPr>
                <w:rFonts w:ascii="Arial" w:hAnsi="Arial" w:cs="Arial"/>
                <w:lang w:eastAsia="sr-Latn-RS"/>
              </w:rPr>
              <w:t> у разделник гаса у складу с тачком 8.1.11.1.4.(д) овог прилога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8.1.11.3. Верификација интерференције HC и H</w:t>
      </w:r>
      <w:r w:rsidRPr="00B03342">
        <w:rPr>
          <w:rFonts w:ascii="Arial" w:hAnsi="Arial" w:cs="Arial"/>
          <w:color w:val="000000"/>
          <w:vertAlign w:val="subscript"/>
          <w:lang w:eastAsia="sr-Latn-RS"/>
        </w:rPr>
        <w:t>2</w:t>
      </w:r>
      <w:r w:rsidRPr="00B03342">
        <w:rPr>
          <w:rFonts w:ascii="Arial" w:hAnsi="Arial" w:cs="Arial"/>
          <w:color w:val="000000"/>
          <w:lang w:eastAsia="sr-Latn-RS"/>
        </w:rPr>
        <w:t>O за NDUV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8.1.11.3.1.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NOx мери NDUV анализатором, износ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и HC мора се проверавати након почетне инсталације анализатора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8.1.11.3.2.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Угљо-водоници и H</w:t>
      </w:r>
      <w:r w:rsidRPr="00B03342">
        <w:rPr>
          <w:rFonts w:ascii="Arial" w:hAnsi="Arial" w:cs="Arial"/>
          <w:color w:val="000000"/>
          <w:vertAlign w:val="subscript"/>
          <w:lang w:eastAsia="sr-Latn-RS"/>
        </w:rPr>
        <w:t>2</w:t>
      </w:r>
      <w:r w:rsidRPr="00B03342">
        <w:rPr>
          <w:rFonts w:ascii="Arial" w:hAnsi="Arial" w:cs="Arial"/>
          <w:color w:val="000000"/>
          <w:lang w:eastAsia="sr-Latn-RS"/>
        </w:rPr>
        <w:t>O могу имати позитивну интерференцију с NDUV анализатором тако што проузрокују одзив сличан одзиву NOx. Ако NDUV анализатор има компензацијске алгоритме који употребљавају мерења других гасова како би прошао ову верификацију интерференције, та се друга мерења морају спроводити истовремено како би се током верификације интерференције анализатора тестирали компензацијски алгоритми.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8.1.11.3.3.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NDUV анализатор NOx мора имати комбиновану интерференцију H</w:t>
      </w:r>
      <w:r w:rsidRPr="00B03342">
        <w:rPr>
          <w:rFonts w:ascii="Arial" w:hAnsi="Arial" w:cs="Arial"/>
          <w:color w:val="000000"/>
          <w:vertAlign w:val="subscript"/>
          <w:lang w:eastAsia="sr-Latn-RS"/>
        </w:rPr>
        <w:t>2</w:t>
      </w:r>
      <w:r w:rsidRPr="00B03342">
        <w:rPr>
          <w:rFonts w:ascii="Arial" w:hAnsi="Arial" w:cs="Arial"/>
          <w:color w:val="000000"/>
          <w:lang w:eastAsia="sr-Latn-RS"/>
        </w:rPr>
        <w:t>O и HC унутар ± 2 % средње концентрације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8.1.11.3.4.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интерференције мора се спроводити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NDUV анализатор NOx укључује се, ради те нулто и распонски умерава према упутствима произвођача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(б) Препоручује се издвајање издувног гаса мотора како би се обавила верификација. За одређивање количине NOx у издувном гасу употребљава се CLD који одговара спецификацијама из тачке 9.4. овог прилога. Одзив CLD-а употребљава се као референтна вредност. У издувном се гасу мере и угљо-водоници и то FID анализатором који одговара спецификацијама из тачке 9.4. овог прилога. Одзив FID-а употребљава се као референтна вредност угљо-водоника;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издувни гас мотора уводи се у NDUV анализатор испред уређаја за сушење узорка ако се такав уређај употребљава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 се допустити време за стабилизацију одзива анализатора. Време стабилизације може укључивати време потребно за прочишћавање преносног вода и време којим се узима у обзир одзив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Док сви анализатори мере концентрацију узорка, бележи се 30 секунда узоркованих података и обрачунава се аритметичка средина за сва три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средња вредност CLD-а одузима се од средње вредности NDUV-а;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та се разлика множи с односом очекиване средње концентрације HC и концентрације HC измерене током верификације. Анализатор пролази верификацију интерференције из ове тачке ако је тај резултат унутар ± 2 % концентрације НОx очекиване на граничној вредности емисија, како је утврђено у једначини (6-25). Анализатор пролази верификацију интерференције из ове тачке ако је тај резултат унутар ± 2 % концентрације NOx очекиване при стандарду, како је утврђено у једначина (6-25):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536FC6B" wp14:editId="797E4DF7">
            <wp:extent cx="5057140" cy="1955800"/>
            <wp:effectExtent l="0" t="0" r="0" b="0"/>
            <wp:docPr id="260" name="Picture 260" descr="A mathematical inequality formula related to the measurement and comparison of NOx and HC concentrations with explanatory text in Serbian defining the variables and units us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mathematical inequality formula related to the measurement and comparison of NOx and HC concentrations with explanatory text in Serbian defining the variables and units used.&#10;&#10;Description generated by 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57140" cy="195580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8.1.11.4 Продирање NO</w:t>
      </w:r>
      <w:r w:rsidRPr="00B03342">
        <w:rPr>
          <w:rFonts w:ascii="Arial" w:hAnsi="Arial" w:cs="Arial"/>
          <w:color w:val="000000"/>
          <w:vertAlign w:val="subscript"/>
          <w:lang w:eastAsia="sr-Latn-RS"/>
        </w:rPr>
        <w:t>2</w:t>
      </w:r>
      <w:r w:rsidRPr="00B03342">
        <w:rPr>
          <w:rFonts w:ascii="Arial" w:hAnsi="Arial" w:cs="Arial"/>
          <w:color w:val="000000"/>
          <w:lang w:eastAsia="sr-Latn-RS"/>
        </w:rPr>
        <w:t> у уређај за сушење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8.1.11.4.1.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уређај за сушење узорка употребљава за сушење узорка испред мерног инструмента за NOx, али се испред уређаја не употребљава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ова се верификација мора учинити за продирање NO</w:t>
      </w:r>
      <w:r w:rsidRPr="00B03342">
        <w:rPr>
          <w:rFonts w:ascii="Arial" w:hAnsi="Arial" w:cs="Arial"/>
          <w:color w:val="000000"/>
          <w:vertAlign w:val="subscript"/>
          <w:lang w:eastAsia="sr-Latn-RS"/>
        </w:rPr>
        <w:t>2</w:t>
      </w:r>
      <w:r w:rsidRPr="00B03342">
        <w:rPr>
          <w:rFonts w:ascii="Arial" w:hAnsi="Arial" w:cs="Arial"/>
          <w:color w:val="000000"/>
          <w:lang w:eastAsia="sr-Latn-RS"/>
        </w:rPr>
        <w:t> у уређај за сушење узорка. Верификација се мора спровести након почетне инсталације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8.1.11.4.2.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Уређај за сушење узорка уклања воду, која иначе може утицати на мерење NOx. Но текућа вода која заостане у неодговарајуће конструисаном уређају за сушење узорка може уклонити NO</w:t>
      </w:r>
      <w:r w:rsidRPr="00B03342">
        <w:rPr>
          <w:rFonts w:ascii="Arial" w:hAnsi="Arial" w:cs="Arial"/>
          <w:color w:val="000000"/>
          <w:vertAlign w:val="subscript"/>
          <w:lang w:eastAsia="sr-Latn-RS"/>
        </w:rPr>
        <w:t>2</w:t>
      </w:r>
      <w:r w:rsidRPr="00B03342">
        <w:rPr>
          <w:rFonts w:ascii="Arial" w:hAnsi="Arial" w:cs="Arial"/>
          <w:color w:val="000000"/>
          <w:lang w:eastAsia="sr-Latn-RS"/>
        </w:rPr>
        <w:t> из узорка. Ако се уређај за сушење узорка употребљава без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испред, могла би, дакле, уклонити NO</w:t>
      </w:r>
      <w:r w:rsidRPr="00B03342">
        <w:rPr>
          <w:rFonts w:ascii="Arial" w:hAnsi="Arial" w:cs="Arial"/>
          <w:color w:val="000000"/>
          <w:vertAlign w:val="subscript"/>
          <w:lang w:eastAsia="sr-Latn-RS"/>
        </w:rPr>
        <w:t>2</w:t>
      </w:r>
      <w:r w:rsidRPr="00B03342">
        <w:rPr>
          <w:rFonts w:ascii="Arial" w:hAnsi="Arial" w:cs="Arial"/>
          <w:color w:val="000000"/>
          <w:lang w:eastAsia="sr-Latn-RS"/>
        </w:rPr>
        <w:t> из узорка пре мерења NOx.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8.1.11.4.3.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Уређај за сушење узорка мора омогућивати мерење барем 95 % укупног NO</w:t>
      </w:r>
      <w:r w:rsidRPr="00B03342">
        <w:rPr>
          <w:rFonts w:ascii="Arial" w:hAnsi="Arial" w:cs="Arial"/>
          <w:color w:val="000000"/>
          <w:vertAlign w:val="subscript"/>
          <w:lang w:eastAsia="sr-Latn-RS"/>
        </w:rPr>
        <w:t>2</w:t>
      </w:r>
      <w:r w:rsidRPr="00B03342">
        <w:rPr>
          <w:rFonts w:ascii="Arial" w:hAnsi="Arial" w:cs="Arial"/>
          <w:color w:val="000000"/>
          <w:lang w:eastAsia="sr-Latn-RS"/>
        </w:rPr>
        <w:t> при највећој очекиваној концентрацији NO</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8.1.11.4.4.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Следећи се поступак мора употребљавати за верификацију учинка уређаја за сушење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Намештање инструмената. Редоследе се произвођачеве упутства за покретање и употребу анализатора те уређаја за сушење узорка. Анализатор и уређај за сушење узорка прилагођавају се према потреби како би се оптимизовао учинак.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Намештање опреме и прикупљање података.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Анализаторе укупног NOx распонски се и нулто умерава као што би се учинило и пре испитивања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 Одабире се умерни гас NO</w:t>
      </w:r>
      <w:r w:rsidRPr="00B03342">
        <w:rPr>
          <w:rFonts w:ascii="Arial" w:hAnsi="Arial" w:cs="Arial"/>
          <w:color w:val="000000"/>
          <w:vertAlign w:val="subscript"/>
          <w:lang w:eastAsia="sr-Latn-RS"/>
        </w:rPr>
        <w:t>2</w:t>
      </w:r>
      <w:r w:rsidRPr="00B03342">
        <w:rPr>
          <w:rFonts w:ascii="Arial" w:hAnsi="Arial" w:cs="Arial"/>
          <w:color w:val="000000"/>
          <w:lang w:eastAsia="sr-Latn-RS"/>
        </w:rPr>
        <w:t> (равнотежни је гас суви ваздух) с концентрацијом NO</w:t>
      </w:r>
      <w:r w:rsidRPr="00B03342">
        <w:rPr>
          <w:rFonts w:ascii="Arial" w:hAnsi="Arial" w:cs="Arial"/>
          <w:color w:val="000000"/>
          <w:vertAlign w:val="subscript"/>
          <w:lang w:eastAsia="sr-Latn-RS"/>
        </w:rPr>
        <w:t>2</w:t>
      </w:r>
      <w:r w:rsidRPr="00B03342">
        <w:rPr>
          <w:rFonts w:ascii="Arial" w:hAnsi="Arial" w:cs="Arial"/>
          <w:color w:val="000000"/>
          <w:lang w:eastAsia="sr-Latn-RS"/>
        </w:rPr>
        <w:t> која је близу максималне концентрације очекиване током испитивања. Веће концентрације могу се употребљавати у складу с препоруком произвођача инструмента и добром инжењерском проценом како би се добила тачна верификација ако је очекивана концентрација NO</w:t>
      </w:r>
      <w:r w:rsidRPr="00B03342">
        <w:rPr>
          <w:rFonts w:ascii="Arial" w:hAnsi="Arial" w:cs="Arial"/>
          <w:color w:val="000000"/>
          <w:vertAlign w:val="subscript"/>
          <w:lang w:eastAsia="sr-Latn-RS"/>
        </w:rPr>
        <w:t>2</w:t>
      </w:r>
      <w:r w:rsidRPr="00B03342">
        <w:rPr>
          <w:rFonts w:ascii="Arial" w:hAnsi="Arial" w:cs="Arial"/>
          <w:color w:val="000000"/>
          <w:lang w:eastAsia="sr-Latn-RS"/>
        </w:rPr>
        <w:t> нижа од минималног распона за верификацију који је специфицирао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Тај умерни гас прелива се на сонди система за узорковање гаса или елементу за преливање. Оставља се време за стабилизацију одзива на укупни NOx, при чему се у обзир узимају само кашњења преноса и одзив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Рачуна се средња вредност 30 секунда бележених података о укупном NOx и та се вредност бележи као x NOxref.</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 Зауставља се проток умерног гаса NO</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VI. Затим се систем за узорковање засићује преливањем излазног продукта генератора рошења, намештеног на тачку рошења од 323 К (50 °C), на сонди система за узорковање гаса или елементу за преливање. Излазни продукт генератора </w:t>
      </w:r>
      <w:r w:rsidRPr="00B03342">
        <w:rPr>
          <w:rFonts w:ascii="Arial" w:hAnsi="Arial" w:cs="Arial"/>
          <w:color w:val="000000"/>
          <w:lang w:eastAsia="sr-Latn-RS"/>
        </w:rPr>
        <w:lastRenderedPageBreak/>
        <w:t>рошења узоркује се кроз систем за узорковање и уређај за сушење узорка барем 10 минута до тренутка у којем се очекује да уређај за сушење узорка уклања константну количину воде.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VII. Затим се одмах пребацује натраг на преливање умерног гаса NO</w:t>
      </w:r>
      <w:r w:rsidRPr="00B03342">
        <w:rPr>
          <w:rFonts w:ascii="Arial" w:hAnsi="Arial" w:cs="Arial"/>
          <w:color w:val="000000"/>
          <w:vertAlign w:val="subscript"/>
          <w:lang w:eastAsia="sr-Latn-RS"/>
        </w:rPr>
        <w:t>2</w:t>
      </w:r>
      <w:r w:rsidRPr="00B03342">
        <w:rPr>
          <w:rFonts w:ascii="Arial" w:hAnsi="Arial" w:cs="Arial"/>
          <w:color w:val="000000"/>
          <w:lang w:eastAsia="sr-Latn-RS"/>
        </w:rPr>
        <w:t> који се употребљава за успостављање x NOxref. Оставља се време за стабилизацију одзива на укупни NOx, узимајући у обзир само кашњења преноса и одзив инструмента. Рачуна се средња вредност 30 секунда бележених података о укупном NOx и та се вредност бележи као x NOxmeas.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VIII. Вредност x NOxmeas коригира се на x NOxdry на основу остатка водене паре који је прошао кроз уређај за сушење узорка при температури и притиску на излазу уређаја за сушење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Еволуација учинка: ако x NOxdry износи мање од 95 % x x NOxref, уређај за сушење узорка мора се поправити или заменити.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8.1.11.5. Верификација конверзије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8.1.11.5.1.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употребљава анализатор који мери само NO за одређивање NO</w:t>
      </w:r>
      <w:r w:rsidRPr="00B03342">
        <w:rPr>
          <w:rFonts w:ascii="Arial" w:hAnsi="Arial" w:cs="Arial"/>
          <w:color w:val="000000"/>
          <w:vertAlign w:val="subscript"/>
          <w:lang w:eastAsia="sr-Latn-RS"/>
        </w:rPr>
        <w:t>x</w:t>
      </w:r>
      <w:r w:rsidRPr="00B03342">
        <w:rPr>
          <w:rFonts w:ascii="Arial" w:hAnsi="Arial" w:cs="Arial"/>
          <w:color w:val="000000"/>
          <w:lang w:eastAsia="sr-Latn-RS"/>
        </w:rPr>
        <w:t>,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мора се употребљавати испред анализатора. Верификација се ради након инсталације претварача, након већег одржавања и унутар 35 дана пре испитивања емисије. Верификација се понавља том фреквенцијом како би се верификовало да се каталитичка активност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није погоршала.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8.1.11.5.2. Начела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омогућује анализатору који мери само НО одређивање укупне вредности NOx претварањем NO</w:t>
      </w:r>
      <w:r w:rsidRPr="00B03342">
        <w:rPr>
          <w:rFonts w:ascii="Arial" w:hAnsi="Arial" w:cs="Arial"/>
          <w:color w:val="000000"/>
          <w:vertAlign w:val="subscript"/>
          <w:lang w:eastAsia="sr-Latn-RS"/>
        </w:rPr>
        <w:t>2</w:t>
      </w:r>
      <w:r w:rsidRPr="00B03342">
        <w:rPr>
          <w:rFonts w:ascii="Arial" w:hAnsi="Arial" w:cs="Arial"/>
          <w:color w:val="000000"/>
          <w:lang w:eastAsia="sr-Latn-RS"/>
        </w:rPr>
        <w:t> из издувног гаса у 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8.1.11.5.3. Захтеви за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мора омогућивати мерење барем 95 % укупног NO</w:t>
      </w:r>
      <w:r w:rsidRPr="00B03342">
        <w:rPr>
          <w:rFonts w:ascii="Arial" w:hAnsi="Arial" w:cs="Arial"/>
          <w:color w:val="000000"/>
          <w:vertAlign w:val="subscript"/>
          <w:lang w:eastAsia="sr-Latn-RS"/>
        </w:rPr>
        <w:t>2</w:t>
      </w:r>
      <w:r w:rsidRPr="00B03342">
        <w:rPr>
          <w:rFonts w:ascii="Arial" w:hAnsi="Arial" w:cs="Arial"/>
          <w:color w:val="000000"/>
          <w:lang w:eastAsia="sr-Latn-RS"/>
        </w:rPr>
        <w:t> при максималној очекиваној концентрацији NO</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8.1.11.5.4. Поступак</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Следећи се поступак мора употребљавати за верификацију радног учинка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за намештање инструмента следе се произвођачева упутства за покретање и употребу анализатора и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Анализатор и претварач према потреби се прилагођавају како би се учинак оптимизовао;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улаз озонатора спаја се с извором нултог ваздуха или кисеоника, а његов се излаз спаја на један прикључак тропутног Т-комада. Распонски гас NO спаја се на други прикључак, а улаз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на поредоследњи прикључак;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при обављању ове провере морају се учинити следећи кораци: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 ваздух из озонатора се прекине, озонатор искључи, а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намести на обилазни начин рада (тј. начин NO). Омогућује се стабилизација, при чему се у обзир узимају само кашњења преноса и одзив инструмента;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 Протоци NO и нултог гаса прилагођавају се тако да концентрација NO код анализатора буде близу вршне концентрације укупног NOx која се очекује током испитивања. Удео NO</w:t>
      </w:r>
      <w:r w:rsidRPr="00B03342">
        <w:rPr>
          <w:rFonts w:ascii="Arial" w:hAnsi="Arial" w:cs="Arial"/>
          <w:color w:val="000000"/>
          <w:vertAlign w:val="subscript"/>
          <w:lang w:eastAsia="sr-Latn-RS"/>
        </w:rPr>
        <w:t>2</w:t>
      </w:r>
      <w:r w:rsidRPr="00B03342">
        <w:rPr>
          <w:rFonts w:ascii="Arial" w:hAnsi="Arial" w:cs="Arial"/>
          <w:color w:val="000000"/>
          <w:lang w:eastAsia="sr-Latn-RS"/>
        </w:rPr>
        <w:t> у смеси гасова мора бити мањи од 5 % концентрације NO. Концентрација NO бележи се обрачунавањем средње вредности 30 секунда узоркованих података из анализатора и та се вредност бележи као x NOref. Веће концентрације могу се употребљавати у складу с препоруком произвођача инструмента и добром инжењерском проценом како би се добила тачна верификација ако је очекивана концентрација NO нижа од минималног распона за верификацију који је специфицирао произвођач инструмента;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III. укључује се довод О</w:t>
      </w:r>
      <w:r w:rsidRPr="00B03342">
        <w:rPr>
          <w:rFonts w:ascii="Arial" w:hAnsi="Arial" w:cs="Arial"/>
          <w:color w:val="000000"/>
          <w:vertAlign w:val="subscript"/>
          <w:lang w:eastAsia="sr-Latn-RS"/>
        </w:rPr>
        <w:t>2</w:t>
      </w:r>
      <w:r w:rsidRPr="00B03342">
        <w:rPr>
          <w:rFonts w:ascii="Arial" w:hAnsi="Arial" w:cs="Arial"/>
          <w:color w:val="000000"/>
          <w:lang w:eastAsia="sr-Latn-RS"/>
        </w:rPr>
        <w:t> из озонатора, а брзина протока О</w:t>
      </w:r>
      <w:r w:rsidRPr="00B03342">
        <w:rPr>
          <w:rFonts w:ascii="Arial" w:hAnsi="Arial" w:cs="Arial"/>
          <w:color w:val="000000"/>
          <w:vertAlign w:val="subscript"/>
          <w:lang w:eastAsia="sr-Latn-RS"/>
        </w:rPr>
        <w:t>2</w:t>
      </w:r>
      <w:r w:rsidRPr="00B03342">
        <w:rPr>
          <w:rFonts w:ascii="Arial" w:hAnsi="Arial" w:cs="Arial"/>
          <w:color w:val="000000"/>
          <w:lang w:eastAsia="sr-Latn-RS"/>
        </w:rPr>
        <w:t> прилагођава тако да је NO који показује анализатор за око 10% мањи од x NOref. Концентрација NO бележи се обрачунавањем средње вредности 30 секунда узоркованих података из анализатора и та се вредност бележи као x NO+ О</w:t>
      </w:r>
      <w:r w:rsidRPr="00B03342">
        <w:rPr>
          <w:rFonts w:ascii="Arial" w:hAnsi="Arial" w:cs="Arial"/>
          <w:color w:val="000000"/>
          <w:vertAlign w:val="subscript"/>
          <w:lang w:eastAsia="sr-Latn-RS"/>
        </w:rPr>
        <w:t>2</w:t>
      </w:r>
      <w:r w:rsidRPr="00B03342">
        <w:rPr>
          <w:rFonts w:ascii="Arial" w:hAnsi="Arial" w:cs="Arial"/>
          <w:color w:val="000000"/>
          <w:lang w:eastAsia="sr-Latn-RS"/>
        </w:rPr>
        <w:t>mиx;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озонатор се укључује, а брзина производње озона прилагођава се тако да је NO који мери анализатор приближно 20 % од x NOref, уз одржавање најмање 10 % нереагованог НО. Концентрација NO бележи се обрачунавњем средње вредности 30 секунда узоркованих података из анализатора и та се вредност бележи као x NOmeas;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NOx анализатор пребацује се у начин рада NOx те се мери укупни NOx. Концентрација NOx бележи се обрачунавањем средње вредности 30 секунда узоркованих података из анализатора и та се вредност бележи као x NOxmeas;</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 озонатор се искључује, али проток гаса кроз систем се одржава. Анализатор NOx показује NOx у смеси NO + О</w:t>
      </w:r>
      <w:r w:rsidRPr="00B03342">
        <w:rPr>
          <w:rFonts w:ascii="Arial" w:hAnsi="Arial" w:cs="Arial"/>
          <w:color w:val="000000"/>
          <w:vertAlign w:val="subscript"/>
          <w:lang w:eastAsia="sr-Latn-RS"/>
        </w:rPr>
        <w:t>2</w:t>
      </w:r>
      <w:r w:rsidRPr="00B03342">
        <w:rPr>
          <w:rFonts w:ascii="Arial" w:hAnsi="Arial" w:cs="Arial"/>
          <w:color w:val="000000"/>
          <w:lang w:eastAsia="sr-Latn-RS"/>
        </w:rPr>
        <w:t>. Концентрација NOx бележи се обрачунавањем средње вредности 30 секунда узоркованих података из анализатора и та се вредност бележи као x NOx+ О</w:t>
      </w:r>
      <w:r w:rsidRPr="00B03342">
        <w:rPr>
          <w:rFonts w:ascii="Arial" w:hAnsi="Arial" w:cs="Arial"/>
          <w:color w:val="000000"/>
          <w:vertAlign w:val="subscript"/>
          <w:lang w:eastAsia="sr-Latn-RS"/>
        </w:rPr>
        <w:t>2</w:t>
      </w:r>
      <w:r w:rsidRPr="00B03342">
        <w:rPr>
          <w:rFonts w:ascii="Arial" w:hAnsi="Arial" w:cs="Arial"/>
          <w:color w:val="000000"/>
          <w:lang w:eastAsia="sr-Latn-RS"/>
        </w:rPr>
        <w:t>mix;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VII. довод О</w:t>
      </w:r>
      <w:r w:rsidRPr="00B03342">
        <w:rPr>
          <w:rFonts w:ascii="Arial" w:hAnsi="Arial" w:cs="Arial"/>
          <w:color w:val="000000"/>
          <w:vertAlign w:val="subscript"/>
          <w:lang w:eastAsia="sr-Latn-RS"/>
        </w:rPr>
        <w:t>2</w:t>
      </w:r>
      <w:r w:rsidRPr="00B03342">
        <w:rPr>
          <w:rFonts w:ascii="Arial" w:hAnsi="Arial" w:cs="Arial"/>
          <w:color w:val="000000"/>
          <w:lang w:eastAsia="sr-Latn-RS"/>
        </w:rPr>
        <w:t> се прекида. Анализатор NOx показује NOx у почетној смеси НО у N</w:t>
      </w:r>
      <w:r w:rsidRPr="00B03342">
        <w:rPr>
          <w:rFonts w:ascii="Arial" w:hAnsi="Arial" w:cs="Arial"/>
          <w:color w:val="000000"/>
          <w:vertAlign w:val="subscript"/>
          <w:lang w:eastAsia="sr-Latn-RS"/>
        </w:rPr>
        <w:t>2</w:t>
      </w:r>
      <w:r w:rsidRPr="00B03342">
        <w:rPr>
          <w:rFonts w:ascii="Arial" w:hAnsi="Arial" w:cs="Arial"/>
          <w:color w:val="000000"/>
          <w:lang w:eastAsia="sr-Latn-RS"/>
        </w:rPr>
        <w:t>. Концентрација NOx бележи се обрачунавањем средње вредности 30 секунда узоркованих података из анализатора и та се вредност бележи као x NOxref. Та вредност не сме бити више од 5 % изнад вредности x NOref;</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еволуација учинка: ефикасност претварача NOx рачуна се заменом добијених концентрација у једначина (6–26):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D81E64D" wp14:editId="7B6D15A0">
            <wp:extent cx="5057140" cy="588645"/>
            <wp:effectExtent l="0" t="0" r="0" b="0"/>
            <wp:docPr id="259" name="Picture 259" descr="An equation defining efficiency as a percentage involving variables for nitrogen oxides concentrations in exhaust and mixed gases, multiplied by 1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n equation defining efficiency as a percentage involving variables for nitrogen oxides concentrations in exhaust and mixed gases, multiplied by 100.&#10;&#10;Description generated by A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57140" cy="5886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8.1.12 Верификација уређаја за сушење узорака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се на излазу уређаја за сушење узорака употребљава сензор влажности за континуирани надзор тачке влажења, онда ова провера није примењива све док је осигурано да је влажност на излазу уређаја за сушење узорака нижа од минималних вредности које се употребљавају при проверама гушења, интерференције и компензације.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уређај за сушење узорака употребљава како је допуштено тачком 9.3.2.3.1. овог прилога за уклањање воде из гаса за узорковање, радни учинак топлотних хладњака верификује се при уградњи и после већег одржавања. Радни учинак уређаја за сушење узорака с осмотском мембраном верификује се при уградњи, после већег одржавања те унутар 35 дана од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Вода може инхибирати могућност анализатора да правилно измери жељену компоненту издувног гаса па се понекад уклања пре него што гас за узорковање дође до анализатора. На пример, вода може негативно утицати на одзив CLD-а на НОx због гушења и позитивно утицати на NDIR анализатор изазивањем одзива сличног одзиву на CО.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Уређај за сушење узорака мора испуњавати спецификације из тачке 9.3.2.3.1. овог прилога за тачку влажења Тdеw и апсолутни притисак Ptotal иза уређаја за сушење узорака с осмотском мембраном или топлотног хладњака.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утврђивање радног учинка уређаја за сушење узорака мора се употребљавати следећи верификацијски поступак или се на основу добре инжењерске процене мора развити друкчији протокол:</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за повезивање се употребљавају цеви од политетрафлуоретилена (PTFE) или од нерђајућег челика;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N2 или прочишћени ваздух овлажују се продувавањем мехурића кроз дестилисану воду у затвореној посуди која овлажује гас до највише тачке влажења узорка која се процени за време узорковања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овлажени гас уводи се испред уређаја за сушење узорака;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температура овлаженог гаса иза посуде одржава се најмање 5 К (5 °С) изнад његове тачке влажења;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 тачка влажења овлаженог гаса Тdеw и притисак Ptotal мере се што је ближе могуће улазу уређаја за сушење узорака како би се верификовало је ли тачка влажења највиша која је процењена током узорковања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 тачка влажења овлаженог гаса Тdеw и притисак Ptotal мере се што је ближе могуће излазу уређаја за сушење узорака;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VII. уређај за сушење узорака пролази верификацију ако је резултат из тачке (д) VI. овог одељка нижи од тачке влажења према спецификацијама уређаја за сушење узорака одређенима у тачки 9.3.2.3.1 овог прилога плус 2 К (2 °С) или ако је моларни удео из тачке (д) ви. нижи од онога из одговарајућих спецификација уређаја за сушење узорака плус 0,002 mol/mol или обимског удела од 0,2 %. Напомињемо да се за ту верификацију тачка влажења узорка изражава апсолутном температуром, у келвинима.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 Мерења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8.1.13.1 Верификација PM ваге и поступка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8.1.13.1.1 Опсег и учесталост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одељку описују три верификације.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Независна верификација учинка PM ваге унутар 370 дана пре мерења било ког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Нулто и распонско умеравање ваге унутар 12 сати пре мерења било ког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Верификација да је утврђивање масе референтних филтера Пре и после мерења филтера у границама допуштеног одступања.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8.1.13.1.2 Независна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ваге (или представник којег је одобрио произвођач ваге) верификује ефикасност ваге унутар 370 дана пре испитивања у складу с поступцима унутрашње контроле.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8.1.13.1.3 Нулто и распонско умеравање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Радни учинак ваге верификује се нултим и распонским умеравањем ваге најмање једним мерним тегом, при чему за спровођење те верификације сви тегови који се употребљавају морају одговарати спецификацијама из тачке 9.5.2 овог прилога. Примењује се ручни или аутоматизовани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 ручном се поступку мора употребљавати вага нулто и распонски умерена најмање једним мерним тегом. Ако се средње вредности обично добивају понављањем поступка мерења како би се повећала тачност и прецизност мерења PM-а, исти се поступак мора применити за верификацију учинка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аутоматски се поступак врши с интерним мерним теговима којима се аутоматски верификује учинак ваге. За спровођење те верификације ти интерни мерни тегови морају одговарати спецификацијама из тачке 9.5.2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8.1.13.1.4 Мерење референтног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Сва очитања масе током мерења морају се верификовати мерењем референтних медија за узорковање PM-а (нпр. филтера) пре и после мерења. Поступак мерења може бити кратак према жељи, али не дужи од 80 сати, те може обухватати очитања масе пре и после испитивања. Узастопна утврђивања масе сваког референтног медија за узорковање PM-а морају дати једнаку вредност унутар ± 10 μг или ± 10 % очекиване укупне масе честица материје, зависно што је веће. Ако узастопна мерења филтера за узорке PM-а не испуне тај критеријум, сва појединачна очитања масе испитног филтера између узастопних утврђивања масе референтног филтера проглашавају се неважећима. Ти филтери могу се поновно измерити у другом поступку </w:t>
      </w:r>
      <w:r w:rsidRPr="00B03342">
        <w:rPr>
          <w:rFonts w:ascii="Arial" w:hAnsi="Arial" w:cs="Arial"/>
          <w:color w:val="000000"/>
          <w:lang w:eastAsia="sr-Latn-RS"/>
        </w:rPr>
        <w:lastRenderedPageBreak/>
        <w:t>мерења. Ако се филтер после испитивања прогласи неважећим, испитни је интервал исто тако неважећи. Та се верификација мора вршити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најмање два узорка неискоришћеног медија за узорковање PM-а чувају се у окружењу за стабилизацију PM-а. Они служе као референце. Неискоришћени филтери од истог материјала и једнаке величине одабиру се и употребљавају као референце;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референце се стабилизују у окружењу за стабилизацију PM-а. Сматра се да су референце стабилизиране ако су минимално 30 минута биле у окружењу за стабилизацију PM-а, а окружење за стабилизацију PM-а пре тога је најмање 60 минута било у складу са спецификацијама из тачке 9.3.4.4.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вага се неколико пута оптерећује референтним узорком без бележења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вага се мора нулто и распонски уравнотежити. На вагу се постави испитна маса (нпр. мерни тег), која се затим уклони пазећи да се вага врати на прихватљиво нулто очитање унутар стандардлног времена стабилизације;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сваки се референтни медиј (нпр. филтери) мери и бележи му се маса. Ако се средње вредности обично постижу понављањем мерења како би се повећала тачност и прецизност маса референтних медија (нпр. филтера), исти се поступак употребљава за мерење средњих вредности маса медија за узорковање (нпр.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бележе се тачка влажења окружења ваге, температура околине и атмосферски притисак;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забележени услови околине употребљавају се за корекцију резултата за узгон како је описано у тачки 8.1.13.2. Бележи се маса сваке референце коригована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свака референтна маса референтног медија (нпр. филтера) коригована за узгон одузима се од претходно измерене и забележене масе кориговане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ако се нека од посматраних маса референтних филтера промени више него што је допуштено у овом одељку, сва се утврђивања масе честица материје учињена од последње успешне валидације масе референтног медија (нпр. филтера) поништавају. Референтни филтери PM-а могу се одбацити ако се маса само једног филтера променила више него што је допуштено и ако се може са сигурношћу утврдити посебни узрок промене масе тог филтера који није утицао на остале филтере који су још у поступку. Валидација се тада може сматрати успешном. У том случају контаминирани референтни медиј не сме се укључити у одређивање усклађености с тачком (ј) ове тачке, него се тај референтни филтер одбацује и замењује;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ако се било која референтна маса промени за износ већи од допуштеног према тачки 8.1.13.1.4. овог прилога, поништавају се сви резултати PM-а који су утврђени између два наврата у којима су се утврђивале референтне масе. Ако се референтни медиј за узорковање PM-а одбаци у складу с тачком (з), мора бити доступна најмање једна разлика референтних маса која одговара критеријумима из тачке 8.1.13.1.4. овог прилога. У супротном се поништавају сви резултати PM-а који су утврђени између два наврата кад су мерене масе референтних медија (нпр.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 Корекција филтера за узорковање PM-а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Филтер за узорковање PM-а коригује се за узгон у ваздуху. Корекција за узгон зависи о густини медија за узорковање, густини ваздуха и густини мерног тега употребљеног за Умеравање ваге. У корекцији за узгон не узима се у обзир узгон самог PM-а јер је маса PM-а обично само (0,01 до 0,10) % укупне масе. Корекција тог масе износила би највише 0,010 %. Вредности кориговане за узгон су тара масе узорака PM-а. Затим се те за узгон кориговане вредности из предиспитног мерења филтера одузимају од за узгон коригованих вредности из мерења одговарајућег филтера после испитивања како би се утврдила маса PM-а емитираног за време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8.1.13.2.2 Густина филтера за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Различити су филтери за узорковање PM-а различите густине. Употребљава се позната густина медија за узорковање или једна од густина неког уобичајеног медија за узорковање,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боросиликатно стакло премазано PTFE-ом употребљава се густина медија за узорковање од 2.300 kg/m3;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PTFE мембрану (филм) с интегралним потпорним прстеном од полиметилпентана који чини 95 % масе медија употребљава се густина медија за узорковање од 920 kg/m3;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PTFE мембрану (филм) с интегралним потпорним прстеном од полиметилпентана употребљава се густина медија за узорковање од 2 144 kg/m3.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8.1.13.2.3 Густина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Будући да се околина ваге PM-а мора строго одржавати на температури 295 ± 1 К (22 ± 1 °С) и тачки влажења 282,5 ± 1 К (9,5 ± 1 °С), густина ваздуха превасходно је у функцији атмосферског притисака. Стога се задаје корекција за узгон која је само функција атмосферског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8.1.13.2.4 Густина мерног тега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 се наведена густина материјала металног мерног тега.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8.1.13.2.5 Прорачун корекције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Филтер за узорковање PM-а коригује се за узгон помоћу једначине (6-27):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22E38C7E" wp14:editId="0E9190DF">
            <wp:extent cx="5057140" cy="779145"/>
            <wp:effectExtent l="0" t="0" r="0" b="1905"/>
            <wp:docPr id="258" name="Picture 258" descr="The equation shows m_cor as m_uncor multiplied by a fraction involving pair counts and weights in a correction formula labeled as equation 6-27.&#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equation shows m_cor as m_uncor multiplied by a fraction involving pair counts and weights in a correction formula labeled as equation 6-27.&#10;&#10;Description generated by A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7140" cy="7791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mcor маса филтера за узорковање PM-а коригована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m uncor маса филтера за узорковање PM-а некоригована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ρ air густина ваздуха у околини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ρ weight густина мерног тега који се употребљава за распонско умеравање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ρ media густина филтера за узорковање PM-а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16F7F5A" wp14:editId="2D7545FC">
            <wp:extent cx="5057140" cy="437515"/>
            <wp:effectExtent l="0" t="0" r="0" b="635"/>
            <wp:docPr id="257" name="Picture 257" descr="A mathematical formula showing the ratio of pair as the product of Pabs and Mmix divided by the product of R and Tsamb, labeled as equation 6-2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mathematical formula showing the ratio of pair as the product of Pabs and Mmix divided by the product of R and Tsamb, labeled as equation 6-28.&#10;&#10;Description generated by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7140" cy="437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 abs апсолутни притисак у околини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M mix моларна маса ваздуха у околини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R гасна константа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T amb апсолутна температура у околини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 Валидација инструмената за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 Валидација контроле пропорционалног протока за групно узорковање и минималног односа разређења за групно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8.2.1.1. Критериј пропорционалности за CVS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8.2.1.1.1. Пропорционални протоци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било који пар мерача протока у статистичким се обрачунима у Додатку 3. Прилога 10 ове уредбе употребљавају забележени узорак и укупне брзине протока или њихове средње вредности при 1 Hz. Утврђује се стандардна грешка процене (СЕЕ) брзине протока узорка у односу на укупну брзину протока. За сваки се испитни интервал мора доказати да је СЕЕ није био већи од 3,5 % средње брзине протока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8.2.1.1.2. Константни протоци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доказало да је свака брзина протока била константна унутар ± 2,5 % одговарајуће средње или циљане брзине протока, за сваки се пар мерача протока употребљавају забележени узорак и укупне брзине протока или њихове средње вредности при 1 Hz. Уместо бележења одговарајуће брзине протока сваког типа мерача могу се употребљавати следеће опције: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CFV. За CFV употребљавају се забележени услови на улазу Вентуријеве цеви или њихове средње вредности при 1 Hz. Доказује се да је густоћа протока на улазу Вентуријеве цеви била константна унутар ± 2,5 % средње или циљане густоће сваког испитног интервала. За CVS с CFV-ом то се може доказати тако да се покаже да је апсолутна температура на улазу Вентуријеве цеви била константна унутар ± 4 % просечне или циљане апсолутне температуре у сваком испитном интервалу;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волуметричка пумпа. Употребљавају се забележени услови на улазу пумпе или њихове средње вредности при 1 Hz. Доказује се да је густоћа протока на улазу пумпе била константна унутар ± 2,5 % средње или циљане густоће у сваком испитном интервалу. За пумпу CVS-а то се може доказати тако да се покаже да је апсолутна температура на улазу пумпе била константна унутар ± 2 % просечне или циљане апсолутне температуре у сваком испитном интервалу.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8.2.1.1.3. Доказивање пропорционалног узорковања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сваки се пропорционални групни узорак као што је врећа или филтер PM-а на један од начина у наставку мора се доказати да се одржавало пропорционално узорковање, уз напомену да се до 5 % укупног броја податковних тачака може изоставити као нетипично.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Применом добре инжењерске процене и инжењерске анализе мора се доказати да систем контроле пропорционалног протока инхерентно осигурава пропорционално узорковање у свим околностима очекиванима за време испитивања. Нпр, CFV-ови могу се употребљавати и за проток узорка и укупни проток ако се докаже да увек имају исте улазне притиске и температуре те да увек раде у условима критичног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Измерени или обрачунати протоци и/или концентрације гаса за праћење (нпр. CO</w:t>
      </w:r>
      <w:r w:rsidRPr="00B03342">
        <w:rPr>
          <w:rFonts w:ascii="Arial" w:hAnsi="Arial" w:cs="Arial"/>
          <w:color w:val="000000"/>
          <w:vertAlign w:val="subscript"/>
          <w:lang w:eastAsia="sr-Latn-RS"/>
        </w:rPr>
        <w:t>2</w:t>
      </w:r>
      <w:r w:rsidRPr="00B03342">
        <w:rPr>
          <w:rFonts w:ascii="Arial" w:hAnsi="Arial" w:cs="Arial"/>
          <w:color w:val="000000"/>
          <w:lang w:eastAsia="sr-Latn-RS"/>
        </w:rPr>
        <w:t>) употребљавају се за одређивање минималног односа разређења за групно узорковање PM-а током испитног интервала.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8.2.1.2. Валидација система за разређивање делимичног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За управљање системом разређивања делимичног протока за издвајање пропорционалног узорка неразређеног издувног гаса нужан је брз одговор система; то се утврђује на основу брзине система за разређивање делимичног протока. Време трансформације система утврђује се у складу с поступком утврђеним тачком 8.1.8.6.3.2. Стварно управљање системом за </w:t>
      </w:r>
      <w:r w:rsidRPr="00B03342">
        <w:rPr>
          <w:rFonts w:ascii="Arial" w:hAnsi="Arial" w:cs="Arial"/>
          <w:color w:val="000000"/>
          <w:lang w:eastAsia="sr-Latn-RS"/>
        </w:rPr>
        <w:lastRenderedPageBreak/>
        <w:t>разређивање делимичног протока мора се базирати на тренутним измереним условима. Ако је комбиновано време трансформације мерења протока издувног гаса и система делимичног протока ≤ 0,3 секунде, мора се употребљавати умрежено управљање. Ако време трансформације премашује 0,3 секунде, мора се употребљавати унапред одређено управљање базирају на на претходно забележеном току испитивања. У том случају комбиновано време пораста мора бити ≤ 1 секунде, а комбиновано укупно кашњење ≤ 10 секунди. Укупни одзив система мора се извести тако да се њиме осигура репрезентативни узорак честица qm p,i (проток узорка издувног гаса у систем за разређивање делимичног протока), пропорционалан масеном протоку издувног гаса. За одређивање пропорционалности мора се спровести регресијска анализа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p,i</w:t>
      </w:r>
      <w:r w:rsidRPr="00B03342">
        <w:rPr>
          <w:rFonts w:ascii="Arial" w:hAnsi="Arial" w:cs="Arial"/>
          <w:color w:val="000000"/>
          <w:lang w:eastAsia="sr-Latn-RS"/>
        </w:rPr>
        <w:t> у односу на q</w:t>
      </w:r>
      <w:r w:rsidRPr="00B03342">
        <w:rPr>
          <w:rFonts w:ascii="Arial" w:hAnsi="Arial" w:cs="Arial"/>
          <w:color w:val="000000"/>
          <w:vertAlign w:val="subscript"/>
          <w:lang w:eastAsia="sr-Latn-RS"/>
        </w:rPr>
        <w:t>м</w:t>
      </w:r>
      <w:r w:rsidRPr="00B03342">
        <w:rPr>
          <w:rFonts w:ascii="Arial" w:hAnsi="Arial" w:cs="Arial"/>
          <w:color w:val="000000"/>
          <w:lang w:eastAsia="sr-Latn-RS"/>
        </w:rPr>
        <w:t> </w:t>
      </w:r>
      <w:r w:rsidRPr="00B03342">
        <w:rPr>
          <w:rFonts w:ascii="Arial" w:hAnsi="Arial" w:cs="Arial"/>
          <w:color w:val="000000"/>
          <w:vertAlign w:val="subscript"/>
          <w:lang w:eastAsia="sr-Latn-RS"/>
        </w:rPr>
        <w:t>еw,и</w:t>
      </w:r>
      <w:r w:rsidRPr="00B03342">
        <w:rPr>
          <w:rFonts w:ascii="Arial" w:hAnsi="Arial" w:cs="Arial"/>
          <w:color w:val="000000"/>
          <w:lang w:eastAsia="sr-Latn-RS"/>
        </w:rPr>
        <w:t> (брзина масеног протока издувног гаса на влажној бази) при фреквенцији добијања података од најмање 5 Hz, а морају се поштовати следећи критеријуми: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корелацијски коефицијент r</w:t>
      </w:r>
      <w:r w:rsidRPr="00B03342">
        <w:rPr>
          <w:rFonts w:ascii="Arial" w:hAnsi="Arial" w:cs="Arial"/>
          <w:color w:val="000000"/>
          <w:vertAlign w:val="superscript"/>
          <w:lang w:eastAsia="sr-Latn-RS"/>
        </w:rPr>
        <w:t>2</w:t>
      </w:r>
      <w:r w:rsidRPr="00B03342">
        <w:rPr>
          <w:rFonts w:ascii="Arial" w:hAnsi="Arial" w:cs="Arial"/>
          <w:color w:val="000000"/>
          <w:lang w:eastAsia="sr-Latn-RS"/>
        </w:rPr>
        <w:t> линеарне регресије између q</w:t>
      </w:r>
      <w:r w:rsidRPr="00B03342">
        <w:rPr>
          <w:rFonts w:ascii="Arial" w:hAnsi="Arial" w:cs="Arial"/>
          <w:color w:val="000000"/>
          <w:vertAlign w:val="subscript"/>
          <w:lang w:eastAsia="sr-Latn-RS"/>
        </w:rPr>
        <w:t>m p,i </w:t>
      </w:r>
      <w:r w:rsidRPr="00B03342">
        <w:rPr>
          <w:rFonts w:ascii="Arial" w:hAnsi="Arial" w:cs="Arial"/>
          <w:color w:val="000000"/>
          <w:lang w:eastAsia="sr-Latn-RS"/>
        </w:rPr>
        <w:t>и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ew,i</w:t>
      </w:r>
      <w:r w:rsidRPr="00B03342">
        <w:rPr>
          <w:rFonts w:ascii="Arial" w:hAnsi="Arial" w:cs="Arial"/>
          <w:color w:val="000000"/>
          <w:lang w:eastAsia="sr-Latn-RS"/>
        </w:rPr>
        <w:t> не сме бити мањи од 0,95;</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стандардна грешка процене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p,i</w:t>
      </w:r>
      <w:r w:rsidRPr="00B03342">
        <w:rPr>
          <w:rFonts w:ascii="Arial" w:hAnsi="Arial" w:cs="Arial"/>
          <w:color w:val="000000"/>
          <w:lang w:eastAsia="sr-Latn-RS"/>
        </w:rPr>
        <w:t> на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еw,i</w:t>
      </w:r>
      <w:r w:rsidRPr="00B03342">
        <w:rPr>
          <w:rFonts w:ascii="Arial" w:hAnsi="Arial" w:cs="Arial"/>
          <w:color w:val="000000"/>
          <w:lang w:eastAsia="sr-Latn-RS"/>
        </w:rPr>
        <w:t> не сме прелазити 5 % максимума qm </w:t>
      </w:r>
      <w:r w:rsidRPr="00B03342">
        <w:rPr>
          <w:rFonts w:ascii="Arial" w:hAnsi="Arial" w:cs="Arial"/>
          <w:color w:val="000000"/>
          <w:vertAlign w:val="subscript"/>
          <w:lang w:eastAsia="sr-Latn-RS"/>
        </w:rPr>
        <w:t>p</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одсечак регресијског правца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 не сме бити већи од ± 2 % максимума qm p.</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Унапред одређено управљање нужно је ако су времена трансформације честичног система t </w:t>
      </w:r>
      <w:r w:rsidRPr="00B03342">
        <w:rPr>
          <w:rFonts w:ascii="Arial" w:hAnsi="Arial" w:cs="Arial"/>
          <w:color w:val="000000"/>
          <w:vertAlign w:val="subscript"/>
          <w:lang w:eastAsia="sr-Latn-RS"/>
        </w:rPr>
        <w:t>50,P</w:t>
      </w:r>
      <w:r w:rsidRPr="00B03342">
        <w:rPr>
          <w:rFonts w:ascii="Arial" w:hAnsi="Arial" w:cs="Arial"/>
          <w:color w:val="000000"/>
          <w:lang w:eastAsia="sr-Latn-RS"/>
        </w:rPr>
        <w:t> и сигнала масеног протока издувног гаса t </w:t>
      </w:r>
      <w:r w:rsidRPr="00B03342">
        <w:rPr>
          <w:rFonts w:ascii="Arial" w:hAnsi="Arial" w:cs="Arial"/>
          <w:color w:val="000000"/>
          <w:vertAlign w:val="subscript"/>
          <w:lang w:eastAsia="sr-Latn-RS"/>
        </w:rPr>
        <w:t>50,F</w:t>
      </w:r>
      <w:r w:rsidRPr="00B03342">
        <w:rPr>
          <w:rFonts w:ascii="Arial" w:hAnsi="Arial" w:cs="Arial"/>
          <w:color w:val="000000"/>
          <w:lang w:eastAsia="sr-Latn-RS"/>
        </w:rPr>
        <w:t> &gt; 0,3 секунде. У том случају спроводи се предиспитивање, а сигнал масеног протока издувног гаса тог предиспитивања може се употребљавати за регулисање протока узорка у честични систем. Правилно управљање системом делимичног разређивања постиже се ако се временски траг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ew,pre</w:t>
      </w:r>
      <w:r w:rsidRPr="00B03342">
        <w:rPr>
          <w:rFonts w:ascii="Arial" w:hAnsi="Arial" w:cs="Arial"/>
          <w:color w:val="000000"/>
          <w:lang w:eastAsia="sr-Latn-RS"/>
        </w:rPr>
        <w:t> из предиспитивања, који контролише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 помакне за „унапред одређено” време t 50,P + t 50,F .</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утврђивање корелације између qm p,i и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ew,i</w:t>
      </w:r>
      <w:r w:rsidRPr="00B03342">
        <w:rPr>
          <w:rFonts w:ascii="Arial" w:hAnsi="Arial" w:cs="Arial"/>
          <w:color w:val="000000"/>
          <w:lang w:eastAsia="sr-Latn-RS"/>
        </w:rPr>
        <w:t> употребљавају се подаци добијени током стварног испитивања, при чему је време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ew,i</w:t>
      </w:r>
      <w:r w:rsidRPr="00B03342">
        <w:rPr>
          <w:rFonts w:ascii="Arial" w:hAnsi="Arial" w:cs="Arial"/>
          <w:color w:val="000000"/>
          <w:lang w:eastAsia="sr-Latn-RS"/>
        </w:rPr>
        <w:t> усклађено помоћу t 50,F у односу на qm p,i (t 50,P не доприноси временском усклађивању). Временски помак између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w:t>
      </w:r>
      <w:r w:rsidRPr="00B03342">
        <w:rPr>
          <w:rFonts w:ascii="Arial" w:hAnsi="Arial" w:cs="Arial"/>
          <w:color w:val="000000"/>
          <w:lang w:eastAsia="sr-Latn-RS"/>
        </w:rPr>
        <w:t> и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w:t>
      </w:r>
      <w:r w:rsidRPr="00B03342">
        <w:rPr>
          <w:rFonts w:ascii="Arial" w:hAnsi="Arial" w:cs="Arial"/>
          <w:color w:val="000000"/>
          <w:lang w:eastAsia="sr-Latn-RS"/>
        </w:rPr>
        <w:t> јест разлика између њихових времена трансформација одређених у тачки 8.1.8.6.3.2.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 Валидација распона анализатора ваздуха, валидација напретка и корекција напретка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8.2.2.1. Валидација распона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анализатор радио изнад 100 % својег распона у било којем тренутку за време испитивања, морају се учинити кораци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8.2.2.1.1. Групно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реч о групном узорковању, узорак се поновно анализира применом најнижег распона анализатора који даје најбољи одзив инструмента испод 100 %. Наводи се резултат из најмањег распона у којем анализатор у целом испитивању делује испод 100 % својег распона.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8.2.2.1.2. Континуирано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реч о континуираном узорковању, цело се испитивање понавља уз примену следећег вишег распона анализатора. Ако анализатор опет буде радио изнад 100 % својег распона, испитивање се мора поновити уз примену следећег вишег распона. Испитивање се мора понављати све док анализатор цело испитивање стално не делује на мање од 100 % својег распона.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8.2.2.2. Валидација напретка и корекција напретка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је помак унутар ± 1 %, подаци се могу прихватити без корекције или се могу прихватити након корекције. Ако је одступање веће од ± 1 %, за сваку се загађујућу материју са специфичном ефективном граничном вредношћу и за CO</w:t>
      </w:r>
      <w:r w:rsidRPr="00B03342">
        <w:rPr>
          <w:rFonts w:ascii="Arial" w:hAnsi="Arial" w:cs="Arial"/>
          <w:color w:val="000000"/>
          <w:vertAlign w:val="subscript"/>
          <w:lang w:eastAsia="sr-Latn-RS"/>
        </w:rPr>
        <w:t>2</w:t>
      </w:r>
      <w:r w:rsidRPr="00B03342">
        <w:rPr>
          <w:rFonts w:ascii="Arial" w:hAnsi="Arial" w:cs="Arial"/>
          <w:color w:val="000000"/>
          <w:lang w:eastAsia="sr-Latn-RS"/>
        </w:rPr>
        <w:t> морају обрачунати два заједно резултата специфичне ефективне емисије или се испитивање поништава. Један се скуп обрачунава помоћу података пре корекције напретка, а други након корекције свих података о помаку у складу с тачком 2.6. Прилога 10 ове уредбе и Додатком 1. Прилога 10 ове уредбе. Упоређивање се изражава као проценат некоригованих резултата. Разлика између неисправљене и исправљене вредности специфичних ефективних емисија треба бити унутар ± 4 % неисправљених вредности специфичних ефективних емисија или граничне вредности емисије, које год је веће. Ако не, поништава се цело испитивање.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 Преткондиционирање и мерење таре медија за узорковање PM-а (нпр.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 испитивања емисије морају се предузети следећи кораци за припрему филтерског медија за узорковање PM-а и опреме за мерење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8.2.3.1. Периодичне верификације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осигурати да околина ваге и околина стабилизације PM-а испуњавају услове периодичних верификација у складу с условима наведеним у тачки 8.1.12. овог прилога. Референтни филтер мери се непосредно пре мерења испитних филтера како би се установила одговарајућа референтна тачка (видети детаље Одељка за поступак у тачки 8.1.12.1. овог прилога). Верификација стабилности референтних филтера мора се радити након периода стабилизације након испитивања, непосредно пре мерења након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8.2.3.2. Визуални преглед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Неискоришћени филтерски медиј за узорковање визуално се прегледа како би се проверило има ли недостатака, те се филтери с недостацима бацају.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8.2.3.3. Уземљење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руковање филтерима PM-а мора се употребљавати пинцета с електричним уземљењем или трака за уземљење, како је описано у тачки 9.3.4.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8.2.3.4. Неискоришћени медиј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Неискоришћени медиј за узорковање мора се ставити у спремнике отворене према околини за стабилизацију PM-а. Ако се употребљавају филтери, могу се ставити у доњу половину касете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8.2.3.5. Стабилизација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Медиј за узорковање стабилизује се у околини за стабилизацију PM-а. Неискоришћени материјал узорковања сматра се стабилизујеним само ако се у околини за стабилизацију PM-а налазио најмање 30 минута, током којих је околина за стабилизацију PM-а била у складу са спецификацијама наведенима у тачки 9.3.4 овог прилога. Међутим, ако се очекује маса честица материје од најмање 400 μг, медиј за узорковање мора се стабилизовати најмање 60 минута.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8.2.3.6. Мерење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Медиј за узорковање мери се аутоматски или ручно, како редоследи: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је мерење аутоматско, за припрему узорака за мерење морају се следити упутства произвођача аутоматског система; то може обухватати стављање узорака у посебан спремник;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ручно мерење примењује се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као друга могућност допуштено је заменско мерење (видети тачку 8.2.3.10.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након што се измери, филтер се мора вратити у Петријеву чинију и покрити.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8.2.3.7. Корекција узгона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Измерена тежина мора се кориговати за узгон у складу с тачком 8.1.13.2.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8.2.3.8. Понављање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Мерења масе филтера могу се понављати како би се одредила просечна маса филтера применом добре инжењерске процене те како би се искључиле нетипичности из обрачуна просека.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8.2.3.9. Мерење таре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Неискоришћени филтери којима се измерела таре стављају се у касете с чистим филтерима, а напуњене касете стављају се у прекривени или забртвљени спремник пре ношења у испитну ћелију на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8.2.3.10. Заменско мерење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Заменско мерење је опција, и, ако се употребљава, укључује мерење референтне тежине пре и после мерења материјала узорковања PM-а (нпр. филтера). Премда заменско мерење захтева више мерења, њиме се коригира нулти помак ваге и ослања се на линеарност ваге само у малом распону. Оно је најпримереније кад се квантификују укупне масе PM-а које су мање од 0,1 % масе материјала узорковања. Није, међутим, примерено кад укупне масе PM-а прелазе 1 % масе материјала узорковања. Ако се употребљава заменско мерење, мора се употребити и за мерење пре испитивања и за мерење после испитивања. За мерења пре и после испитивања мора се употребљавати исти заменски утег. Маса заменског утега мора се кориговати за узгон ако је густоћа утега мања од 2,0 g/cm</w:t>
      </w:r>
      <w:r w:rsidRPr="00B03342">
        <w:rPr>
          <w:rFonts w:ascii="Arial" w:hAnsi="Arial" w:cs="Arial"/>
          <w:color w:val="000000"/>
          <w:vertAlign w:val="superscript"/>
          <w:lang w:eastAsia="sr-Latn-RS"/>
        </w:rPr>
        <w:t>3</w:t>
      </w:r>
      <w:r w:rsidRPr="00B03342">
        <w:rPr>
          <w:rFonts w:ascii="Arial" w:hAnsi="Arial" w:cs="Arial"/>
          <w:color w:val="000000"/>
          <w:lang w:eastAsia="sr-Latn-RS"/>
        </w:rPr>
        <w:t>. Следећи кораци пример су заменског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мора се употребљавати пинцета с електричним уземљењем или трака за уземљење, како је описано у тачки 9.3.4.6.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употребљава се статички неутрализатор како је описано у тачки 9.3.4.6. како би се минимализирао статички електрични набој на било којем предмету пре него што се ставки на плитицу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одабире се заменски утег који одговара спецификацијама за умерне утеге из тачке 9.5.2. Заменски утег мора имати и исту густоћу као утег који се употребљава за распонско умеравање микроваге те бити сличне масе као и неискоришћени материјал узорковања (нпр. филтер). Ако се употребљавају филтери, маса утега требала би бити између 80 и 100 mg за типичне филтере проноса од 47 mm;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очитање стабилне ваге мора се забележити и затим се умерни утег уклања;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неискоришћени се материјал узорковања (нпр. нови филтер) мери и бележе се очитања стабилне ваге и росиште околине ваге, околна температура и атмосферски притисак;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умерни утег поновно се мери и бележи се очитање стабилне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обрачунава се аритметичка средина очитања двају умерних утега забележених непосредно пре и после мерења неискоришћеног узорка. Та средња вредност одузима се од очитања неискоришћеног узорка, а затим се додаје стварна маса умерног утега која је наведена на сертификату умерног утега. Тај се резултат бележи. То је таре тежина неискоришћеног узорка без корекције за узгон;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Ти кораци заменског мерења понављају се за остатак неискоришћеног медија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након довршетка мерења следе се упутства у тач. од 8.2.3.7. до 8.2.3.9.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 Кондиционирање узорка PM-а и мерење након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Искоришћени филтери за узорковање PM-а стављају се у прекривене или забртвљене спремнике или затворене држаче филтера како би их се заштитило од околног загађења. Тако заштићени, оптерећени се филтери морају вратити у комору или просторију за кондиционирање филтера PM-а. Затим се прикладно кондиционирају и мере филтери за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8.2.4.1. Периодична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Мора се осигурати да су околина ваге и околина стабилизације PM-а задовољили на периодичним верификацијама из тачке 8.1.13.1. овог прилога. Након завршетка испитивања филтери се морају вратити у околину за мерење и стабилизацију PM-а. Околина за мерење и стабилизацију PM-а мора испуњавати захтеве за околину из тачке 9.3.4.4. овог прилога, а у супротном испитни филтери морају остати прекривени све док се не остваре правилни услови.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8.2.4.2. Уклањање из затворених спремника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Узорци PM-а морају се уклонити из затворених спремника у околини за стабилизацију PM-а. Филтери се могу уклонити из својих касета пре или после стабилизације. Кад се филтер уклони из касете, горња половица касете мора се одвојити од доњег дела сепаратором за касете намењеним за ту сврху.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8.2.4.3. Електрично уземљење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руковање узорцима PM-а мора се употребљавати пинцета с електричним уземљењем или трака за уземљење, како је описано у тачки 9.3.4.5.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8.2.4.4. Визуални преглед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Прикупљени узорци PM-а и повезани филтерски медиј прегледају се визуално. Ако су услови филтера или прикупљеног узорка PM-а на било који начин компромитовани или ако честична материја дође у додир с било којом другом површином осим филтера, узорак се не сме употребити за утврђивање емисија честица. Ако дође до додира с неком другом површином, та се површина мора очистити пре настављања поступка.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8.2.4.5. Стабилизација узорака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узорци PM-а стабилизујели, мора их се ставити у један или више спремника отворених према околини за стабилизацију PM-а, описаној у тачки 9.3.4.3. овог прилога- Узорак PM-а је стабилизујен ако је био у околини за стабилизацију PM-а у једном од следећих трајања, током којег је околина за стабилизацију била у складу са спецификацијама из тачке 9.3.4.3.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ако се очекује да ће укупна површинска концентрација PM-а бити већа од 0,353 μg/mm</w:t>
      </w:r>
      <w:r w:rsidRPr="00B03342">
        <w:rPr>
          <w:rFonts w:ascii="Arial" w:hAnsi="Arial" w:cs="Arial"/>
          <w:color w:val="000000"/>
          <w:vertAlign w:val="superscript"/>
          <w:lang w:eastAsia="sr-Latn-RS"/>
        </w:rPr>
        <w:t>2</w:t>
      </w:r>
      <w:r w:rsidRPr="00B03342">
        <w:rPr>
          <w:rFonts w:ascii="Arial" w:hAnsi="Arial" w:cs="Arial"/>
          <w:color w:val="000000"/>
          <w:lang w:eastAsia="sr-Latn-RS"/>
        </w:rPr>
        <w:t>, уз претпоставку оптерећења од 400 μg на радном подручју филтера проноса 38 mm, филтер мора бити изложен околини за стабилизацију најмање 60 минута пре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ако се очекује да ће укупна површинска концентрација PM-а бити мања од 0,353 μg/mm</w:t>
      </w:r>
      <w:r w:rsidRPr="00B03342">
        <w:rPr>
          <w:rFonts w:ascii="Arial" w:hAnsi="Arial" w:cs="Arial"/>
          <w:color w:val="000000"/>
          <w:vertAlign w:val="superscript"/>
          <w:lang w:eastAsia="sr-Latn-RS"/>
        </w:rPr>
        <w:t>2</w:t>
      </w:r>
      <w:r w:rsidRPr="00B03342">
        <w:rPr>
          <w:rFonts w:ascii="Arial" w:hAnsi="Arial" w:cs="Arial"/>
          <w:color w:val="000000"/>
          <w:lang w:eastAsia="sr-Latn-RS"/>
        </w:rPr>
        <w:t>, филтер мора бити изложен околини за стабилизацију најмање 30 минута пре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очекивана укупна површинска концентрација PM-а која се очекује током испитивања није позната, филтер мора бити изложен околини за стабилизацију најмање 60 минута пре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8.2.4.6. Утврђивање масе филтера после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утврдила маса филтера после испитивања, морају се поновити поступци наведени у тачки 8.2.3. овог прилога (тач. од 8.2.3.6. до 8.2.3.9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8.2.4.7. Укупна маса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Свака тара маса филтера коригована за узгон одузима се од одговарајуће масе филтера кориговане за узгон измерене после испитивања. Резултат је укупна маса, m </w:t>
      </w:r>
      <w:r w:rsidRPr="00B03342">
        <w:rPr>
          <w:rFonts w:ascii="Arial" w:hAnsi="Arial" w:cs="Arial"/>
          <w:color w:val="000000"/>
          <w:vertAlign w:val="subscript"/>
          <w:lang w:eastAsia="sr-Latn-RS"/>
        </w:rPr>
        <w:t>total</w:t>
      </w:r>
      <w:r w:rsidRPr="00B03342">
        <w:rPr>
          <w:rFonts w:ascii="Arial" w:hAnsi="Arial" w:cs="Arial"/>
          <w:color w:val="000000"/>
          <w:lang w:eastAsia="sr-Latn-RS"/>
        </w:rPr>
        <w:t>, која се употребљава у обрачуну емисија у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 Мерна опрема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 Спецификација динамометра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9.1.1. Рад коленастог вратила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 се динамометар мотора који има одговарајуће карактеристике за извођење примењивог радног циклуса, што укључује и способност испуњавања одговарајућих критеријума за валидацију циклуса. Могу се употребити следећи динамометри: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вртложни динамометри или динамометри с воденом кочионицом;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моторни динамометри на изменичну или једносмерну струју;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један динамометар или више њих.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9.1.2. Динамички (NRTC и LSI-NRTC) испитни циклуси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мерења обртног момента могу се употребљавати претварач силе или редни мерач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употребљава претварач силе, сигнал закретног момента преноси се на ос мотора и у обзир се мора узети инерција динамометра. Стварни закретни момент мотора јест момент очитан на претварачу силе којем се додаје момент инерције кочионице помножен с угаоним убрзањем. Контролни систем то мора обрачунавати у стварном времену.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9.1.3. Додатна опрема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Додатна опрема мотора потребна за довод горива, подмазивање или загревање мотора, циркулацију расхладне течности или за рад уређаја за накнадну обраду издувног гаса мора се уградити у складу с тачком 6.3. овог прилога и њезин се рад мора узимати у обзир.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9.1.4. Носач мотора и систем вратила за пренос снаге (категорија NRSh)</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Кад је то потребно ради правилног испитивања мотора категорије NRSh, морају се употребљавати носач мотора за испитни сто и систем вратила за пренос снаге ради спајања на ротацијски систем динамометра које наведе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 Поступак разређивања (ако је примењиво)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 Услови за разређивач и позадинске концентрације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Састојци гасова могу се мерити у неразређеном или разређеном стању, а мерење PM-а најчешће захтева разређивање. Разређивање се може постићи системом за разређивање делимичног протока или системом за разређивање пуног протока. Ако се примењује разређивање, издувни гас може се разређивати ваздухом из околине, синтетским ваздухом или азотом. За мерење гасовитих емисија температура разређивача мора бити најмање 288 К (15 °C). За узорковање PM-а температура разређивача наведена је у тачки 9.2.2. за CVS и у тачки 9.2.3. овог прилога за PFD с променљивим односом разређивања. Капацитет протока система за разређивање мора бити довољно велик да се сасвим уклони кондензација воде у системима за разређивање и узорковање. Допуштено је одвлаживање ваздуха за разређивање пре уласка у систем за разређивање ако је влага у ваздуху висока. Ивице тунела и цеви за проток необрађеног гаса иза тунела за разређивање могу бити грејане или изоловане како би се спречило да се састојци с водом одвоје преласком из гасовитог у текуће стање („кондензација 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 него што се разређивач помеша с издувним гасом, може се преткондиционирати тако да му се повећа или смањи температура или влажност. Састојци се могу уклонити из разређивача како би се смањила њихова позадинска концентрација. Следеће одредбе примењују су на уклањање састојака или узимање у обзир позадинских концентрација: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концентрације састојака у разређивачу могу се мерити и компензујети за позадинске ефекте на испитне резултате. Видети Прилог 10 ове уредбе за обрачуне којима се компензују позадинске концентрације;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следеће промене захтева из одељака 7.2, 9.3. и 9.4. овог прилога допуштене су за мерење позадинских гасовитих или честичних загађујућих материја: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не мора се примењивати пропорционално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смеју се употребљавати незагрејани системи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континуирано узорковање сме се употребљавати без обзира на примену групног узорковања разређених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групно узорковање сме се употребљавати без обзира на примену континуираног узорковања разређених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узимање у обзир позадинског PM-а на располагању су следеће могућности: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при уклањању позадинског PM-а разређивач се филтрира HEPA филтерима с минималним учинком скупљања честица од 99,97 % (видети члан 1. став 19. за поступке повезане с ефикасношћу HEPA филтерације);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ако се ради корекција за позадински PM без HEPA филтерације, позадински PM не сме доприносити нето PM-у сакупљеном на филтеру за узорковање с више од 50 %;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позадинска корекција нето PM-а HEPA филтерацијом допуштена је без ограничења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 Систем пуног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Разређивање пуног протока; узорковање константног обима (CVS). Пуни проток неразређених издувних гасова разређује се у тунелу за разређивање. Константан проток може се одржавати одржавањем температуре и притисака на мерачу протока унутар граничних вредности. Неконстантан проток мери се директно како би се омогућило пропорционално узорковање. Систем мора бити изведен на следећи начин (видети слику 6.6.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мора се употребити тунел с унутрашњим површинама од нерђајућег челика. Цели тунел за разређивање мора бити електрично уземљен. Алтернативно, за категорије мотора које не подлијежу граничним вредностима PM-а или PN-а могу бити употребљени неводљиви материјали;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подпритисак издувног система не сме се вештачки снижавати системом улаза ваздуха за разређивање. Статички притисак на месту где се неразређени издувни гасови уводе у тунел мора се одржавати унутар ± 1,2 kPa атмосферског притисака;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како би се потпомогло мешање, неразређени издувни гасови уводе се у тунел тако да их се усмери низ ток уздуж средишње линије тунела. Део ваздуха за разређивање може се увести радијално из унутрашње површине тунела како би се минимизирала интеракција издувних гасова са стијенкама тунела;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разређивач, за узорковање PM-а температура разређивача (околног ваздуха, синтетског ваздуха или азота као што је наведено у тачки 9.2.1. овог прилога) мора се одржавати између 293 и 325 К (од 20 до 52 °C) у непосредној близини улаза у тунел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Рејнулдсов број, Re, мора износити минимално 4.000 за проток разређеног издувног гаса, при чему се Re базира на унутрашњем проносу тунела за разређивање. Број Ре дефинисан је у Прилога 10 ове уредбе Верификација одговарајућег мешања изводи се током прелажења сонде за узорковање преко проноса тунела, вертикалано и водоравно. Ако одзив анализатора показује било какво одступање изнад ± 2 % средње измерене концентрације, CVS мора радити при већој брзини протока или се мора уградити плоча или пригушница за мешање да се мешање побољша;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преткондиционирање мерења протока. Разређени издувни гас може се кондиционирати пре мерења његове брзине протока, све док се то кондиционирање догађа иза загреваних сонди за узорковање HC-а или PM-а, и то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могу се употребити исправљачи протока, пригушивачи пулзација или обоје;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може се употребити филтер;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III. измењивач топлоте може се употребити за регулисање температуре иза било којег мерача протока, али се морају предузети кораци за спречавање кондензације 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кондензација воде. Кондензација воде зависи о влажности, притиску, температури и концентрацији других састојака попут сумпорне киселине. Наведени параметри варирају зависно о влажности улазног ваздуха мотора, влажности ваздуха за разређивање, односу ваздуха и горива мотора те саставу горива – укључујући количину водика и сумпора у гориву.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осигурало да се мери проток који одговара измереној концентрацији, мора се или спречити кондензација воде између места сонде за узорковање и улаза мерача протока у тунелу за разређивање или допустити кондензација воде те мерити влажност на улазу у мерач протока. Ивице тунела за разређивање или цеви за проток необрађеног гаса, силазно од тунела, могу се загревати или изоловати у сврху спречавања кондензације воде. Кондензација воде мора се спречавати уздуж тунела за разређивање. Одређене компоненте издувног гаса могу се разредити или елиминисати због присутности влаге.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узорковање PM-а пропорционални проток из CVS-а пролази секундарно разређивање (једном или више пута) како би се постигао захтевани укупни однос разређења како је приказано на слици 6.7. и како је наведено у тачки 9.2.3.2.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минимални укупни однос разређења мора бити унутар распона од 5:1 до 7:1 и минимално 2:1 у првој фази разређивања која се базира на максималној брзини протока издувних гасова мотора током испитног циклуса или испитног интервала;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 укупно време задржавања унутар система мора бити између 0,5 и 5 секунда, а мери се од тренутка увођења разређивача у држаче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време задржавања у секундарном систему за разређивање, ако постоји, мора бити најмање 0,5 секунда, а мери се од тренутка увођења секундарног разређивача у држаче филтера. Како би се утврдила маса честица, потребни су систем за узорковање честица, филтер за узорковање честица, гравиметријска вага те комора за мерење с контролисаном температуром и влагом.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6.6. Примери конфигурација за узорковање при разређивању пуног протока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70AA76C" wp14:editId="3EC5952A">
            <wp:extent cx="6591600" cy="3600000"/>
            <wp:effectExtent l="0" t="0" r="0" b="635"/>
            <wp:docPr id="256" name="Picture 256" descr="A detailed technical flowchart illustrating a complex system with labeled components, connections, and a legend explaining symbols related to air filtration, gas analysis, and ventilation proces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detailed technical flowchart illustrating a complex system with labeled components, connections, and a legend explaining symbols related to air filtration, gas analysis, and ventilation processes.&#10;&#10;Description generated by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91600" cy="360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9.2.3. Систем за разређивање делимичног протока (PFD)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9.2.3.1. Опис система делимичног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Шематски приказ PFD система приказан је на слици 6.7. овог прилога. То је општи шематски приказ који приказује принципе издвајања узорака, разређивања и узорковања PM-а. Њиме се не жели рећи да су све компоненте на слици нужне за друге могуће системе за узорковање који могу служити за прикупљање узорака. Друге конфигурације које се не поклапају с тим приказима допуштене су само ако служе истој сврси прикупљања узорака, разређивања и узорковања PM-а. Оне морају задовољити друге критеријуме, као што су они у тач. 8.1.8.6. (периодично умеравање) и 8.2.1.2. овог прилога (валидација) за PFT с промењивим разређивањем, у тачки 8.1.4.5. те табели 6.5. (верификација линеарности) и тачки 8.1.8.5.7. овог прилога (верификација) за PFD с константним разређивањем.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Како је приказано на слици 6.7 овог прилога, неразређени издувни гасови или примарни разређени проток преноси се из издувне цеви EP односно из CVS-а у тунел за разређивање DT кроз сонду за узорковање СП и преносни вод ТЛ. Укупни проток кроз тунел прилагођава се регулатором протока и пумпом за узорковање P система за узорковање честица (ПСС). За пропорционално узорковање неразређених издувних гасова, проток ваздуха за разређивање регулише се регулатором протока ФЦ1, који као командне сигнале може употребљавати q</w:t>
      </w:r>
      <w:r w:rsidRPr="00B03342">
        <w:rPr>
          <w:rFonts w:ascii="Arial" w:hAnsi="Arial" w:cs="Arial"/>
          <w:color w:val="000000"/>
          <w:vertAlign w:val="subscript"/>
          <w:lang w:eastAsia="sr-Latn-RS"/>
        </w:rPr>
        <w:t>м</w:t>
      </w:r>
      <w:r w:rsidRPr="00B03342">
        <w:rPr>
          <w:rFonts w:ascii="Arial" w:hAnsi="Arial" w:cs="Arial"/>
          <w:color w:val="000000"/>
          <w:lang w:eastAsia="sr-Latn-RS"/>
        </w:rPr>
        <w:t> </w:t>
      </w:r>
      <w:r w:rsidRPr="00B03342">
        <w:rPr>
          <w:rFonts w:ascii="Arial" w:hAnsi="Arial" w:cs="Arial"/>
          <w:color w:val="000000"/>
          <w:vertAlign w:val="subscript"/>
          <w:lang w:eastAsia="sr-Latn-RS"/>
        </w:rPr>
        <w:t>еw</w:t>
      </w:r>
      <w:r w:rsidRPr="00B03342">
        <w:rPr>
          <w:rFonts w:ascii="Arial" w:hAnsi="Arial" w:cs="Arial"/>
          <w:color w:val="000000"/>
          <w:lang w:eastAsia="sr-Latn-RS"/>
        </w:rPr>
        <w:t> (брзина масеног протока издувних гасова на влажној бази) или q</w:t>
      </w:r>
      <w:r w:rsidRPr="00B03342">
        <w:rPr>
          <w:rFonts w:ascii="Arial" w:hAnsi="Arial" w:cs="Arial"/>
          <w:color w:val="000000"/>
          <w:vertAlign w:val="subscript"/>
          <w:lang w:eastAsia="sr-Latn-RS"/>
        </w:rPr>
        <w:t>м</w:t>
      </w:r>
      <w:r w:rsidRPr="00B03342">
        <w:rPr>
          <w:rFonts w:ascii="Arial" w:hAnsi="Arial" w:cs="Arial"/>
          <w:color w:val="000000"/>
          <w:lang w:eastAsia="sr-Latn-RS"/>
        </w:rPr>
        <w:t> </w:t>
      </w:r>
      <w:r w:rsidRPr="00B03342">
        <w:rPr>
          <w:rFonts w:ascii="Arial" w:hAnsi="Arial" w:cs="Arial"/>
          <w:color w:val="000000"/>
          <w:vertAlign w:val="subscript"/>
          <w:lang w:eastAsia="sr-Latn-RS"/>
        </w:rPr>
        <w:t>аw</w:t>
      </w:r>
      <w:r w:rsidRPr="00B03342">
        <w:rPr>
          <w:rFonts w:ascii="Arial" w:hAnsi="Arial" w:cs="Arial"/>
          <w:color w:val="000000"/>
          <w:lang w:eastAsia="sr-Latn-RS"/>
        </w:rPr>
        <w:t> (брзина масеног протока улазног ваздуха на влажној бази) и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 xml:space="preserve"> (брзина масеног протока горива), за жељено раздвајање издувног гаса. Проток узорка у тунел за разређивање ДТ разлика је укупног протока и протока ваздуха за разређивање. Брзина </w:t>
      </w:r>
      <w:r w:rsidRPr="00B03342">
        <w:rPr>
          <w:rFonts w:ascii="Arial" w:hAnsi="Arial" w:cs="Arial"/>
          <w:color w:val="000000"/>
          <w:lang w:eastAsia="sr-Latn-RS"/>
        </w:rPr>
        <w:lastRenderedPageBreak/>
        <w:t>протока ваздуха за разређивање мери се уређајем за мерење протока FM1, а укупна брзина протока уређајем за мерење протока система за узорковање честица. Однос разређења обрачунава се из тих двају брзина протока. За узорковање с константним односом разређења неразређеног или разређеног издувног гаса у односу на проток издувног гаса (нпр. секундарно разређивање за узорковање PM-а) брзина протока ваздуха за разређивање обично је константна и регулише се регулатором протока FC1 или пумпом ваздуха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Ваздух за разређивање (околни ваздух, синтетски ваздух или азот) филтрира се с HEPA филтерима.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6.7. Шематски приказ система за разређивање делимичног протока (укупно узорковање)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CF853EC" wp14:editId="1DB856DC">
            <wp:extent cx="5057140" cy="2790825"/>
            <wp:effectExtent l="0" t="0" r="0" b="9525"/>
            <wp:docPr id="255" name="Picture 255" descr="A technical schematic diagram showing a fluid control system with components labeled FC1, DAF, FM1, DT, PTL, PSS, FH, SP, and EP connected by pipes and flow directions indicat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technical schematic diagram showing a fluid control system with components labeled FC1, DAF, FM1, DT, PTL, PSS, FH, SP, and EP connected by pipes and flow directions indicated.&#10;&#10;Description generated by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57140" cy="2790825"/>
                    </a:xfrm>
                    <a:prstGeom prst="rect">
                      <a:avLst/>
                    </a:prstGeom>
                    <a:noFill/>
                    <a:ln>
                      <a:noFill/>
                    </a:ln>
                  </pic:spPr>
                </pic:pic>
              </a:graphicData>
            </a:graphic>
          </wp:inline>
        </w:drawing>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2"/>
        <w:gridCol w:w="347"/>
        <w:gridCol w:w="981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издувни гас из мотора или примарни разређени проток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опционо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ц</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узорковање PM-а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Компоненте са слике 6.7:</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4"/>
        <w:gridCol w:w="164"/>
        <w:gridCol w:w="971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филтер ваздуха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тунел за разређивање или секундарни систем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издувна цев или примарни систем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FC1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регулатор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FH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држач филтера,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FM1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уређај за мерење протока који мери брзину протока ваздуха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 за узорковање,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PSS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систем за узорковање PM-а,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PTL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вод за пренос PM-а,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сонда за узорковање неразређеног или разређеног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преносни вод.</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Брзине масеног протока примењиве само на PFD за пропорционално узорковање неразређеног издувног гаса: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2"/>
        <w:gridCol w:w="959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издувног гаса на влажној бази,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aw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улазног ваздуха на влажној бази,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qm 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горива.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9.2.3.2.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Температура разређивача (околног ваздуха, синтетског ваздуха или азота као што је наведено у тачки 9.2.1. овог прилога) мора се одржавати између 293 и 325 К (од 20 до 52 °C) у непосредној близини улаза у тунел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Допуштено је одвлаживање ваздуха за разређивање пре уласка у систем за разређивање. Систем за разређивање делимичног протока мора бити изведен тако да издваја пропорционални узорак неразређеног издувног гаса из издувног тока мотора, чиме одговара на одступања у брзини протока издувног гаса, и да уводи ваздух за разређивање у тај узорак како би се на испитном филтеру постигла температура одређена тачком 9.3.3.4.3. овог прилога. За то је нужно да однос разређења буде одређен тако да испуњава захтеве у погледу тачности из тачке 8.1.8.6.1.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осигурало мерење протока које одговара измереној концентрацији, мора се или спречити кондензација воде између положаја сонде за узорковање и улаза мерача протока у тунелу за разређивање или допустити кондензацију воде те мерити влажност на улазу у мерач протока. PFD систем може бити загрејан или изолован како би се спречила кондензација воде. Кондензација воде мора се спречавати уздуж тунела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Минимални однос разређења мора бити унутар распона од 5:1 до 7:1, а који се базира на максималној брзини протока издувних гасова мотора током испитног циклуса или испитног интервала. Укупно време задржавања унутар система мора бити између 0,5 и 5 секунди, а мери се од тренутка увођења разређивача у држаче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утврђивање масе честица потребни су систем за узорковање честица, филтер за узорковање честица, гравиметријска вага те комора за мерење с регулисаном температуром и влагом.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9.2.3.3. Примењивост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PFD се може употребљавати за издвајање пропорционалног узорка неразређеног издувног гаса за свако групно или континуирано узорковање PM-а и гасовитих емисија у сваком динамичком (NRTC и LSI-NRTC) радном циклусу, сваком NRSC-у с дискретним начинима рада или сваком RMC радном циклусу.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се може употребљавати и за претходно разређени издувни гас кад се, помоћу константног односа разређивања, разређује већ пропорционални проток (видети слику 6.7.). Тако се изводи секундарно разређивање из CVS тунела како би се постигао потребни укупни однос разређења за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9.2.3.4. Умеравање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 умеравању PFD-а у сврху издвајања пропорционалног узорка неразређеног издувног гаса говори се у тачки 8.1.8.6.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 Поступци узорковања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 Општи захтеви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9.3.1.1. Верзија и конструкција сонде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Сонда је први елемент у систему за узорковање. Она штрчи у ток неразређеног или разређеног издувног гаса ради издвајања узорка и то тако да су јој унутрашње и спољне површине у контакту с издувним гасом. Узорак се преноси из сонде у преносни 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Унутрашње површине сонди за узорковање морају бити од нерђајућег челика или, за потребе узорковања неразређених издувних гасова, од било којег нереактивног материјала који може поднети температуре неразређеног издувног гаса. Сонде за узорковање морају бити постављене на место где се састојци мешају до своје средње концентрације узорка и где је минимализирана интерференција с другим сондама. Препоручује се да ни једна сонда не буде изложена утицајима граничних слојева, струјања и вртлога – посебно близу излаза издувне цеви за мерење неразређених издувних гасова где може доћи до ненамерног разређивања. Прочишћавање или испирање сонде не сме утицати на друге сонде током испитивања. За издвајање узорка више од једног састојка може се употребљавати само једна сонда ако одговара свим спецификацијама за сваки састојак.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9.3.1.1.1. Комора за мешање (категорија NRSh)</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то допушта произвођач, током испитивања мотора категорије NRSh може се употребљавати комора за мешање. Комора за мешање опционални је саставни део система за узорковање неразређеног гаса и налази се у издувном систему између пригушивача и сонде за узорковање. Облик и димензије коморе за мешање и цеви које се постављају испред и иза ње морају бити такви да осигуравају добро измешан хомоген узорак на месту сонде за узорковање и да се избегну снажне пулсације или резонанције коморе које утичу на резултате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9.3.1.2. Преносни водови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Дужину преносних водова који преносе издвојени узорак из сонде до анализатора, медија за одлагање или система за разређивање треба смањити тако да се анализаторе, медије за одлагање и системе за разређивање поставки што ближе сондама. Број кривина у преносним водовима мора се свести на минимум, а полупречник неизбежног кривина максимално повећати.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9.3.1.3. Методе узорковања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континуирано и групно узорковање, описане у тачки 7.2. овог прилога, примењује су следећи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 кад се издваја из константне брзине протока, и узорак мора имати константну брзину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кад се издваја из променљиве брзине протока, брзина протока узорка мора се мењати пропорционално променљивој брзини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пропорционално узорковање мора се валидирати како је описано у тачки 8.2.1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 Узорковање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9.3.2.1. Сонде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узорковање гасовитих емисија употребљавају се сонде с једним улазом или више улаза. Сонде смеју бити усмерене у било којем смеру у односу на неразређени или разређени проток издувних гасова. За неке се сонде морају регулисати температуре узорка, и то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сондама које издвајају NOx из разређеног издувног гаса температура стенки регулише се ради спречавања кондензације 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сонде које издвајају угљо-водонике из разређеног издувног гаса препоручује се да температура стенки сонде буде приближно 191 °C како би се минимизирала контаминација.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9.3.2.1.1. Комора за мешање (категорија NRSh)</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употребљава у складу с тачком 9.3.1.1.1. овог прилога, унутрашњи обим коморе за мешање не сме бити мањи од десетороструког радног обима по цилиндру мотора који се испитује. Комора за мешање мора бити спојена на пригушивач мотора што је ближе могуће и имати минималну унутарњу површинску температуру од 452 К (179 °C). Произвођач може одредити верзију коморе за мешање.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9.3.2.2. Преносни водови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Морају се употребљавати преносни водови с унутрашњим површинама од нерђајућег челика, PTFE-а, Vitona</w:t>
      </w:r>
      <w:r w:rsidRPr="00B03342">
        <w:rPr>
          <w:rFonts w:ascii="Arial" w:hAnsi="Arial" w:cs="Arial"/>
          <w:color w:val="000000"/>
          <w:vertAlign w:val="superscript"/>
          <w:lang w:eastAsia="sr-Latn-RS"/>
        </w:rPr>
        <w:t>™</w:t>
      </w:r>
      <w:r w:rsidRPr="00B03342">
        <w:rPr>
          <w:rFonts w:ascii="Arial" w:hAnsi="Arial" w:cs="Arial"/>
          <w:color w:val="000000"/>
          <w:lang w:eastAsia="sr-Latn-RS"/>
        </w:rPr>
        <w:t> или било којег другог материјала који има боље карактеристике за узорковање емисије. Употребљава се нереактивни материјал који може поднети температуре издувног гаса. Могу се употребљавати и редни филтери ако филтер и његово кућиште испуњавају исте захтеве у погледу температуре као и преносни водови, и то како редоследи: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ако је реч о преносним водовима NOx испред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одговара спецификацијама из тачке 8.1.11.5. овог прилога или испред хладњака који одговара спецификацијама из тачке 8.1.11.4. овог прилога, мора се одржавати температура узорка која спречава кондензацију 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Код преносних водова ТHC-а, дуж целог вода мора се одржавати одступање температуре ставки (464 ± 11) К [(191 ± 11) °С]. Ако се узоркује из неразређеног издувног гаса, незагрејани и изоловани преносни вод може се спојити непосредно на сонду. Дужина и изолација преносног вода морају бити такви да највишу очекивану температуру неразређеног издувног гаса не снижавају испод 191 °С, измерено на излазу преносног вода. При узорковању разређених гасова допуштена је прелазна зона између сонде и преносног вода до 0,92 m дужине како би температура стијенке могла достићи (464 ± 11) К [(191 ± 11) °С].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 Саставни делови за кондиционирање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9.3.2.3.1. Уређаји за сушење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9.3.2.3.1.1.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Уређаји за сушење узорка могу се употребљавати за уклањање влаге из узорка како би се смањио учинак воде на мерење гасовитих емисија. Уређаји за сушење узорка морају испуњавати захтеве из тач. 9.3.2.3.1.1. и 9.3.2.3.1.2. овог прилога. Обимски удео влаге од 0,8 % употребљава се у једначина (7-13).</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највишу очекивану концентрацију водене паре Hm техником уклањања воде мора се задржати влажност на ≤ 5 g воде/kg сувог ваздуха (или на обимском уделу од око 0,8 % H</w:t>
      </w:r>
      <w:r w:rsidRPr="00B03342">
        <w:rPr>
          <w:rFonts w:ascii="Arial" w:hAnsi="Arial" w:cs="Arial"/>
          <w:color w:val="000000"/>
          <w:vertAlign w:val="subscript"/>
          <w:lang w:eastAsia="sr-Latn-RS"/>
        </w:rPr>
        <w:t>2</w:t>
      </w:r>
      <w:r w:rsidRPr="00B03342">
        <w:rPr>
          <w:rFonts w:ascii="Arial" w:hAnsi="Arial" w:cs="Arial"/>
          <w:color w:val="000000"/>
          <w:lang w:eastAsia="sr-Latn-RS"/>
        </w:rPr>
        <w:t>O), што је 100-постотна релативна влажност ваздуха при 277,1 К (3,9 °С) и 101,3 кPа. Та спецификација влажности еквивалентна је отприлике 25-постотној релативној влажности при 298 К (25 °С) и 101,3 kPa. То се може доказати: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мерењем температуре на излазу уређаја за сушење узорка;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мерењем влажности на тачки непосредно испред CLD-а;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спровођењем поступка верификације из тачке 8.1.12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9.3.2.3.1.2. Допуштени типови уређаја за сушење узорка и поступак за процену садржаја влаге након сушења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Може се употребљавати било који уређај за сушење узорака описан у овој тачки.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се употребљава уређај за сушење с осмотском мембраном испред било којег гасног анализатора или медија за одлагање, он мора испуњавати спецификације температуре из тачке 9.3.2.2. овог прилога. Морају се пратити тачка рошења, Tdew, и апсолутни притисак, p total, иза уређаја за сушење с осмотском мембраном. Количина воде рачуна се како је наведено у Прилогу 10 ове уредбе помоћу континуирано бележених вредности Tdew и p total или њихових вршних вредности опажених током испитивања или њихових Задатих алармних вредности. Ако нема директног мерења, номинална вредност p total дана је најнижим апсолутним притиском уређаја за сушење очекиваним током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Ако је реч о моторима на компресијско паљење, не сме се употребљавати топлотни хладњак испред система за мерење ТHC-а. Ако је топлотни хладњак испред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или унутар система за узорковање без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хладњак мора задовољити на провери радног учинка при губитку NO</w:t>
      </w:r>
      <w:r w:rsidRPr="00B03342">
        <w:rPr>
          <w:rFonts w:ascii="Arial" w:hAnsi="Arial" w:cs="Arial"/>
          <w:color w:val="000000"/>
          <w:vertAlign w:val="subscript"/>
          <w:lang w:eastAsia="sr-Latn-RS"/>
        </w:rPr>
        <w:t>2</w:t>
      </w:r>
      <w:r w:rsidRPr="00B03342">
        <w:rPr>
          <w:rFonts w:ascii="Arial" w:hAnsi="Arial" w:cs="Arial"/>
          <w:color w:val="000000"/>
          <w:lang w:eastAsia="sr-Latn-RS"/>
        </w:rPr>
        <w:t xml:space="preserve">, из тачке 8.1.11.4. овог прилога. Морају се надзирати тачка рошења, T dew, и апсолутни притисак, p total, иза топлог хладњака. Количина воде рачуна се како је наведено у Прилогу 10 ове уредбе помоћу континуирано бележених вредности T dew и p total или њихових вршних вредности примећених током </w:t>
      </w:r>
      <w:r w:rsidRPr="00B03342">
        <w:rPr>
          <w:rFonts w:ascii="Arial" w:hAnsi="Arial" w:cs="Arial"/>
          <w:color w:val="000000"/>
          <w:lang w:eastAsia="sr-Latn-RS"/>
        </w:rPr>
        <w:lastRenderedPageBreak/>
        <w:t>испитивања или њихових Задатих алармних вредности. Ако нема директног мерења, номинална вредност p total дана је најнижим апсолутним притиском топлог хладњака очекиваним током испитивања. Ако је исправно претпоставити степен засићености у топлотном хладњаку, T dew, на основу познате ефикасности хладњака и континуираног праћења температуре хладњака, могуће је обрачунати T chiller. Ако се вредности хладњака T chiller не бележе континуирано, његова вршна вредност током испитивања или његова задата алармна вредност могу се употребљавати као константа за утврђивање константне количине воде у складу с Прилогом 10 ове уредбе. Ако је исправно претпоставити да је вредност T chiller једнака вредности T dew, T chiller може се употребљавати уместо T dew у складу с Прилогом 10 ове уредбе Ако је исправно претпоставити стално одступање температура T chiller и T dew због познате и фиксне количине поновног загревања узорка између излаза хладњака и места мерења температуре, та претпостављена вредност одступања температура може се узети у обзир при обрачунавању емисије. Исправност било које претпоставке допуштене овом тачком мора се доказати инжењерском анализом или подацима.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9.3.2.3.2. Пумпе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Употребљавају се пумпе за узорковање испред анализатора или медија за одлагање било којег гаса. Употребљавају се пумпе с унутрашњим површинама од нерђајућег челика, PTFE-а или било којег другог материјала који има боље карктеристике за узорковање емисије. За одређене пумпе за узорковање температуре се морају регулисати на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ако се употребљава пумпа за узорковање NOx испред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одговара спецификацијама из тачке 8.1.11.5. овог прилога или хладњака који испуњава захтеве из тачке 8.1.11.4. овог прилога, мора је се загрејати како би се спречила кондензација 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употребљава пумпа за узорковање ТHC-а испред анализатора ТHC-а или медија за одлагање, њезине унутрашње површине морају се загрејати на температуру у распону 464 ± 11 К (191 ± 11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9.3.2.3.3. Испирачи амонијака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Испирачи амонијака могу се употребљавати за неке или све системе за узорковање гасова за спречавање интерференције NH</w:t>
      </w:r>
      <w:r w:rsidRPr="00B03342">
        <w:rPr>
          <w:rFonts w:ascii="Arial" w:hAnsi="Arial" w:cs="Arial"/>
          <w:color w:val="000000"/>
          <w:vertAlign w:val="subscript"/>
          <w:lang w:eastAsia="sr-Latn-RS"/>
        </w:rPr>
        <w:t>3</w:t>
      </w:r>
      <w:r w:rsidRPr="00B03342">
        <w:rPr>
          <w:rFonts w:ascii="Arial" w:hAnsi="Arial" w:cs="Arial"/>
          <w:color w:val="000000"/>
          <w:lang w:eastAsia="sr-Latn-RS"/>
        </w:rPr>
        <w:t>, тровања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и таложење у систему за узорковање или анализаторима. Инсталација испирача амонијака мора бити у складу с препорукама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9.3.2.4. Медији за одлагање узорака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узоркује у врећу, обими гаса похрањују се у довољно чисте спремнике који јамче минимално испаравање или пропуштање гасова. Добра инжењерска процена мора се примењивати за одређивање прихватљивих прагова чистоће и пропусности медија за одлагање. Да би га се очистило, спремник се може више пута прочистити и испразнити те загревати. Мора се употребљавати савитљиви спремник (нпр. врећа) у околини с регулисаном температуром или крути спремник с регулисаном температуром коју се најпре испразни или има обима који се може истиснути, пример изведен клипом и цилиндром. Морају се употребљавати спремници који су у складу са спецификацијама у табели 6.6.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6.6. Материјали за спремник за групно узорковање гасова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19"/>
        <w:gridCol w:w="838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 CO</w:t>
            </w:r>
            <w:r w:rsidRPr="00B03342">
              <w:rPr>
                <w:rFonts w:ascii="Arial" w:hAnsi="Arial" w:cs="Arial"/>
                <w:vertAlign w:val="subscript"/>
                <w:lang w:eastAsia="sr-Latn-RS"/>
              </w:rPr>
              <w:t>2</w:t>
            </w:r>
            <w:r w:rsidRPr="00B03342">
              <w:rPr>
                <w:rFonts w:ascii="Arial" w:hAnsi="Arial" w:cs="Arial"/>
                <w:lang w:eastAsia="sr-Latn-RS"/>
              </w:rPr>
              <w:t>, O</w:t>
            </w:r>
            <w:r w:rsidRPr="00B03342">
              <w:rPr>
                <w:rFonts w:ascii="Arial" w:hAnsi="Arial" w:cs="Arial"/>
                <w:vertAlign w:val="subscript"/>
                <w:lang w:eastAsia="sr-Latn-RS"/>
              </w:rPr>
              <w:t>2</w:t>
            </w:r>
            <w:r w:rsidRPr="00B03342">
              <w:rPr>
                <w:rFonts w:ascii="Arial" w:hAnsi="Arial" w:cs="Arial"/>
                <w:lang w:eastAsia="sr-Latn-RS"/>
              </w:rPr>
              <w:t>, CH</w:t>
            </w:r>
            <w:r w:rsidRPr="00B03342">
              <w:rPr>
                <w:rFonts w:ascii="Arial" w:hAnsi="Arial" w:cs="Arial"/>
                <w:vertAlign w:val="subscript"/>
                <w:lang w:eastAsia="sr-Latn-RS"/>
              </w:rPr>
              <w:t>4</w:t>
            </w:r>
            <w:r w:rsidRPr="00B03342">
              <w:rPr>
                <w:rFonts w:ascii="Arial" w:hAnsi="Arial" w:cs="Arial"/>
                <w:lang w:eastAsia="sr-Latn-RS"/>
              </w:rPr>
              <w:t>, C</w:t>
            </w:r>
            <w:r w:rsidRPr="00B03342">
              <w:rPr>
                <w:rFonts w:ascii="Arial" w:hAnsi="Arial" w:cs="Arial"/>
                <w:vertAlign w:val="subscript"/>
                <w:lang w:eastAsia="sr-Latn-RS"/>
              </w:rPr>
              <w:t>2</w:t>
            </w:r>
            <w:r w:rsidRPr="00B03342">
              <w:rPr>
                <w:rFonts w:ascii="Arial" w:hAnsi="Arial" w:cs="Arial"/>
                <w:lang w:eastAsia="sr-Latn-RS"/>
              </w:rPr>
              <w:t>H</w:t>
            </w:r>
            <w:r w:rsidRPr="00B03342">
              <w:rPr>
                <w:rFonts w:ascii="Arial" w:hAnsi="Arial" w:cs="Arial"/>
                <w:vertAlign w:val="subscript"/>
                <w:lang w:eastAsia="sr-Latn-RS"/>
              </w:rPr>
              <w:t>6</w:t>
            </w:r>
            <w:r w:rsidRPr="00B03342">
              <w:rPr>
                <w:rFonts w:ascii="Arial" w:hAnsi="Arial" w:cs="Arial"/>
                <w:lang w:eastAsia="sr-Latn-RS"/>
              </w:rPr>
              <w:t>, C</w:t>
            </w:r>
            <w:r w:rsidRPr="00B03342">
              <w:rPr>
                <w:rFonts w:ascii="Arial" w:hAnsi="Arial" w:cs="Arial"/>
                <w:vertAlign w:val="subscript"/>
                <w:lang w:eastAsia="sr-Latn-RS"/>
              </w:rPr>
              <w:t>3</w:t>
            </w:r>
            <w:r w:rsidRPr="00B03342">
              <w:rPr>
                <w:rFonts w:ascii="Arial" w:hAnsi="Arial" w:cs="Arial"/>
                <w:lang w:eastAsia="sr-Latn-RS"/>
              </w:rPr>
              <w:t>H</w:t>
            </w:r>
            <w:r w:rsidRPr="00B03342">
              <w:rPr>
                <w:rFonts w:ascii="Arial" w:hAnsi="Arial" w:cs="Arial"/>
                <w:vertAlign w:val="subscript"/>
                <w:lang w:eastAsia="sr-Latn-RS"/>
              </w:rPr>
              <w:t>8</w:t>
            </w:r>
            <w:r w:rsidRPr="00B03342">
              <w:rPr>
                <w:rFonts w:ascii="Arial" w:hAnsi="Arial" w:cs="Arial"/>
                <w:lang w:eastAsia="sr-Latn-RS"/>
              </w:rPr>
              <w:t>, NO, NO</w:t>
            </w:r>
            <w:r w:rsidRPr="00B03342">
              <w:rPr>
                <w:rFonts w:ascii="Arial" w:hAnsi="Arial" w:cs="Arial"/>
                <w:vertAlign w:val="subscript"/>
                <w:lang w:eastAsia="sr-Latn-RS"/>
              </w:rPr>
              <w:t>2</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поливинилфлуорид (PVF) (</w:t>
            </w:r>
            <w:r w:rsidRPr="00B03342">
              <w:rPr>
                <w:rFonts w:ascii="Arial" w:hAnsi="Arial" w:cs="Arial"/>
                <w:vertAlign w:val="superscript"/>
                <w:lang w:eastAsia="sr-Latn-RS"/>
              </w:rPr>
              <w:t>3</w:t>
            </w:r>
            <w:r w:rsidRPr="00B03342">
              <w:rPr>
                <w:rFonts w:ascii="Arial" w:hAnsi="Arial" w:cs="Arial"/>
                <w:lang w:eastAsia="sr-Latn-RS"/>
              </w:rPr>
              <w:t>), на пример Tedlar™, поливинилиденфлуорид (</w:t>
            </w:r>
            <w:r w:rsidRPr="00B03342">
              <w:rPr>
                <w:rFonts w:ascii="Arial" w:hAnsi="Arial" w:cs="Arial"/>
                <w:vertAlign w:val="superscript"/>
                <w:lang w:eastAsia="sr-Latn-RS"/>
              </w:rPr>
              <w:t>3</w:t>
            </w:r>
            <w:r w:rsidRPr="00B03342">
              <w:rPr>
                <w:rFonts w:ascii="Arial" w:hAnsi="Arial" w:cs="Arial"/>
                <w:lang w:eastAsia="sr-Latn-RS"/>
              </w:rPr>
              <w:t>), на пример Kynar™, политетрафлуоретилен (</w:t>
            </w:r>
            <w:r w:rsidRPr="00B03342">
              <w:rPr>
                <w:rFonts w:ascii="Arial" w:hAnsi="Arial" w:cs="Arial"/>
                <w:vertAlign w:val="superscript"/>
                <w:lang w:eastAsia="sr-Latn-RS"/>
              </w:rPr>
              <w:t>4</w:t>
            </w:r>
            <w:r w:rsidRPr="00B03342">
              <w:rPr>
                <w:rFonts w:ascii="Arial" w:hAnsi="Arial" w:cs="Arial"/>
                <w:lang w:eastAsia="sr-Latn-RS"/>
              </w:rPr>
              <w:t>), на пример Teflon™, или нерђајући челик (</w:t>
            </w:r>
            <w:r w:rsidRPr="00B03342">
              <w:rPr>
                <w:rFonts w:ascii="Arial" w:hAnsi="Arial" w:cs="Arial"/>
                <w:vertAlign w:val="superscript"/>
                <w:lang w:eastAsia="sr-Latn-RS"/>
              </w:rPr>
              <w:t>4</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политетрафлуоретилен (</w:t>
            </w:r>
            <w:r w:rsidRPr="00B03342">
              <w:rPr>
                <w:rFonts w:ascii="Arial" w:hAnsi="Arial" w:cs="Arial"/>
                <w:vertAlign w:val="superscript"/>
                <w:lang w:eastAsia="sr-Latn-RS"/>
              </w:rPr>
              <w:t>5</w:t>
            </w:r>
            <w:r w:rsidRPr="00B03342">
              <w:rPr>
                <w:rFonts w:ascii="Arial" w:hAnsi="Arial" w:cs="Arial"/>
                <w:lang w:eastAsia="sr-Latn-RS"/>
              </w:rPr>
              <w:t>) или нерђајући челик (</w:t>
            </w:r>
            <w:r w:rsidRPr="00B03342">
              <w:rPr>
                <w:rFonts w:ascii="Arial" w:hAnsi="Arial" w:cs="Arial"/>
                <w:vertAlign w:val="superscript"/>
                <w:lang w:eastAsia="sr-Latn-RS"/>
              </w:rPr>
              <w:t>5</w:t>
            </w:r>
            <w:r w:rsidRPr="00B03342">
              <w:rPr>
                <w:rFonts w:ascii="Arial" w:hAnsi="Arial" w:cs="Arial"/>
                <w:lang w:eastAsia="sr-Latn-RS"/>
              </w:rPr>
              <w:t>)</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 Узорковање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9.3.3.1. Сонде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Употребљавају се сонде за узорковање PM-а с једним отвором на крају. Сонде за узорковање PM-а морају бити усмерене директно према току.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Сонда за узорковање PM-а може се заштитити покривачем који је у складу са захтевима на слици 6.8. овог прилога. У том се случају не употребљава предкласификатор описан у тачки 9.3.3.3.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6.8. Шематски приказ сонде за узорковање са стожастим предкласификатором</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3E8EC65" wp14:editId="59C1BA8D">
            <wp:extent cx="5057140" cy="1017905"/>
            <wp:effectExtent l="0" t="0" r="0" b="0"/>
            <wp:docPr id="254" name="Picture 254" descr="Technical drawing of a cylindrical object with a conical tip, showing top and side views with dimensions and angular measurem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echnical drawing of a cylindrical object with a conical tip, showing top and side views with dimensions and angular measurements.&#10;&#10;Description generated by A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7140" cy="101790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Пресек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9.3.3.2. Преносни водови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температурне разлике између преносних водова и састојака издувних гасова свеле на најмању меру, препоручују се изоловани или загрејани преносни водови или загрејано кућиште. Употребљавају се преносни водови који су инертни у односу на PM и имају електрично водљиве унутрашње површине. Препоручује се употреба преносних водова за PM од нерђајућег челика; било који други материјал мора имати једнак учинак при узорковању као нерђајући челик. Унутарња површина преносних водова за PM мора бити уземљена.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9.3.3.3. Предкласификатор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Допуштена је употреба предкласификатора PM-а за уклањање честица великог проноса који је уграђен у систем за разређивање непосредно испред држача филтера. Допуштена је употреба само једног предкласификатора. Ако се употребљава сонда са стожастим врхом (видети слику 6.8. овог прилога), забрањена је употреба предкласификатора.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Предкласификатор PM-а може бити инерцијски импактор или циклонски сепаратор. Мора бити израђен од нерђајућег челика. Предкласификатор мора имати номиналну спецификацију да уклања минимално 50 % PM-а аеродинамичког проноса од 10 μm и не више од 1 % PM-а аеродинамичког проноса од 1 μm у целом распону брзина протока за које се употребљава. Излаз предкласификатора мора се извести с могућношћу заобилажења било којег филтера за узорковање PM-а тако да се проток предкласификатора може стабилизовати пре почетка испитивања. Филтер за узорковање PM-а мора бити постављен највише 75 cm иза излаза предкласификатора.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 Филтер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Разређени издувни гас мора се узорковати филтером који испуњава захтеве наведене у тач. од 9.3.3.4.1. до 9.3.3.4.4. овог прилога током испитног редоследа.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9.3.3.4.1. Спецификације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 типови филтера морају имати ефикасност прикупљања од најмање 99,7 %. За испуњење тог захтева могу се искористити произвођачева мерења филтера за узорковање која се одражавају у номиналним вредностима које он наведе. Филтерски материјал морају бити: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стаклена влакна пресвучена флуороугљеником (PTFE);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мембрана од флуороугљеника (PTFE).</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очекивана нето маса PM-а на филтеру премашује 400 μg, може се употребити филтер с минималном почетном ефикасности прикупљања од 98 %.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9.3.3.4.2. Величина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Номинални пронос филтера мора бити 46,50 mm ± 0,6 mm (минимални радни пронос од 37 mm). Филтери већих проноса могу се употребљавати уз претходно одобрење хомологацијског тела. Препоручује се пропорционалност између филтера и радног подручја.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9.3.3.4.3. Контрола разређивања и температуре узорака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Узорци PM-а морају се разређивати минимално једном испред преносних водова ако је реч о CVS систему те иза њих ако је реч о PFD систему (видети тачку 9.3.3.2. овог прилога о преносним водовима). Температура узорка мора се одржавати унутар распона од 320 ± 5 К (47 ± 5 °С), како је измерено било где унутар 200 mm испред или 200 mm иза филтерских медија за PM. Узорак PM-а требало би загревати или хладити понајпре при условима разређивања наведенима у тачки 9.2.1.(а)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9.3.3.4.4. Брзина дотока у филтер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дотока у филтер мора бити између 0,90 и 1,00 м/с, уз мање од 5 % забележених вредности протока изнад тог распона. Ако укупна маса PM-а премашује 400 μg, брзина дотока у филтер може се смањити. Брзина дотока у филтер мора се мерити као волуметријска брзина протока узорка при притиску испред филтера и температури површине филтера подељена с изложеном површином филтера. Притисак у издувној цеви или тунела CVS-а употребљава се за притисак иза филтера ако је пад притисака кроз склоп за узорковање PM-а до филтера мањи од 2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9.3.3.4.5. Држач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минимизовало вртложно таложење те како би се PM равнодносно таложио на филтер, употребљава се дивергентни угао стошца од 12,5° (од средишта) за прелаз од унутрашњег проноса преносног вода до изложеног проноса површине филтера. За тај се прелаз мора употребити нерђајући челик.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 Околине за стабилизацију и мерење PM-а за гравиметријску анализу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9.3.4.1. Околина за гравиметријску анализу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одељку описују две околине за стабилизацију и мерење PM-а за гравиметријску анализу: околина за стабилизацију PM-а, у којој се филтери похрањују пре мерења, и околина за мерење, у којој је смештена вага. Те две околине могу бити у заједничком простору.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Околине за стабилизацију и мерење не смеју бити изложене материјама које загађују околину, попут прашине, аеросола или полуиспаривих материјала који могу контаминирати узорке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9.3.4.2. Чистоћа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Чистоћа околине за стабилизацију PM-а верификује се помоћу референтних филтер мора се проверити како је описано у тачки 8.1.12.1.4.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9.3.4.3. Температура коморе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Температура коморе (или просторе) у којој се филтери честица кондиционирају и важу мора се одржавати унутар 295 К ± 1 К (22 °C ± 1 °C) током сваког кондиционирања и мерења. Влажност се мора одржавати на тачки рошења од 282,5 ± 1 К (9,5 °C ± 1 °C) и релативној влажности од 45 ± 8 %. Ако су околине за стабилизацију и мерење одвојене, температура околине за стабилизацију мора се одржавати у распону од 295 ± 3 К (22 °C ± 3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9.3.4.4. Верификација околних услова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употреби мерних инструмената који одговарају спецификацијама из тачке 9.4. морају се проверити следећи услови околине: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бележе се тачка рошења и температура околине. Добијене вредности употребљавају се за утврђивање јесу ли околине за мерење и стабилизацију биле унутар одступања наведених у тачки 9.3.4.3. овог прилога најмање 60 минута пре мерења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атмосферски притисак мора се континуирано бележити унутар околине за мерење. Прихватљива је алтернатива употреба барометра који мери атмосферски притисак изван околине мерења ако се може осигурати да је атмосферски притисак код ваге увек унутар ± 100 Pa заједничког атмосферског притисака. Сваки пут кад се мери PM мора се омогућити бележење актуелног атмосферског притисака. Та се вредност употребљава за прорачунавање вредности корекције филтера за узорковање PM-а за узгон из тачке 8.1.13.2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9.3.4.5. Инсталација ваге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Вага се мора инсталирати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поставља се на платформу с изолацијом против вибрација ради заштите од спољне буке и вибрација;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заштићује се од конвекцијског протока ваздуха уземљеном антистатичком заштитом од промаје.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9.3.4.6. Статички електрични набој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Статички електрични набој у околини ваге мора се минимизирати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вага је електрично уземљена;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узорцима PM-а рукује ручно, морају се употребљавати пинцете од нерђајућег челика;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пинцете морају бити уземљене траком за уземљење или се руковаоц мора осигурати трака за уземљење тако да трака има исто уземљење као и вага;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 се осигурати неутрализатор статичког електрицитета који је електрично уземљен заједно с вагом како би се уклонио статички набој с узорака PM-а.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 Мерни инструменти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9.4.1.1. Опсег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овој се тачки наводе мерни инструменти и с њима повезани захтеви за систем који се односе на испитивање емисије. То укључује лабораторијске инструменте за мерење параметара мотора, услова околине, параметара повезаних с протоком и концентрације емисија (неразређених или разређених).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9.4.1.2. Типови инструмената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Сваки инструмент споменут у овој уредби мора се употребљавати у складу с описом у овој уредби (видети табелу 6.5. овог прилога за мерне величине тих инструмената). Сваки пута кад се инструмент споменут у овој уредбе употреби на начин који није наведен или се уместо њега употреби неки други инструмент, примењују се захтеви из одредаба о еквивалентности како је наведено у тачки 5.1.1 овог прилога. Ако је за одређено мерење наведено више од једног инструмента, после употребе ће хомологацијско тело означити један од тих инструмената као референци за доказивање да је алтернативни поступак еквивалентан специфицираном поступку.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9.4.1.3. Редундантни системи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Подаци добијени од више инструмената за прорачунавање резултата појединачног испитивања могу се употребљавати код свих мерних инструмената описаних у овој тачки уз претходно одобрење хомологацијског тела. Тај се захтев примењује без обзира на то употребљавају ли се мерења у обрачунима или 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9.4.2. Бележење и контрола података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Испитни систем мора моћи ажурирати податке, бележити податке и контролисати системе повезане с наредбом руковаоца, динамометром, опремом за узорковање и мерним инструментима. Морају се употребљавати прикупљање података и контролни системи који могу бележити на одређеним минималним фреквенцијама, како је приказано у табели 6.7. (ова се табела не односи на NRSC с дискретним начинима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6.7. Бележење података и минималне фреквенције контроле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74"/>
        <w:gridCol w:w="4273"/>
        <w:gridCol w:w="2162"/>
        <w:gridCol w:w="209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Примењиви Одељак испитног протокола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Измерене вредности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фреквенција наредби и контроле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фреквенција бележења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и закретни момент при дијаграму са степеним променама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средња вредност по степену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и закретни момент при дијаграму с континуираним порастом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7.8.3.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Референтне и одзивне брзине и закретни моменти динамичког радног циклуса (NRTC и LSI-NRTC)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Референтне и одзивне брзине и закретни моменти NRSC-a с дискретним начинима рада и RMC-a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Континуиране концентрације неразређеног гаса у анализатору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Континуиране концентрације разређеног гаса у анализатору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Групне концентрације неразређеног или разређеног гаса у анализатору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средња вредност по испитном интервалу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протока разређеног издувног гаса из CVS-а с измењивачем топлоте испред места мерења протока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протока разређеног издувног гаса из CVS-а без измењивача топлоте испред места мерења протока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протока улазног ваздуха или издувног гаса (за неразређено динамичко мерење)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Ваздух за разређивање ако се активно контролише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узорка из CVS-а с измењивачем топлоте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8.2.1.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узорка из CVS-а без измењивача топлоте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9.4.3. Спецификације радног учинка за мерне инструменте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9.4.3.1. Преглед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испитивања као целина мора бити у складу са свим примењивим критеријумима умеравања, верификације и валидације испитивања наведенима у тачки 8.1. овог прилога, укључујући захтеве у погледу провере линеарности из тач. 8.1.4. и 8.2. овог прилога. Инструменти морају одговарати спецификацијама у табели 6.7. за све распоне који се употребљавају за испитивање. Надаље, мора се чувати сва документација добијена од произвођача инструмената која показује да инструменти одговарају спецификацијама у табели 6.7.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9.4.3.2.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6.8. овог прилога приказује спецификације претворника закретног момента, брзине и притисака, сензора температуре и тачке рошења те осталих инструмената. Целокупни систем за мерење одређене физичке и/или хемијске количине мора задовољити на верификацији линеарности из тачке 8.1.4. овог прилога. За мерења гасовитих емисија могу се употребљавати анализатори који имају компензацијске алгоритме који су у функцији других измерених гасовитих компоненти и карактеристика горива за конкретно испитивање мотора. Сваки компензацијски алгоритам мора омогућавати само компензацију одступања, а да притом не утиче ни на један добитак (тј. не ствара системску грешку).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6.8. Препоручене спецификације радне способности мерних инструмената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96"/>
        <w:gridCol w:w="1423"/>
        <w:gridCol w:w="1352"/>
        <w:gridCol w:w="2107"/>
        <w:gridCol w:w="920"/>
        <w:gridCol w:w="130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Мерни инструмент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Симбол измерене количине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Потпуни систем</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пораста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Фреквенција ажурирања бележења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Тачност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Поновљивост (</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Претварач брзине мотора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0,5 % maks.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0,25 % maks.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Претварач закретног момента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maks.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0,5 % maks.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Мерач протока горива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(тотализатор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s (није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 (није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1,5 % maks.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0,75 % maks.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Мерач укупног разређеног издувног гаса (CVS)</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(с измењивачем топлоте испред мерача)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s</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(5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1,5 % maks.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0,75 % maks.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Мерачи протока ваздуха за разређивање, улазног ваздуха, издувног гаса и узорка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средње вредности при 1 Hz узорака при 5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1,5 % maks.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0,75 % maks.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Континуирани анализатор неразређеног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2,0 % изм.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изм.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Континуирани анализатор разређеног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2,0 % изм.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изм.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Континуирани анализатор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2,0 % изм.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изм.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Групни анализатор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2,0 % изм.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изм.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Гравиметријска вага PM-a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видети 9.4.11.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 μg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Инерцијска вага PM-a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2,0 %.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1,0 % pt. или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1,0 % изм.</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9.4.4. Мерење параметара мотора и околних услова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9.4.4.1. Сензори брзине обртања и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9.4.4.1.1. Примена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Мерни инструменти за улазне и излазне вредности рада за време рада мотора морају одговарати спецификацијама из ове тачке. Препоручују се сензори, претворници и мерачи који одговарају спецификацијама из табеле 6.8 овог прилога. Целокупни системи за мерење улазних и излазних вредности рада морају задовољавати верификације линеарности у тачки 8.1.4.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9.4.4.1.2. Рад вратила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Рад и снага рачунају се на основу излазних вредности претворника закретног момента и брзине обртања у складу с тачком 9.4.4.1. овог прилога. Целокупни системи за мерење брзине и закретног момента морају задовољавати на умеравању и верификацијама из тач. 8.1.7. и 8.1.4.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Закретни момент проузрочен инерцијом саставних делова за убрзавање и успоравање спојених на замашњак, као што су погонско вратило и ротор динамоментра компензује се према потреби на основу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9.4.4.2. Претворници притисака, сензори температуре и сензори тачке рошења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системи за мерење притисака, температуре и тачке рошења морају задовољити на умеравању из тачке 8.1.7.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Претворници притисака смештају се у околину регулисане температуре или компензују промене температуре у очекиваном радном подручју. Материјали претворника морају бити компатибилни с течношћу која се мери.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 Мерења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сваку врсту мерача протока (горива, улазног ваздуха, разређеног издува, узорка), проток се према потреби кондиционира како би се спречило да струјања, вртлози, циркулирајући протоци или пулсације протока утичу на тачност или поновљивост мерача. За неке мераче то се може постићи довољном дужином равне цеви (попут дужине једнаке најмање 10 проноса цеви) или посебно изведеним завојима цеви, ребрима за изравнавање, пригушницама (или пнеуматским пригушивачима пулсација за мерач протока горива) како би се испред мерача осигурао стабилан и предвидљив профил брзине.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9.4.5.1. Мерач протока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 за мерење протока горива мора задовољити на умеравању из тачке 8.1.8.1. овог прилога. У сваком мерењу протока горива мора се узети у обзир свако гориво које заобиђе мотор или се врати из мотора у спремник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9.4.5.2. Мерач протока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 за мерење протока улазног ваздуха мора задовољити на умеравању из тачке 8.1.8.2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9.4.5.3. Мерач протока неразређеног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9.4.5.3.1.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 за мерење протока неразређеног издувног гаса мора испуњавати захтеве у погледу линеарности из тачке 8.1.4 овог прилога. Сваки мерач неразређеног издува изводи се тако да на одговарајући начин компензује промене у термодинамичком, текућем и композицијском стању неразређеног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9.4.5.3.2. Време одзива мерача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систем за разређивање делимичног протока регулисао тако да издваја пропорционални узорак неразређеног издувног гаса, захтева се да време одзива мерача протока буде брже од времена наведеног у табели 6.8 овог прилога. За системе разређивања делимичног протока с умреженим управљањем, време одзива мерача протока мора одговарати спецификацијама из тачке 8.2.1.2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9.4.5.3.3. Хлађење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 се тачка не примењује на хлађење издувног гаса због изведбе мотора, што обухвата, но није ограничено на водом хлађене издувне гране или турбодувача.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Хлађење издувног гаса испред мерача протока допуштено је уз следећа ограничења: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PM се не сме узорковати за хлађења;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због хлађења температуре издувног гаса изнад 475 К (202 °C) смање на испод 453 К (180 °C), HC се не сме узорковати иза хлађења;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ако хлађење проузроковати кондензацију воде, NOx не сме се узорковати иза хлађења осим ако хладњак не задовољава на верификацији учинка из тачке 8.1.11.4.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ако хлађење проузроковати кондензацију воде пре неголи проток дође до мерача протока, тачка рошења T dewi притисак p total мере се на улазу мерача протока. Те се вредности употребљавају у обрачунима емисије у складу с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9.4.5.4. Мерачи ваздуха за разређивање и протока разређеног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9.4.5.4.1. Примена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Тренутне брзине протока разређеног издувног гаса или укупни проток разређеног издувног гаса у испитном интервалу утврђује се мерачем протока разређеног издувног гаса. Брзине протока неразређеног издувног гаса или укупни проток неразређеног издувног гаса у испитном интервалу могу се обрачунати из разлике између мерача протока разређеног издувног гаса и мерача разређеног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9.4.5.4.2.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 за мерење протока разређеног издувног гаса мора задовољавати на умеравању и верификацији из тач. 8.1.8.4. и 8.1.8.5 овог прилога. Могу се употребити следећи мерачи: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(а) за CVS укупног протока разређеног издувног гаса могу се употребљавати CFV или неколико CFV-а постављених паралелно, волуметричка црпка (PDP), подзвучна Вентуријева цев (SSV) или ултразвучни мерач протока (UFM). У комбинацији с </w:t>
      </w:r>
      <w:r w:rsidRPr="00B03342">
        <w:rPr>
          <w:rFonts w:ascii="Arial" w:hAnsi="Arial" w:cs="Arial"/>
          <w:color w:val="000000"/>
          <w:lang w:eastAsia="sr-Latn-RS"/>
        </w:rPr>
        <w:lastRenderedPageBreak/>
        <w:t>измењивачем топлоте постављеним испред, CFV или PDP функционираће и као пасивни регулатори протока одржавањем температуре разређеног издувног гаса константном у систему CVS-а;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систем разређивања делимичног протока (PFD) може се употребљавати комбинација било којег мерача протока с било којим системом активне регулације протока како би се одржавало пропорционално узорковање састојака издувног гаса. Укупни протоком разређеног издувног гаса или проток односно протоке узорка или комбинацију тих регулација протока може се регулисати како би се одржало пропорционално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сваки други систем разређивања могу се употребљавати елемент ламинарног протока, ултразвучни мерач протока, подзвучна Вентуријева цев, CFV или више паралелно постављених CFV-а, волуметрички мерач, мерач термалне масе, Питова цев за обрачунавање средње вредности или анемометар са загрејаном жицом.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9.4.5.4.3. Хлађење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Разређени издувни гас иза разређеног мерача протока може се хладити ако се поштују следеће одредбе: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PM се не сме узорковати иза хлађења;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се због хлађења температуре издувног гаса изнад 475 К (202 °C) смање на испод 453 К (180 °C), HC се не сме узорковати иза хлађења;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ако хлађење проузроковати кондензацију воде, NOx не сме се узорковати иза хлађења осим ако хладњак не задовољи на верификацији учинка из тачке 8.1.11.4.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ако хлађење проузроковати кондензацију воде пре неголи проток дође до мерача протока, тачка рошења T dewi притисак p total мере се на улазу мерача протока. Те се вредности употребљавају у обрачунима емисије у складу с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9.4.5.5. Мерач протока узорка за групно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Мерач протока узорка употребљава се за утврђивање брзина протока узорка или укупног протока узоркованог у систему за групног узорковање у испитном интервалу. Разлика између двају мерача протока може се употребљавати за рачунање протока узорка у тунел за разређивање нпр. за мерења PM-а разређеног делимичног протока и мерење PM-а у секундарном разређеном протоку. Спецификације за мерење диференцијалног протока ради издвајања пропорционалног узорка неразређеног издувног гаса наведене су у тачки 8.1.8.6.1. овог прилога, а умеравање мерења диференцијалног протока дато је у тачки 8.1.8.6.2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Целокупни систем за мерач протока узорка мора испуњавати захтеве умеравања из тачке 8.1.8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9.4.5.6. Разделник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Разделник гаса може се употребљавати за спајање умерних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Мора се употребљавати разделник гаса који спаја гасове према спецификацијама из тачке 9.5.1. овог прилога и концентрацијама које се очекују за време испитивања. Могу се употребљавати разделници гаса с критичним протоком, с капиларном цеви или с мерачем термалне масе. Према потреби примењују се корекције вискозности (ако се не раде интерним софтвером разделника гаса) како би се на одговарајући начин осигурала правилна подела гаса. Систем разделника гаса мора проћи верификацију линеарности из тачке 8.1.4.5. овог прилога. Опционо, уређај за мешање може се проверити инструментом који је по природи линеаран, нпр. је декларисаном гасу NO с CLD-ом. Распонска вредност инструмента прилагођава се распонским гасом директно повезаним с инструментом. Разделник гаса проверава се при коришћеним поставкама, а номинална вредност упоређује се с измереном концентрацијом инструмента.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9.4.6. Мерења CO и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мерење концентрација CO и CO</w:t>
      </w:r>
      <w:r w:rsidRPr="00B03342">
        <w:rPr>
          <w:rFonts w:ascii="Arial" w:hAnsi="Arial" w:cs="Arial"/>
          <w:color w:val="000000"/>
          <w:vertAlign w:val="subscript"/>
          <w:lang w:eastAsia="sr-Latn-RS"/>
        </w:rPr>
        <w:t>2</w:t>
      </w:r>
      <w:r w:rsidRPr="00B03342">
        <w:rPr>
          <w:rFonts w:ascii="Arial" w:hAnsi="Arial" w:cs="Arial"/>
          <w:color w:val="000000"/>
          <w:lang w:eastAsia="sr-Latn-RS"/>
        </w:rPr>
        <w:t> у неразређеном или разређеном издувном гасу при групном или континуираном узорковању мора се употребљавати недисперзивни инфрацрвени (NDIR)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заснован на NDIR-у мора испуњавати захтеве у погледу умеравања и верификације из тачке 8.1.9.1. или тачке 8.1.9.2. овог прилога, према 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 Мерења угљо-водоника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9.4.7.1. Пламенојонизацијски детектор (FID)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9.4.7.1.1. Примена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мерење концентрација угљо-водоника у неразређеном или разређеном издувном гасу за групно или континуирано узорковање употребљава се загрејани FID. Концентрације угљо-водоника одређују се на бази броја угљеника од један, C</w:t>
      </w:r>
      <w:r w:rsidRPr="00B03342">
        <w:rPr>
          <w:rFonts w:ascii="Arial" w:hAnsi="Arial" w:cs="Arial"/>
          <w:color w:val="000000"/>
          <w:vertAlign w:val="subscript"/>
          <w:lang w:eastAsia="sr-Latn-RS"/>
        </w:rPr>
        <w:t>1</w:t>
      </w:r>
      <w:r w:rsidRPr="00B03342">
        <w:rPr>
          <w:rFonts w:ascii="Arial" w:hAnsi="Arial" w:cs="Arial"/>
          <w:color w:val="000000"/>
          <w:lang w:eastAsia="sr-Latn-RS"/>
        </w:rPr>
        <w:t>. Загрејани анализатори FID-а морају одржавати темепературу свих површина које су изложене емисијама од 464 ± 11 К (191 ± 11 °C). Опционо, за моторе на LPG и природни гас те моторе с паљењем електричном варницом анализатор угљо-водоника може припадати типу незагрејаног FID-а.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9.4.7.1.2.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базиран на FID-у за мерење ТHC-а мора задовољавати на свим верификацијама за мерење угљо-водоника из тачке 8.1.10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9.4.7.1.3. Гориво FID-а и ваздух горионика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Гориво FID-а и ваздуха горионика морају задовољавати спецификације из тачке 9.5.1. овог прилога. Гориво FID-а и ваздух горионика не смеју се мешати пре уласка у анализатор FID-а како би се осигурало да анализатор FID-а делује с дифузијским пламеном, а не претходно измешаним пламеном.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9.4.7.1.4.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9.4.7.1.5.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9.4.7.2. Резервисано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 Мерења NOx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мерење NOx одређена су два мерна инструмента, а сваки се инструмент може употребљавати ако испуњава критеријуме наведене у тачки 9.4.8.1. овог прилога, односно тачке 9.4.8.2. овог прилога. Као референтни поступак за упоређивање са сваким предложеним алтернативним поступком према тачки 5.1.1. овог прилога употребљава се хемилуминисцентни детектор.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9.4.8.1. Хемилуминисцентни детектор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9.4.8.1.1. Примена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Хемилуминисцентни детектор (CLD) у пару с претварачем NO</w:t>
      </w:r>
      <w:r w:rsidRPr="00B03342">
        <w:rPr>
          <w:rFonts w:ascii="Arial" w:hAnsi="Arial" w:cs="Arial"/>
          <w:color w:val="000000"/>
          <w:vertAlign w:val="subscript"/>
          <w:lang w:eastAsia="sr-Latn-RS"/>
        </w:rPr>
        <w:t>2</w:t>
      </w:r>
      <w:r w:rsidRPr="00B03342">
        <w:rPr>
          <w:rFonts w:ascii="Arial" w:hAnsi="Arial" w:cs="Arial"/>
          <w:color w:val="000000"/>
          <w:lang w:eastAsia="sr-Latn-RS"/>
        </w:rPr>
        <w:t> у NO употребљава се за мерење концентрације NOx у неразређеном или разређеном издувном гасу при групном или континуираном узорковању.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9.4.8.1.2.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базиран на CLD-у мора задовољити на верификацији гушења из тачке 8.1.11.1 овог прилога. Може се употребљавати загрејани или незагрејани CLD, а и CLD који функционира при атмосферском притиску и под вакуумом.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9.4.8.1.3.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Унутрашњи или спољни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задовољава на верификацији из тачке 8.1.11.5. поставља се иза CLD-а, а изводи се с премосницом како би се олакшала та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9.4.8.1.4. Учинци влажности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Све температуре CLD-а морају се одржавати како би се спречила кондензација воде. За уклањање влажности из узорка иза CLD-а употребљава се једна од следећих конфигурација: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CLD спојен иза уређаја за сушење или хладњака који је иза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пролази верификацију из тачке 8.1.11.5.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CLD спојен иза уређаја за сушење или топлог хладњака који пролази верификацију из тачке 8.1.11.4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9.4.8.1.5. Време одзива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побољшање времена одзива CLD-а може се употребљавати загрејани CLD.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9.4.8.2. Недисперзивни ултраљубичасти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9.4.8.2.1. Примена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Недисперзивни ултраљубичасти (NDUV) анализатор употребљава се за мерење концентрације NOx у неразређеном или разређеном издувном гасу при групном или континуираном узорковању.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9.4.8.2.2. Захтеви за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базиран на NDUV-у мора задовољавати на верификацији из тачке 8.1.11.3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9.4.8.2.3.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NDUV анализатор мери само НО, унутрашњи или спољни претварач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задовољава на верификацији из тачке 8.1.11.5. овог прилога. поставља се иза NDUV анализатора. Претварач се изводи с премосником како би се олакшала та верификација.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9.4.8.2.4. Учинци влажности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Температура NDUV-а мора се одржавати како би се спречила кондензација воде, осим ако се не употребљава једна од следећих конфигурација: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NDUV спојен иза уређаја за сушење или хладњака који је иза претварача NO</w:t>
      </w:r>
      <w:r w:rsidRPr="00B03342">
        <w:rPr>
          <w:rFonts w:ascii="Arial" w:hAnsi="Arial" w:cs="Arial"/>
          <w:color w:val="000000"/>
          <w:vertAlign w:val="subscript"/>
          <w:lang w:eastAsia="sr-Latn-RS"/>
        </w:rPr>
        <w:t>2</w:t>
      </w:r>
      <w:r w:rsidRPr="00B03342">
        <w:rPr>
          <w:rFonts w:ascii="Arial" w:hAnsi="Arial" w:cs="Arial"/>
          <w:color w:val="000000"/>
          <w:lang w:eastAsia="sr-Latn-RS"/>
        </w:rPr>
        <w:t> у NO који задовољава на верификацији из тачке 8.1.11.5.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NDUV спојен иза сваког уређаја за сушење или топлог хладњака који задовољава на верификацији из тачке 8.1.11.4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9.4.9. Мерења О</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мерење концентрације О</w:t>
      </w:r>
      <w:r w:rsidRPr="00B03342">
        <w:rPr>
          <w:rFonts w:ascii="Arial" w:hAnsi="Arial" w:cs="Arial"/>
          <w:color w:val="000000"/>
          <w:vertAlign w:val="subscript"/>
          <w:lang w:eastAsia="sr-Latn-RS"/>
        </w:rPr>
        <w:t>2</w:t>
      </w:r>
      <w:r w:rsidRPr="00B03342">
        <w:rPr>
          <w:rFonts w:ascii="Arial" w:hAnsi="Arial" w:cs="Arial"/>
          <w:color w:val="000000"/>
          <w:lang w:eastAsia="sr-Latn-RS"/>
        </w:rPr>
        <w:t> у неразређеном или разређеном издувном гасу при групном или континуираном узорковању употребљава се анализатор с парамагнетском детекцијом (PMD) или магнетскопнеуматска детекција (MPD).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9.4.10. Мерења односа ваздуха и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мерење односа ваздуха и горива у неразређеном издувном гасу за континуирано узорковање употребљава се цирконски (ZrO</w:t>
      </w:r>
      <w:r w:rsidRPr="00B03342">
        <w:rPr>
          <w:rFonts w:ascii="Arial" w:hAnsi="Arial" w:cs="Arial"/>
          <w:color w:val="000000"/>
          <w:vertAlign w:val="subscript"/>
          <w:lang w:eastAsia="sr-Latn-RS"/>
        </w:rPr>
        <w:t>2</w:t>
      </w:r>
      <w:r w:rsidRPr="00B03342">
        <w:rPr>
          <w:rFonts w:ascii="Arial" w:hAnsi="Arial" w:cs="Arial"/>
          <w:color w:val="000000"/>
          <w:lang w:eastAsia="sr-Latn-RS"/>
        </w:rPr>
        <w:t>) анализатор. За обрачун брзине протока издувних гасова у складу с Прилогом 10 ове уредбе могу се употребљавати мерења О</w:t>
      </w:r>
      <w:r w:rsidRPr="00B03342">
        <w:rPr>
          <w:rFonts w:ascii="Arial" w:hAnsi="Arial" w:cs="Arial"/>
          <w:color w:val="000000"/>
          <w:vertAlign w:val="subscript"/>
          <w:lang w:eastAsia="sr-Latn-RS"/>
        </w:rPr>
        <w:t>2</w:t>
      </w:r>
      <w:r w:rsidRPr="00B03342">
        <w:rPr>
          <w:rFonts w:ascii="Arial" w:hAnsi="Arial" w:cs="Arial"/>
          <w:color w:val="000000"/>
          <w:lang w:eastAsia="sr-Latn-RS"/>
        </w:rPr>
        <w:t> с мерењима улазног ваздуха или протока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9.4.11. Мерења PM-а гравиметријском вагом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За мерење нето PM-а групљеног на филтерском медију за узорковање мора се употребљавати вага.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Разлучивост ваге најмање мора бити једнака или мања од поновљивости од 0,5 микрограма препоручене у табели 6.8 овог прилога. Ако вага има интерне умерне утеге за рутинско распонско умеравање и верификације линеарности, умерни утези морају одговарати спецификацијама из тачке 9.5.2. овог прилога. Мери се на месту на којем је постављена на оптимално време таложења и стабилност.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9.4.12. Мерења амонијака (NH</w:t>
      </w:r>
      <w:r w:rsidRPr="00B03342">
        <w:rPr>
          <w:rFonts w:ascii="Arial" w:hAnsi="Arial" w:cs="Arial"/>
          <w:color w:val="000000"/>
          <w:vertAlign w:val="sub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Фоуриеров трансформацијски инфрацрвени анализатор (FTIR), NDUV или ласерски инфрацрвени анализатор могу се употребљавати у складу с Додатком 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 Аналитички гасови и еталони масе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9.5.1. Аналитички гасови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Аналитички гасови морају одговарати спецификацијама тачности и чистоће из овог Одељка.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9.5.1.1. Спецификације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обзир се морају узимати следеће спецификације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прочишћени гасови употребљавају се за спајање с умерним гасовима и прилагођавање мерних инструмената тако да се нултим умерним еталоном добије нулти одзив. Употребљавају се гасови с контаминацијом која није већа од највеће од следећих вредности у гасној боци или на излазу генератора нултог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2 % контаминације, измерене у односу на средњу очекивану концентрацију на граничној вредности емисија. На пример, ако се очекује концентрација CО од 100,0 μmol/mol, тада би било допуштено употребљавати нулти гас који има контаминацију с CО од највише 2.000 μmol/mol;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контаминације одређене у табели 6.9. овог прилога, примењиве за мерења неразређеног или разређеног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III. контаминације одређене у табели 6.10. овог прилога, примењиве за мерења неразређеног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6.9. Граничне вредности контаминације примењиве за мерења неразређеног или разређеног протока [μmol/mol = ppm]</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22"/>
        <w:gridCol w:w="4778"/>
        <w:gridCol w:w="27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Састојак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Прочишћени синтетски ваздух (</w:t>
            </w:r>
            <w:r w:rsidRPr="00B03342">
              <w:rPr>
                <w:rFonts w:ascii="Arial" w:hAnsi="Arial" w:cs="Arial"/>
                <w:vertAlign w:val="superscript"/>
                <w:lang w:eastAsia="sr-Latn-RS"/>
              </w:rPr>
              <w:t>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Прочишћени N</w:t>
            </w:r>
            <w:r w:rsidRPr="00B03342">
              <w:rPr>
                <w:rFonts w:ascii="Arial" w:hAnsi="Arial" w:cs="Arial"/>
                <w:vertAlign w:val="subscript"/>
                <w:lang w:eastAsia="sr-Latn-RS"/>
              </w:rPr>
              <w:t>2</w:t>
            </w:r>
            <w:r w:rsidRPr="00B03342">
              <w:rPr>
                <w:rFonts w:ascii="Arial" w:hAnsi="Arial" w:cs="Arial"/>
                <w:lang w:eastAsia="sr-Latn-RS"/>
              </w:rPr>
              <w:t> (</w:t>
            </w:r>
            <w:r w:rsidRPr="00B03342">
              <w:rPr>
                <w:rFonts w:ascii="Arial" w:hAnsi="Arial" w:cs="Arial"/>
                <w:vertAlign w:val="superscript"/>
                <w:lang w:eastAsia="sr-Latn-RS"/>
              </w:rPr>
              <w:t>4</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THC (еквивалент C</w:t>
            </w:r>
            <w:r w:rsidRPr="00B03342">
              <w:rPr>
                <w:rFonts w:ascii="Arial" w:hAnsi="Arial" w:cs="Arial"/>
                <w:vertAlign w:val="sub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0,05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0,05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0,205 do 0,215 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0,02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0,02 μmol/mol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Табела 6.10. Граничне вредности контаминације примењиве за мерења неразређеног протока [μmol/mol = ppm]</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22"/>
        <w:gridCol w:w="4778"/>
        <w:gridCol w:w="27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Састојак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Прочишћени синтетски ваздух (</w:t>
            </w:r>
            <w:r w:rsidRPr="00B03342">
              <w:rPr>
                <w:rFonts w:ascii="Arial" w:hAnsi="Arial" w:cs="Arial"/>
                <w:vertAlign w:val="superscript"/>
                <w:lang w:eastAsia="sr-Latn-RS"/>
              </w:rPr>
              <w:t>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Прочишћени N</w:t>
            </w:r>
            <w:r w:rsidRPr="00B03342">
              <w:rPr>
                <w:rFonts w:ascii="Arial" w:hAnsi="Arial" w:cs="Arial"/>
                <w:vertAlign w:val="subscript"/>
                <w:lang w:eastAsia="sr-Latn-RS"/>
              </w:rPr>
              <w:t>2</w:t>
            </w:r>
            <w:r w:rsidRPr="00B03342">
              <w:rPr>
                <w:rFonts w:ascii="Arial" w:hAnsi="Arial" w:cs="Arial"/>
                <w:lang w:eastAsia="sr-Latn-RS"/>
              </w:rPr>
              <w:t> (</w:t>
            </w:r>
            <w:r w:rsidRPr="00B03342">
              <w:rPr>
                <w:rFonts w:ascii="Arial" w:hAnsi="Arial" w:cs="Arial"/>
                <w:vertAlign w:val="superscript"/>
                <w:lang w:eastAsia="sr-Latn-RS"/>
              </w:rPr>
              <w:t>5</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THC (еквивалент C</w:t>
            </w:r>
            <w:r w:rsidRPr="00B03342">
              <w:rPr>
                <w:rFonts w:ascii="Arial" w:hAnsi="Arial" w:cs="Arial"/>
                <w:vertAlign w:val="sub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400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400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0,18 do 0,21 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0,1 μmol/mol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0,1 μmol/mol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9.5.1.2. Концентрација и рок трајања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Бележе се концентрација еталона сваког умерног гаса и његов рок трајања који наведе добављач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Ни један еталон умерног гаса не сме се употребљавати након што му истекне рок трајања, осим у случајевима наведенима у ставу (б) ове тачке.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Уз претходно одобрење хомологацијског тела мерни се гасови могу поновно означити и употребити после истека рока трајања.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9.5.1.3. Пренос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Гасови се из својег извора до анализатора морају преносити саставним деловима који су предвиђени за контролу и пренос искључиво тих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9.5.2. Еталони за масу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Употребљавају се умерни утези за PM вагу који су цертифицирани као међународни и/или национални еталони следећи унутар 0,1 % несигурности. Умерне утеге може сертификовати било који умерна лабораторија која може осигурати редоследност до признатих међународних и/или националних еталона. Мора се осигурати да најлакши умерни утег нема масу већу од десетороструке масе неискоришћеног медија за узорковање PM-а. У извештају о умеравању мора бити наведена густоћа утега.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w:t>
      </w:r>
      <w:r w:rsidRPr="00B03342">
        <w:rPr>
          <w:rFonts w:ascii="Arial" w:hAnsi="Arial" w:cs="Arial"/>
          <w:color w:val="000000"/>
          <w:lang w:eastAsia="sr-Latn-RS"/>
        </w:rPr>
        <w:t>) Умеравања и верификације радите чешће у складу с упутствима произвођача мерног система и добром инжењерском проценом.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Верификација CVS-а није потребна за системе који се поклапају унутар ± 2 % на основу хемијске равнотеже угљеника или кисеоника у улазном ваздуху, гориву и разређеном издувном гасу.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w:t>
      </w:r>
      <w:r w:rsidRPr="00B03342">
        <w:rPr>
          <w:rFonts w:ascii="Arial" w:hAnsi="Arial" w:cs="Arial"/>
          <w:color w:val="000000"/>
          <w:lang w:eastAsia="sr-Latn-RS"/>
        </w:rPr>
        <w:t>) Брзина моларног протока може се употребљавати као израз за количину уместо стандардне волуметријске брзине протока. У том се случају максимална брзина моларног протока може употребљавати уместо максималне стандардне волуметријске брзине протока у одговарајућем критерију линеарности.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Све док се у спремнику спречава кондензација воде.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До 313 К (40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До 475 К (202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При 464 ± 11 К (191 ± 11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Тачност и поновљивост утврђују се с истим прикупљеним подацима како је описано у тачки 9.4.3. овог прилога и на основу апсолутних вредности. Ознака „pt.” односи се на укупну средњу вредност очекивану на граничној вредности емисије; „maks.” се односи на вршну вредност очекивану на граничној вредности емисије за време радног циклуса, не максимум распона инструмента; „izm.” се односи на стварни просек током радног циклуса.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Ти нивои чистоће не морају бити међународно и/или национално признати следећи стандарди.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Ти нивои чистоће не морају бити међународно и/или национално признати следећи еталони.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Опрема за мерење емисија броја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Поступак мерног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броја честица мере се континуираним узорковањем из система за разређивање делимичног протока, како је описано у тачки 9.2.3. овог прилога, или из система за разређивање пуног протока, како је описано у тачки 9.2.2.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1.1.1. Филтерација разређивача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Разређивач који се употребљава за примарно и, ако је примењиво, секундарно разређивање издувног гаса у систему за разређивање мора проћи кроз филтере који испуњавају захтеве за HEPA филтере из члана 2. става 23. ове уредбе. Опционо се разређивач може пропустити кроз филтер с активним угљеном пре проласка кроз HEPA филтер како би се смањиле и стабилизујеле концентрације угљо-водоника у разређивачу. Препоручује се сместити додатни филтер крупних честица испред HEPA филтера и иза филтера с активним угљем, ако се употребљава.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Компензација за протока узорка за број честица – системи за разређивање пуног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Издвојени масени проток (филтрирани) враћа се у систем за разређивање ради компензације за масени проток издвојен из система за разређивање за узорковање броја честица. Осим тога, укупан масени проток у систему за разређивање може се математички исправити за издвојени проток узорка броја честица. Ако укупни масени проток издвојен из система за разређивање за збир узорковања броја честица и узорковања масе честица износи мање од 0,5 % укупног протока разређеног издувног гаса у тунелу за разређивање, ова се исправка, или повраћај протока, може занемарити.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Компензација протока узрока броја честица – системи за разређивање делимичног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1.3.1. За системе за разређивање делимичног протока масени проток издвојен из система за разређивање за узорковање броја честица надокнађује се контролишењем пропорционалности узорковања. То се може постићи увођењем протока узорка броја честица натраг у систем за разређивање иза уређаја за мерење протока или математичким исправком наведеним у тачки 1.3.2. овог прилога. У случају система за разређивање делимичног протока (типа укупног узорковања) за масени проток издвојен за узорковање броја честица коригира се и у обрачуну масе честица како је наведено у тачки 1.3.3.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1.3.2. Тренутачна брзина протока издувног гаса у систем за разређивање (qmp), која се употребљава за контролу пропорционалности узорковања, коригира се у складу с једном од следећих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се издвојени проток узорка броја честица одбаци, једначина (6-20) из тачке 8.1.8.6.1. овог прилога замењује се једначином (6-29):</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09"/>
        <w:gridCol w:w="229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lastRenderedPageBreak/>
              <w:t>q</w:t>
            </w:r>
            <w:r w:rsidRPr="00B03342">
              <w:rPr>
                <w:rFonts w:ascii="Arial" w:hAnsi="Arial" w:cs="Arial"/>
                <w:vertAlign w:val="subscript"/>
                <w:lang w:eastAsia="sr-Latn-RS"/>
              </w:rPr>
              <w:t>mp</w:t>
            </w:r>
            <w:r w:rsidRPr="00B03342">
              <w:rPr>
                <w:rFonts w:ascii="Arial" w:hAnsi="Arial" w:cs="Arial"/>
                <w:lang w:eastAsia="sr-Latn-RS"/>
              </w:rPr>
              <w:t> = q</w:t>
            </w:r>
            <w:r w:rsidRPr="00B03342">
              <w:rPr>
                <w:rFonts w:ascii="Arial" w:hAnsi="Arial" w:cs="Arial"/>
                <w:vertAlign w:val="subscript"/>
                <w:lang w:eastAsia="sr-Latn-RS"/>
              </w:rPr>
              <w:t>mdew</w:t>
            </w:r>
            <w:r w:rsidRPr="00B03342">
              <w:rPr>
                <w:rFonts w:ascii="Arial" w:hAnsi="Arial" w:cs="Arial"/>
                <w:lang w:eastAsia="sr-Latn-RS"/>
              </w:rPr>
              <w:t> – q</w:t>
            </w:r>
            <w:r w:rsidRPr="00B03342">
              <w:rPr>
                <w:rFonts w:ascii="Arial" w:hAnsi="Arial" w:cs="Arial"/>
                <w:vertAlign w:val="subscript"/>
                <w:lang w:eastAsia="sr-Latn-RS"/>
              </w:rPr>
              <w:t>mdw</w:t>
            </w:r>
            <w:r w:rsidRPr="00B03342">
              <w:rPr>
                <w:rFonts w:ascii="Arial" w:hAnsi="Arial" w:cs="Arial"/>
                <w:lang w:eastAsia="sr-Latn-RS"/>
              </w:rPr>
              <w:t> + q</w:t>
            </w:r>
            <w:r w:rsidRPr="00B03342">
              <w:rPr>
                <w:rFonts w:ascii="Arial" w:hAnsi="Arial" w:cs="Arial"/>
                <w:vertAlign w:val="subscript"/>
                <w:lang w:eastAsia="sr-Latn-RS"/>
              </w:rPr>
              <w:t>ex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32"/>
        <w:gridCol w:w="916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qm 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разређеног издувног гаса,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qm 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ваздуха за разређивање,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q ex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узорка броја честица, kg/s.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Сигнал q ex који се шаље управљачкој јединици система делимичног протока мора у сваком тренутку бити тачан унутар ± 0,1 % од qm dew и требао би се слати фреквенцијом од најмање 1 Hz;</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59"/>
        <w:gridCol w:w="194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mp</w:t>
            </w:r>
            <w:r w:rsidRPr="00B03342">
              <w:rPr>
                <w:rFonts w:ascii="Arial" w:hAnsi="Arial" w:cs="Arial"/>
                <w:lang w:eastAsia="sr-Latn-RS"/>
              </w:rPr>
              <w:t> = q</w:t>
            </w:r>
            <w:r w:rsidRPr="00B03342">
              <w:rPr>
                <w:rFonts w:ascii="Arial" w:hAnsi="Arial" w:cs="Arial"/>
                <w:vertAlign w:val="subscript"/>
                <w:lang w:eastAsia="sr-Latn-RS"/>
              </w:rPr>
              <w:t>mdew</w:t>
            </w:r>
            <w:r w:rsidRPr="00B03342">
              <w:rPr>
                <w:rFonts w:ascii="Arial" w:hAnsi="Arial" w:cs="Arial"/>
                <w:lang w:eastAsia="sr-Latn-RS"/>
              </w:rPr>
              <w:t> – q</w:t>
            </w:r>
            <w:r w:rsidRPr="00B03342">
              <w:rPr>
                <w:rFonts w:ascii="Arial" w:hAnsi="Arial" w:cs="Arial"/>
                <w:vertAlign w:val="subscript"/>
                <w:lang w:eastAsia="sr-Latn-RS"/>
              </w:rPr>
              <w:t>mdw</w:t>
            </w:r>
            <w:r w:rsidRPr="00B03342">
              <w:rPr>
                <w:rFonts w:ascii="Arial" w:hAnsi="Arial" w:cs="Arial"/>
                <w:lang w:eastAsia="sr-Latn-RS"/>
              </w:rPr>
              <w:t> + q</w:t>
            </w:r>
            <w:r w:rsidRPr="00B03342">
              <w:rPr>
                <w:rFonts w:ascii="Arial" w:hAnsi="Arial" w:cs="Arial"/>
                <w:vertAlign w:val="subscript"/>
                <w:lang w:eastAsia="sr-Latn-RS"/>
              </w:rPr>
              <w:t>ex</w:t>
            </w:r>
            <w:r w:rsidRPr="00B03342">
              <w:rPr>
                <w:rFonts w:ascii="Arial" w:hAnsi="Arial" w:cs="Arial"/>
                <w:lang w:eastAsia="sr-Latn-RS"/>
              </w:rPr>
              <w:t> – q</w:t>
            </w:r>
            <w:r w:rsidRPr="00B03342">
              <w:rPr>
                <w:rFonts w:ascii="Arial" w:hAnsi="Arial" w:cs="Arial"/>
                <w:vertAlign w:val="subscript"/>
                <w:lang w:eastAsia="sr-Latn-RS"/>
              </w:rPr>
              <w:t>sw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1"/>
        <w:gridCol w:w="996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разређеног издувног гаса,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w:t>
            </w:r>
            <w:r w:rsidRPr="00B03342">
              <w:rPr>
                <w:rFonts w:ascii="Arial" w:hAnsi="Arial" w:cs="Arial"/>
                <w:lang w:eastAsia="sr-Latn-RS"/>
              </w:rPr>
              <w:t> </w:t>
            </w:r>
            <w:r w:rsidRPr="00B03342">
              <w:rPr>
                <w:rFonts w:ascii="Arial" w:hAnsi="Arial" w:cs="Arial"/>
                <w:vertAlign w:val="sub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ваздуха за разређивање,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 </w:t>
            </w:r>
            <w:r w:rsidRPr="00B03342">
              <w:rPr>
                <w:rFonts w:ascii="Arial" w:hAnsi="Arial" w:cs="Arial"/>
                <w:vertAlign w:val="subscript"/>
                <w:lang w:eastAsia="sr-Latn-RS"/>
              </w:rPr>
              <w:t>ex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узорка броја честица,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 </w:t>
            </w:r>
            <w:r w:rsidRPr="00B03342">
              <w:rPr>
                <w:rFonts w:ascii="Arial" w:hAnsi="Arial" w:cs="Arial"/>
                <w:vertAlign w:val="subscript"/>
                <w:lang w:eastAsia="sr-Latn-RS"/>
              </w:rPr>
              <w:t>sw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који се уводи натраг у тунел за разређивање ради компензације за издвајање узорка броја честица, kg/s.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Разлика између q </w:t>
      </w:r>
      <w:r w:rsidRPr="00B03342">
        <w:rPr>
          <w:rFonts w:ascii="Arial" w:hAnsi="Arial" w:cs="Arial"/>
          <w:color w:val="000000"/>
          <w:vertAlign w:val="subscript"/>
          <w:lang w:eastAsia="sr-Latn-RS"/>
        </w:rPr>
        <w:t>ex</w:t>
      </w:r>
      <w:r w:rsidRPr="00B03342">
        <w:rPr>
          <w:rFonts w:ascii="Arial" w:hAnsi="Arial" w:cs="Arial"/>
          <w:color w:val="000000"/>
          <w:lang w:eastAsia="sr-Latn-RS"/>
        </w:rPr>
        <w:t> и q </w:t>
      </w:r>
      <w:r w:rsidRPr="00B03342">
        <w:rPr>
          <w:rFonts w:ascii="Arial" w:hAnsi="Arial" w:cs="Arial"/>
          <w:color w:val="000000"/>
          <w:vertAlign w:val="subscript"/>
          <w:lang w:eastAsia="sr-Latn-RS"/>
        </w:rPr>
        <w:t>sw</w:t>
      </w:r>
      <w:r w:rsidRPr="00B03342">
        <w:rPr>
          <w:rFonts w:ascii="Arial" w:hAnsi="Arial" w:cs="Arial"/>
          <w:color w:val="000000"/>
          <w:lang w:eastAsia="sr-Latn-RS"/>
        </w:rPr>
        <w:t> која се шаље управљачкој јединици система делимичног протока мора у сваком тренутку бити тачна унутар ± 0,1 % од q</w:t>
      </w:r>
      <w:r w:rsidRPr="00B03342">
        <w:rPr>
          <w:rFonts w:ascii="Arial" w:hAnsi="Arial" w:cs="Arial"/>
          <w:color w:val="000000"/>
          <w:vertAlign w:val="subscript"/>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dew</w:t>
      </w:r>
      <w:r w:rsidRPr="00B03342">
        <w:rPr>
          <w:rFonts w:ascii="Arial" w:hAnsi="Arial" w:cs="Arial"/>
          <w:color w:val="000000"/>
          <w:lang w:eastAsia="sr-Latn-RS"/>
        </w:rPr>
        <w:t>. Сигнали би се требали слати фреквенцијом од најмање 1 Hz.</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1.3.3. Корекција мерења PM-a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проток узорка броја честица издваја из система за разређивање делимичног протока (укупно узорковање), маса честица (m </w:t>
      </w:r>
      <w:r w:rsidRPr="00B03342">
        <w:rPr>
          <w:rFonts w:ascii="Arial" w:hAnsi="Arial" w:cs="Arial"/>
          <w:color w:val="000000"/>
          <w:vertAlign w:val="subscript"/>
          <w:lang w:eastAsia="sr-Latn-RS"/>
        </w:rPr>
        <w:t>PM</w:t>
      </w:r>
      <w:r w:rsidRPr="00B03342">
        <w:rPr>
          <w:rFonts w:ascii="Arial" w:hAnsi="Arial" w:cs="Arial"/>
          <w:color w:val="000000"/>
          <w:lang w:eastAsia="sr-Latn-RS"/>
        </w:rPr>
        <w:t>) обрачуната у тачки 2.3.1.1. Прилога 10 ове уредбе исправља се како редоследи како би се узео у обзир издвојени проток. Корекција је нужна чак и ако се филтрирани издвојени проток враћа у системе за разређивање делимичног протока, како је утврђено у једначина (6-31).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81EA795" wp14:editId="4B1002B4">
            <wp:extent cx="5057140" cy="564515"/>
            <wp:effectExtent l="0" t="0" r="0" b="6985"/>
            <wp:docPr id="253" name="Picture 253" descr="A mathematical formula showing corrected mPM as the product of mPM and the ratio of msed to the difference between msed and mex, labeled as equation 6-3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mathematical formula showing corrected mPM as the product of mPM and the ratio of msed to the difference between msed and mex, labeled as equation 6-31.&#10;&#10;Description generated by A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1"/>
        <w:gridCol w:w="1000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утврђена у складу с тачком 2.3.1.1. Прилога 10 ове уредбе, 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 </w:t>
            </w:r>
            <w:r w:rsidRPr="00B03342">
              <w:rPr>
                <w:rFonts w:ascii="Arial" w:hAnsi="Arial" w:cs="Arial"/>
                <w:vertAlign w:val="subscript"/>
                <w:lang w:eastAsia="sr-Latn-RS"/>
              </w:rPr>
              <w:t>sed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разређених издувних гасова који прођу кроз тунел за разређивање,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 </w:t>
            </w:r>
            <w:r w:rsidRPr="00B03342">
              <w:rPr>
                <w:rFonts w:ascii="Arial" w:hAnsi="Arial" w:cs="Arial"/>
                <w:vertAlign w:val="subscript"/>
                <w:lang w:eastAsia="sr-Latn-RS"/>
              </w:rPr>
              <w:t>ex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разређеног издувног гаса издвојена из тунела за разређивање за узорковање броја честица, kg.</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1.3.4. Пропорционалност узорковања при разређивању делимичног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мерење броја честица масени проток издувног гаса, утврђен у складу с било којом методом описаном у тач. од 2.1.6.1. до 2.1.6.4. Прилога 10 ове уредбе, употребљава се како би се контролисало да систем за разређивање делимичног протока издваја узорак пропорционалан масеном протоку издувног гаса. Квалитета пропорционалности проверава се применом регресијске анализе између узорка и протока издувних гасова у складу с тачком 8.2.1.2.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1.3.5. Обрачун броја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Утврђивање и обрачунавање броја честица (PN) утврђени су у Додатку 5.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Мерна опрема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Спецификација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Преглед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2.1.1.1. Систем за узорковање честица мора се састојати од сонде или тачке узорковања којом се издваја узорак из хомогено мешаног протока у систему за разређивање како је описано у тач. 9.2.2. или 9.2.3. овог прилога, одвајача испаривих честица (VPR) иза бројача честица (PNC) и одговарајућих преносних цеви.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2.1.1.2. Препоручује се да се поставки предкласификатор честица по величини (нпр. циклон, импактор итд.) испред улаза у VPR. Међутим, сонда за узорковање која делује као прикладан уређај за класификацију величине, каква је приказана на слици 6.8, прихватљива је алтернатива предкласификатору честица по величини. У случају система за разређивање делимичног протока прихватљиво је употребити исти предкласификатор за узорковање масе честица и броја честица, којим се издваја узорак броја честица из система за разређивање иза прекласификатора. Друга је могућност употреба одвојених предкласификатора, којима се издваја узорак броја честица из система за разређивање испред прекласификатора масе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2.1.2.1. Тачка узорковања честица мора се налазити унутар система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Врх сонде за узроковање или тачка за узорковање честица и цев за пренос честица (PTT) заједно чине систем за пренос честица (PTS). Систем за пренос честица спроводи узорак од тунела за разређивање до улаза у VPR. Систем за пренос честица мора испуњавати услове наведене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реч о системима за разређивање пуног протока и системима за разређивање делимичног протока који су типа делимичног узорковања (како је описано у тачки 9.2.3. овог прилога), сонда за узроковање мора бити инсталирана у близини симетрале тунела, од 10 до 20 проноса тунела иза улаза гаса, окренута према току гаса у тунелу тако да јој је ос на врху паралелна оси тунела за разређивање. Сонда за узорковање мора бити постављена унутар тракта за разређивање тако да се узорак узима из хомогене смесе разређивач/издувни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реч о системима за разређивање делимичног протока типа укупног узорковања (како је описано у тачки 9.2.3. овог прилога), тачка узорковања честица или сонда за узорковање мора бити у цеви за пренос честица испред држача филтера честица, уређаја за мерење протока и било које тачке рачвања/заобилажења узорка. Тачка или сонда за узорковање мора бити постављена тако да се узорак узима из хомогене смесе разређивач/издув. Димензије сонде за узорковање честица требале би бити такве да не ометају рад система за разређивање делимичног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Узорак гаса извучен кроз систем за пренос честица мора испуњавати следеће услове: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је реч о систему за разређивање пуног протока, мора имати Рејнулдсов број (Re) &lt; 1.700;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је реч о систему за разређивање делимичног протока, мора имати Рејнулдсов број (Re) &lt; 1.700 у цеви за пренос честица, тј. иза сонде или тачке за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мора имати време задржавања у систему за пренос честица ≤ 3 секунде.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било која друга конфигурација система за пренос честица за коју се може доказати еквивалентно продирање честица при 30 nm сматрат ће се прихватљивом.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излазна цев (ОТ) која одводи разређени узорак из VPR-а према улазу бројача честица (PNC) мора имати следећа својства: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унутрашњи пронос ≥ 4 mm;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проток узорка гаса кроз излазну цев (ОТ) мора имати време задржавања ≤ 0,8 секунде;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прихватљивом ће се сматрати и било која друга конфигурација система за пренос честица за коју се може доказати еквивалентно продирање честица при 30 nm.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2.1.2.2. VPR мора обухватати уређаје за разређивање узорка и за одвајање испаривих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2.1.2.3. Сви делови система за разређивање и система за узорковање од издувне цеви до бројача честица који су у додиру с неразређеним и разређеним издувним гасом морају бити конструисани тако да смање таложење честица на најмању меру. Сви делови морају бити израђени од електрично водљивих материјала који не реагују с компонентама издувног гаса те морају бити електрични уземљени како би се спречили електростатички учинци.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2.1.2.4. Систем за узорковање честица мора укључивати добру праксу узорковања аеросола која обухвата избегавање оштрих лукова и наглих промена пресека, употребу глатких унутрашњих површина и смањивање дужину линије за узорковање на најкраћу меру. Допуштају се поступне промене пресека.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 Посебни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2.1.3.1. Узорак честица не сме проћи кроз пумпу пре него што прође кроз бројач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2.1.3.2. Препоручује се предкласификатор узорка.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2.1.3.3. Јединица за преткондиционирање узорка мора: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2.1.3.3.1. моћи разредити узорак у једној фази или више њих да се добије бројчана концентрација честица испод горњег прага бројача честица у начину рада бројања појединачне честице и температуре гаса испод 308 К (35 °C) на улазу у бројач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2.1.3.3.2. имати иницијалну грејану фазу разређивања која на излазу даје узорак температуре ≥ 423 К (150 °C) и ≤ 673 К (400 °C) и разређује с фактором од најмање 10;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2.1.3.3.3. Регулишу се грејне фазе на сталне номиналне радне температуре унутар распона из тачке 2.1.3.3.2. овог прилога уз допуштено одступање од ± 10 К (± 10 °С) те давати информацију јесу ли грејане фазе на својим правилним радним температурама;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2.1.3.3.4. за VPR у целини постићи фактор смањења концентрације честица (fr (di)), како је одређен у тачки 2.2.2.2. овог прилога, за честице проноса електричне мобилности од 30 nm и 50 nm који није већи од 30 % односно 20 % и највише је 5 % мањи од онога за честице проноса електричне мобилности 100 nm;</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2.1.3.3.5. постићи и &gt; 99,0 % испаравања 30-nm честица тетраконтана (CH3(CH2)38CH3) улазне концентрације ≥ 10 000 cm</w:t>
      </w:r>
      <w:r w:rsidRPr="00B03342">
        <w:rPr>
          <w:rFonts w:ascii="Arial" w:hAnsi="Arial" w:cs="Arial"/>
          <w:color w:val="000000"/>
          <w:vertAlign w:val="superscript"/>
          <w:lang w:eastAsia="sr-Latn-RS"/>
        </w:rPr>
        <w:t>–3</w:t>
      </w:r>
      <w:r w:rsidRPr="00B03342">
        <w:rPr>
          <w:rFonts w:ascii="Arial" w:hAnsi="Arial" w:cs="Arial"/>
          <w:color w:val="000000"/>
          <w:lang w:eastAsia="sr-Latn-RS"/>
        </w:rPr>
        <w:t> грејањем и смањењем парцијалних притисака тетраконтана.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 Бројач честица мора: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2.1.3.4.1. радити у условима пуног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2.1.3.4.2. имати тачност бројања ± 10 % у подручје 1 cm</w:t>
      </w:r>
      <w:r w:rsidRPr="00B03342">
        <w:rPr>
          <w:rFonts w:ascii="Arial" w:hAnsi="Arial" w:cs="Arial"/>
          <w:color w:val="000000"/>
          <w:vertAlign w:val="superscript"/>
          <w:lang w:eastAsia="sr-Latn-RS"/>
        </w:rPr>
        <w:t>–3</w:t>
      </w:r>
      <w:r w:rsidRPr="00B03342">
        <w:rPr>
          <w:rFonts w:ascii="Arial" w:hAnsi="Arial" w:cs="Arial"/>
          <w:color w:val="000000"/>
          <w:lang w:eastAsia="sr-Latn-RS"/>
        </w:rPr>
        <w:t> до горњег прага бројача у начину рада бројања појединачне честице у односу на следећи стандард. На концентрацијама испод 100 cm</w:t>
      </w:r>
      <w:r w:rsidRPr="00B03342">
        <w:rPr>
          <w:rFonts w:ascii="Arial" w:hAnsi="Arial" w:cs="Arial"/>
          <w:color w:val="000000"/>
          <w:vertAlign w:val="superscript"/>
          <w:lang w:eastAsia="sr-Latn-RS"/>
        </w:rPr>
        <w:t>–3</w:t>
      </w:r>
      <w:r w:rsidRPr="00B03342">
        <w:rPr>
          <w:rFonts w:ascii="Arial" w:hAnsi="Arial" w:cs="Arial"/>
          <w:color w:val="000000"/>
          <w:lang w:eastAsia="sr-Latn-RS"/>
        </w:rPr>
        <w:t> могу се захтевати мерења упросечена у дужем раздобљу узорковања да се тачност бројача честица докаже с високом статистичком поузданошћу;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2.1.3.4.3. имати могућност очитавања најмање 0,1 честица по cm</w:t>
      </w:r>
      <w:r w:rsidRPr="00B03342">
        <w:rPr>
          <w:rFonts w:ascii="Arial" w:hAnsi="Arial" w:cs="Arial"/>
          <w:color w:val="000000"/>
          <w:vertAlign w:val="superscript"/>
          <w:lang w:eastAsia="sr-Latn-RS"/>
        </w:rPr>
        <w:t>–3</w:t>
      </w:r>
      <w:r w:rsidRPr="00B03342">
        <w:rPr>
          <w:rFonts w:ascii="Arial" w:hAnsi="Arial" w:cs="Arial"/>
          <w:color w:val="000000"/>
          <w:lang w:eastAsia="sr-Latn-RS"/>
        </w:rPr>
        <w:t> при концентрацијама испод 100 cm</w:t>
      </w:r>
      <w:r w:rsidRPr="00B03342">
        <w:rPr>
          <w:rFonts w:ascii="Arial" w:hAnsi="Arial" w:cs="Arial"/>
          <w:color w:val="000000"/>
          <w:vertAlign w:val="super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2.1.3.4.4. имати линеаран одзив на концентрације честица у целом мерном подручју у начину рада бројања појединачне честице;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2.1.3.4.5. имати фреквенцију дојаве података од најмање 0,5 Hz;</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2.1.3.4.6. имати време одзива у целом мереном распону концентрација мање од 5 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2.1.3.4.7. имати функцију кориговања коинциденције до највише 10 % корекције и могућност употребе интерног умерног фактора, како је одређено у тачки 2.2.1.3. овог прилога, али не сме употребљавати ни један други алгоритам за кориговање или дефинисање ефикасности бројања;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2.1.3.4.8. имати ефикасност бројања честица с проносом електричне мобилности од 23 nm (± 1 nm) и 41 nm (± 1 nm) од 50 % (± 12 %) односно &gt; 90 %. Те се ефикасности бројања могу постићи интерним (нпр. контролом конструкције инструмента) или спољним (нпр. величина предкласификације) средствима;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2.1.3.4.9. Ако бројач честица употребљава радну течност, мора је се мењати фреквенцијом коју наведе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2.1.3.5. Кад се не одржавају на познатој константној разини на месту регулације протока бројача честица, притисак и/или температура на улазу у бројач честица морају се мерити и наводити ради кориговања мерења концентрације честица за стандардне услове.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2.1.3.6. Збир времена задржавања у систему за пренос честица, одвајачу испаривих честица или излазној цеви и времена одзива бројача честица не сме бити већи од 20 секунди.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2.1.3.7. Време трансформације целокупног система за узорковање броја честица (PTS, VPR, ОТ и PNC) утврђује се преспајањем аеросола непосредно на улазу PTS-а. Преспајање аеросола мора се извести у мање од 0,1 секунде. Аеросол који се употребљава за испитивање мора проузроковати промену концентрације од најмање 60 % целе скале (FS). Бележи се редослед концентрације. За временско усклађивање сигнала бројчане концентрације честица и сигнала протока издувних гасова, време трансформације дефинише се као време од промене (т</w:t>
      </w:r>
      <w:r w:rsidRPr="00B03342">
        <w:rPr>
          <w:rFonts w:ascii="Arial" w:hAnsi="Arial" w:cs="Arial"/>
          <w:color w:val="000000"/>
          <w:vertAlign w:val="subscript"/>
          <w:lang w:eastAsia="sr-Latn-RS"/>
        </w:rPr>
        <w:t>0</w:t>
      </w:r>
      <w:r w:rsidRPr="00B03342">
        <w:rPr>
          <w:rFonts w:ascii="Arial" w:hAnsi="Arial" w:cs="Arial"/>
          <w:color w:val="000000"/>
          <w:lang w:eastAsia="sr-Latn-RS"/>
        </w:rPr>
        <w:t>) до тренутка кад је одзив 50 % завршног очитања (т</w:t>
      </w:r>
      <w:r w:rsidRPr="00B03342">
        <w:rPr>
          <w:rFonts w:ascii="Arial" w:hAnsi="Arial" w:cs="Arial"/>
          <w:color w:val="000000"/>
          <w:vertAlign w:val="subscript"/>
          <w:lang w:eastAsia="sr-Latn-RS"/>
        </w:rPr>
        <w:t>50</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 Опис препорученог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 тачка садржава препоручену праксу за мерење броја честица. Међутим, прихватљив је било који систем који одговара спецификацијама ефикасности из тач. 2.1.2. и 2.1.3 овог прилога. Слике 6.9. и 6.10. Шематски су прикази препоручених конфигурација система за узорковање честица за системе за разређивање делимичног односно пуног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6.9. Шематски приказ препорученог система за узорковање честица – узорковање из делимичног протока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0448BBB" wp14:editId="20B164B2">
            <wp:extent cx="5057140" cy="3935730"/>
            <wp:effectExtent l="0" t="0" r="0" b="7620"/>
            <wp:docPr id="252" name="Picture 252" descr="A technical diagram showing an air filtration and monitoring system with labeled components including filtered air, motor input, sensors, and a control unit connected by arrows indicating airflow and data flow.&#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technical diagram showing an air filtration and monitoring system with labeled components including filtered air, motor input, sensors, and a control unit connected by arrows indicating airflow and data flow.&#10;&#10;Description generated by A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57140" cy="393573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6.10. Шематски приказ препорученог система за узорковање честица – узорковање из пуног протока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070B962" wp14:editId="0F84D1B3">
            <wp:extent cx="5057140" cy="2560320"/>
            <wp:effectExtent l="0" t="0" r="0" b="0"/>
            <wp:docPr id="251" name="Picture 251" descr="A schematic diagram showing an air filtration system with labeled components including air intake, PNC, PND, ET, cyclones, active carbon, HEPA filters, and motor exhaust flow.&#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schematic diagram showing an air filtration system with labeled components including air intake, PNC, PND, ET, cyclones, active carbon, HEPA filters, and motor exhaust flow.&#10;&#10;Description generated by A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7140" cy="256032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2.1.4.1. Опис система за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Систем за узорковање честица мора се састојати од врха сонде за узорковање или тачке узорковања честица у систему за разређивање, цеви за пренос честица (PTT), предкласификатора честица (PCF) и одвајача испаривих честица (VPR) испред јединице за мерење бројчане концентрације честица (PNC). VPR мора обухватати уређаје за разређивање узорка (разређивачи броја честица: PND</w:t>
      </w:r>
      <w:r w:rsidRPr="00B03342">
        <w:rPr>
          <w:rFonts w:ascii="Arial" w:hAnsi="Arial" w:cs="Arial"/>
          <w:color w:val="000000"/>
          <w:vertAlign w:val="subscript"/>
          <w:lang w:eastAsia="sr-Latn-RS"/>
        </w:rPr>
        <w:t>1</w:t>
      </w:r>
      <w:r w:rsidRPr="00B03342">
        <w:rPr>
          <w:rFonts w:ascii="Arial" w:hAnsi="Arial" w:cs="Arial"/>
          <w:color w:val="000000"/>
          <w:lang w:eastAsia="sr-Latn-RS"/>
        </w:rPr>
        <w:t> и PND</w:t>
      </w:r>
      <w:r w:rsidRPr="00B03342">
        <w:rPr>
          <w:rFonts w:ascii="Arial" w:hAnsi="Arial" w:cs="Arial"/>
          <w:color w:val="000000"/>
          <w:vertAlign w:val="subscript"/>
          <w:lang w:eastAsia="sr-Latn-RS"/>
        </w:rPr>
        <w:t>2</w:t>
      </w:r>
      <w:r w:rsidRPr="00B03342">
        <w:rPr>
          <w:rFonts w:ascii="Arial" w:hAnsi="Arial" w:cs="Arial"/>
          <w:color w:val="000000"/>
          <w:lang w:eastAsia="sr-Latn-RS"/>
        </w:rPr>
        <w:t>) и испаравање честица (цев за испаравање, ЕТ). Сонда за узорковање или тачка узорковања за проток испитног гаса мора бити тако постављена унутар тракта за разређивање да се може узети репрезентативан узорак протока гаса из хомогене смесе разређивач/издувни гас. Збир времена задржавања у систему и времена одзива бројача честица не сме бити већи од 20 секунди.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2.1.4.2. Систем за пренос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Врх сонде за узроковање или тачка за узорковање честица и цев за пренос честица (PTT) заједно чине систем за пренос честица. Систем за пренос честица спроводи узорак од тунела за разређивање до првог разређивача броја честица. Систем за пренос честица мора испуњавати услове наведене у наставку.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реч о системима за разређивање пуног протока и системима за разређивање делимичног протока који су типа делимичног узорковања (како је описано у тачки 9.2.3 овог прилога), сонда за узроковање мора се инсталирати у близини симетрале тунела, од 10 до 20 проноса тунела иза улаза гаса, окренута према току гаса у тунелу тако да јој је ос на врху паралелна оси тунела за разређивање. Сонда за узорковање мора бити постављена унутар тракта за разређивање тако да се узорак узима из хомогене смесе разређивач/издувни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је реч о системима за разређивање делимичног протока типа укупног узорковања (како је описано у тачки 9.2.3. овог прилога), тачка за узорковање честица мора се налазити у цеви за пренос честица, испред држача филтера честица, уређаја за мерење протока и било које тачке рачвања/заобилажења узорка. Тачка или сонда за узорковање мора бити постављена тако да се узорак узима из хомогене смесе разређивач/издув.</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Узорак гаса извучен кроз систем за пренос честица мора испуњавати следеће услове: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мора имати Рејнулдсов број (Re) &lt; 1.700;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мора имати време задржавања у систему за пренос честица ≤ 3 секунде.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Прихватљивом ће се сматрати и било која друга конфигурација узорковања за систем за пренос честица за коју се може доказати еквивалентно продирање честица проноса електричне мобилности од 30 nm.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Излазна цев која одводи разређени узорак из VPR-а у улаз бројача честица мора имати следећа својства: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унутрашњи пронос ≥ 4 mm;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проток узорка гаса кроз излазну цев мора имати време задржавања ≤ 0,8 секунде.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Прихватљивом ће се сматрати и било која друга конфигурација узорковања за излазну цев за коју се може доказати еквивалентно продирање честица проноса електричне мобилности 30 nm.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2.1.4.3. Предкласификатор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Препоручени предкласификатор честица мора бити постављен испред VPR-а. Пронос честица за педесетпостотну граничну тачку предкласификатора мора бити између 2,5 μm и 10 μm при волуметријској брзини протока одабраној за узорковање емисија броја честица. При волуметријској брзини протока одабраној за узорковање емисија броја честица предкласификатор мора омогућити да најмање 99% масене концентрације честица од 1 μm што уђе у предкласификатор прође кроз његов излаз. У случају система за разређивање делимичног протока прихватљиво је употребити исти предкласификатор за узорковање масе честица и броја честица, којим се издваја узорак броја честица из система за разређивање иза прекласификатора. Друга је могућност употреба одвојених предкласификатора, којима се издваја узорак броја честица из система за разређивање испред предкласификатора масе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2.1.4.4. Одвајач испаривих честица (VPR)</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VPR мора се састојати од једног разређивача броја честица (PND</w:t>
      </w:r>
      <w:r w:rsidRPr="00B03342">
        <w:rPr>
          <w:rFonts w:ascii="Arial" w:hAnsi="Arial" w:cs="Arial"/>
          <w:color w:val="000000"/>
          <w:vertAlign w:val="subscript"/>
          <w:lang w:eastAsia="sr-Latn-RS"/>
        </w:rPr>
        <w:t>1</w:t>
      </w:r>
      <w:r w:rsidRPr="00B03342">
        <w:rPr>
          <w:rFonts w:ascii="Arial" w:hAnsi="Arial" w:cs="Arial"/>
          <w:color w:val="000000"/>
          <w:lang w:eastAsia="sr-Latn-RS"/>
        </w:rPr>
        <w:t>), цеви за испаравање и другог разређивача броја честица (PND</w:t>
      </w:r>
      <w:r w:rsidRPr="00B03342">
        <w:rPr>
          <w:rFonts w:ascii="Arial" w:hAnsi="Arial" w:cs="Arial"/>
          <w:color w:val="000000"/>
          <w:vertAlign w:val="subscript"/>
          <w:lang w:eastAsia="sr-Latn-RS"/>
        </w:rPr>
        <w:t>2</w:t>
      </w:r>
      <w:r w:rsidRPr="00B03342">
        <w:rPr>
          <w:rFonts w:ascii="Arial" w:hAnsi="Arial" w:cs="Arial"/>
          <w:color w:val="000000"/>
          <w:lang w:eastAsia="sr-Latn-RS"/>
        </w:rPr>
        <w:t>) повезаних серијски. То разређивање служи да се бројчана концентрација узорка који улази у јединицу за мерење бројчане концентрације честица смањи испод прага бројача честица кад ради у начину бројања појединачне честице и да се сузбије нуклеација унутар узорка. VPR мора показивати јесу ли разређивач броја честица PND</w:t>
      </w:r>
      <w:r w:rsidRPr="00B03342">
        <w:rPr>
          <w:rFonts w:ascii="Arial" w:hAnsi="Arial" w:cs="Arial"/>
          <w:color w:val="000000"/>
          <w:vertAlign w:val="subscript"/>
          <w:lang w:eastAsia="sr-Latn-RS"/>
        </w:rPr>
        <w:t>1</w:t>
      </w:r>
      <w:r w:rsidRPr="00B03342">
        <w:rPr>
          <w:rFonts w:ascii="Arial" w:hAnsi="Arial" w:cs="Arial"/>
          <w:color w:val="000000"/>
          <w:lang w:eastAsia="sr-Latn-RS"/>
        </w:rPr>
        <w:t> и цев за испаравање на правилним радним температурама.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VPR мора постићи и &gt; 99,0 % испаравања 30-nm честица тетраконтана (CH</w:t>
      </w:r>
      <w:r w:rsidRPr="00B03342">
        <w:rPr>
          <w:rFonts w:ascii="Arial" w:hAnsi="Arial" w:cs="Arial"/>
          <w:color w:val="000000"/>
          <w:vertAlign w:val="subscript"/>
          <w:lang w:eastAsia="sr-Latn-RS"/>
        </w:rPr>
        <w:t>3</w:t>
      </w:r>
      <w:r w:rsidRPr="00B03342">
        <w:rPr>
          <w:rFonts w:ascii="Arial" w:hAnsi="Arial" w:cs="Arial"/>
          <w:color w:val="000000"/>
          <w:lang w:eastAsia="sr-Latn-RS"/>
        </w:rPr>
        <w:t>(CH</w:t>
      </w:r>
      <w:r w:rsidRPr="00B03342">
        <w:rPr>
          <w:rFonts w:ascii="Arial" w:hAnsi="Arial" w:cs="Arial"/>
          <w:color w:val="000000"/>
          <w:vertAlign w:val="subscript"/>
          <w:lang w:eastAsia="sr-Latn-RS"/>
        </w:rPr>
        <w:t>2</w:t>
      </w:r>
      <w:r w:rsidRPr="00B03342">
        <w:rPr>
          <w:rFonts w:ascii="Arial" w:hAnsi="Arial" w:cs="Arial"/>
          <w:color w:val="000000"/>
          <w:lang w:eastAsia="sr-Latn-RS"/>
        </w:rPr>
        <w:t>)</w:t>
      </w:r>
      <w:r w:rsidRPr="00B03342">
        <w:rPr>
          <w:rFonts w:ascii="Arial" w:hAnsi="Arial" w:cs="Arial"/>
          <w:color w:val="000000"/>
          <w:vertAlign w:val="subscript"/>
          <w:lang w:eastAsia="sr-Latn-RS"/>
        </w:rPr>
        <w:t>38</w:t>
      </w:r>
      <w:r w:rsidRPr="00B03342">
        <w:rPr>
          <w:rFonts w:ascii="Arial" w:hAnsi="Arial" w:cs="Arial"/>
          <w:color w:val="000000"/>
          <w:lang w:eastAsia="sr-Latn-RS"/>
        </w:rPr>
        <w:t>CH</w:t>
      </w:r>
      <w:r w:rsidRPr="00B03342">
        <w:rPr>
          <w:rFonts w:ascii="Arial" w:hAnsi="Arial" w:cs="Arial"/>
          <w:color w:val="000000"/>
          <w:vertAlign w:val="subscript"/>
          <w:lang w:eastAsia="sr-Latn-RS"/>
        </w:rPr>
        <w:t>3</w:t>
      </w:r>
      <w:r w:rsidRPr="00B03342">
        <w:rPr>
          <w:rFonts w:ascii="Arial" w:hAnsi="Arial" w:cs="Arial"/>
          <w:color w:val="000000"/>
          <w:lang w:eastAsia="sr-Latn-RS"/>
        </w:rPr>
        <w:t>) улазне концентрације ≥ 10000 cm</w:t>
      </w:r>
      <w:r w:rsidRPr="00B03342">
        <w:rPr>
          <w:rFonts w:ascii="Arial" w:hAnsi="Arial" w:cs="Arial"/>
          <w:color w:val="000000"/>
          <w:vertAlign w:val="superscript"/>
          <w:lang w:eastAsia="sr-Latn-RS"/>
        </w:rPr>
        <w:t>–3</w:t>
      </w:r>
      <w:r w:rsidRPr="00B03342">
        <w:rPr>
          <w:rFonts w:ascii="Arial" w:hAnsi="Arial" w:cs="Arial"/>
          <w:color w:val="000000"/>
          <w:lang w:eastAsia="sr-Latn-RS"/>
        </w:rPr>
        <w:t> грејањем и смањењем парцијалних притисака тетраконтана. Уз то, мора, за VPR у целини, постићи фактор смањења концентрације честица (f </w:t>
      </w:r>
      <w:r w:rsidRPr="00B03342">
        <w:rPr>
          <w:rFonts w:ascii="Arial" w:hAnsi="Arial" w:cs="Arial"/>
          <w:color w:val="000000"/>
          <w:vertAlign w:val="subscript"/>
          <w:lang w:eastAsia="sr-Latn-RS"/>
        </w:rPr>
        <w:t>r</w:t>
      </w:r>
      <w:r w:rsidRPr="00B03342">
        <w:rPr>
          <w:rFonts w:ascii="Arial" w:hAnsi="Arial" w:cs="Arial"/>
          <w:color w:val="000000"/>
          <w:lang w:eastAsia="sr-Latn-RS"/>
        </w:rPr>
        <w:t>) за честице проноса електричне мобилности од 30 nm и 50 nm, који није већи од 30 % односно 20 % и највише је 5 % мањи од онога за честице проноса електричне мобилности од 100 nm.</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2.1.4.4.1. Први уређај за разређивање броја честица (PND</w:t>
      </w:r>
      <w:r w:rsidRPr="00B03342">
        <w:rPr>
          <w:rFonts w:ascii="Arial" w:hAnsi="Arial" w:cs="Arial"/>
          <w:color w:val="000000"/>
          <w:vertAlign w:val="subscript"/>
          <w:lang w:eastAsia="sr-Latn-RS"/>
        </w:rPr>
        <w:t>1</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Први уређај за разређивање броја честица мора бити посебно пројектован да разређује бројчану концентрацију честица и ради на температури (ивице) од 423 К до 673 К (од 150 °C до 400 °C). Задата вредност температуре ивице мора се одржавати на константној номиналној радној температури, унутар тог распона, уз допуштено одступање од ± 10 °C и не сме прелазити температуру стенке цеви за испаравање (тачка 2.1.4.4.2. овог прилога). Уређај мора добијати ваздух за разређивање филтриран HEPA филтером и мора бити способан за фактор разређивања од 10 до 200 пута.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2.1.4.4.2. Цев за испаравање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Температура ивице целе дужине цеви за испаравање (ЕТ) мора се контролишети тако да је најмање једнака температури ивице првог уређаја за разређивање концентрације честица и мора се одржавати на сталној номиналној радној температури између 300 °C и 400 °C, уз допуштено одступање од ± 10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2.1.4.4.3. Други уређај за разређивање броја честица (PND</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PND</w:t>
      </w:r>
      <w:r w:rsidRPr="00B03342">
        <w:rPr>
          <w:rFonts w:ascii="Arial" w:hAnsi="Arial" w:cs="Arial"/>
          <w:color w:val="000000"/>
          <w:vertAlign w:val="subscript"/>
          <w:lang w:eastAsia="sr-Latn-RS"/>
        </w:rPr>
        <w:t>2</w:t>
      </w:r>
      <w:r w:rsidRPr="00B03342">
        <w:rPr>
          <w:rFonts w:ascii="Arial" w:hAnsi="Arial" w:cs="Arial"/>
          <w:color w:val="000000"/>
          <w:lang w:eastAsia="sr-Latn-RS"/>
        </w:rPr>
        <w:t> мора бити посебно за разређивање бројчане концентрације честица. Уређај мора добијати ваздух за разређивање филтриран HEPA филтером и мора бити способан одржавати један фактор разређења унутар распона од 10 до 30 пута. Фактор разређења PND</w:t>
      </w:r>
      <w:r w:rsidRPr="00B03342">
        <w:rPr>
          <w:rFonts w:ascii="Arial" w:hAnsi="Arial" w:cs="Arial"/>
          <w:color w:val="000000"/>
          <w:vertAlign w:val="subscript"/>
          <w:lang w:eastAsia="sr-Latn-RS"/>
        </w:rPr>
        <w:t>2</w:t>
      </w:r>
      <w:r w:rsidRPr="00B03342">
        <w:rPr>
          <w:rFonts w:ascii="Arial" w:hAnsi="Arial" w:cs="Arial"/>
          <w:color w:val="000000"/>
          <w:lang w:eastAsia="sr-Latn-RS"/>
        </w:rPr>
        <w:t> мора бити одабран у распону од 10 до 15 тако да је бројчана концентрација честица иза другог уређаја испод горњег прага за бројач честица у начину рада бројања појединачних честица и температура гаса пре улаза у бројач честица &lt; 35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2.1.4.5. Бројач честица (PNC)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Бројач честица мора испуњавати захтеве из тачке 2.1.3.4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 Умеравање/валидација система за узорковање честица (</w:t>
      </w:r>
      <w:r w:rsidRPr="00B03342">
        <w:rPr>
          <w:rFonts w:ascii="Arial" w:hAnsi="Arial" w:cs="Arial"/>
          <w:color w:val="000000"/>
          <w:vertAlign w:val="superscript"/>
          <w:lang w:eastAsia="sr-Latn-RS"/>
        </w:rPr>
        <w:t>1</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Умеравање бројача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2.2.1.1 Техничка служба мора осигурати да постоји сертификат о умеравању за бројач честица којим се доказује у складу са са следећим еталоном унутар 12 месеци пре испитивања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2.2.1.2. Након сваког већег одржавања бројач честица мора се поновно умерити и мора се издати нови сертификат о умеравању.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2.2.1.3. Умеравање мора бити редоследно до стандардне методе умеравања: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упоређивањем одзива бројача честица који се умерава с одзивом умереног аеросолног електрометра кад се истовремено узоркују електростатички класификоване умерне честице;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упоређивањем одзива бројача честица који се умерава с одзивом другог бројача честица који је био директно умерен горе споменутом методом.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Кад је реч о електрометру, умеравање се мора обавити помоћу најмање шест стандардних концентрација најравнодносније могуће распоређених мерним подручјем бројача честица. Те ће тачке обухватати номиналну нулту тачку концентрације која се добија прикључивањем HEPA филтера најмање класе H</w:t>
      </w:r>
      <w:r w:rsidRPr="00B03342">
        <w:rPr>
          <w:rFonts w:ascii="Arial" w:hAnsi="Arial" w:cs="Arial"/>
          <w:color w:val="000000"/>
          <w:vertAlign w:val="subscript"/>
          <w:lang w:eastAsia="sr-Latn-RS"/>
        </w:rPr>
        <w:t>13</w:t>
      </w:r>
      <w:r w:rsidRPr="00B03342">
        <w:rPr>
          <w:rFonts w:ascii="Arial" w:hAnsi="Arial" w:cs="Arial"/>
          <w:color w:val="000000"/>
          <w:lang w:eastAsia="sr-Latn-RS"/>
        </w:rPr>
        <w:t> према стандарду EN 1822:2008 или еквивалентног радног учинка на улаз сваког инструмента. Кад на бројач честица који се умерава није примењен умерни фактор, измерене концентрације морају бити унутар ± 10 % стандардне концентрације за сваку употребљену концентрацију с изузетком нулте тачке, у противном се бројач честица који се умерава мора одбити. Мора се обрачунати и забележити градијент линеарне регресије двају низова података. На бројач честица који се умерава мора се применити умерни фактор једнак реципрочном градијенту. Линеарност одзива обрачунава се као квадрат Пеарсонова коефицијента корелације (Р</w:t>
      </w:r>
      <w:r w:rsidRPr="00B03342">
        <w:rPr>
          <w:rFonts w:ascii="Arial" w:hAnsi="Arial" w:cs="Arial"/>
          <w:color w:val="000000"/>
          <w:vertAlign w:val="superscript"/>
          <w:lang w:eastAsia="sr-Latn-RS"/>
        </w:rPr>
        <w:t>2</w:t>
      </w:r>
      <w:r w:rsidRPr="00B03342">
        <w:rPr>
          <w:rFonts w:ascii="Arial" w:hAnsi="Arial" w:cs="Arial"/>
          <w:color w:val="000000"/>
          <w:lang w:eastAsia="sr-Latn-RS"/>
        </w:rPr>
        <w:t>) двају низова података и мора износити најмање 0,97. При обрачунавању градијента и Р</w:t>
      </w:r>
      <w:r w:rsidRPr="00B03342">
        <w:rPr>
          <w:rFonts w:ascii="Arial" w:hAnsi="Arial" w:cs="Arial"/>
          <w:color w:val="000000"/>
          <w:vertAlign w:val="superscript"/>
          <w:lang w:eastAsia="sr-Latn-RS"/>
        </w:rPr>
        <w:t>2</w:t>
      </w:r>
      <w:r w:rsidRPr="00B03342">
        <w:rPr>
          <w:rFonts w:ascii="Arial" w:hAnsi="Arial" w:cs="Arial"/>
          <w:color w:val="000000"/>
          <w:lang w:eastAsia="sr-Latn-RS"/>
        </w:rPr>
        <w:t> линеарна регресија мора се усмерити кроз исходиште (нулта концентрација на оба инструмента).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Кад је реч о референтном бројачу честица, умеравање се ради помоћу најмање шест стандардних концентрација у целом мерном подручју бројача честица. Најмање три тачке морају бити на концентрацијама испод 1 000 cm</w:t>
      </w:r>
      <w:r w:rsidRPr="00B03342">
        <w:rPr>
          <w:rFonts w:ascii="Arial" w:hAnsi="Arial" w:cs="Arial"/>
          <w:color w:val="000000"/>
          <w:vertAlign w:val="superscript"/>
          <w:lang w:eastAsia="sr-Latn-RS"/>
        </w:rPr>
        <w:t>–3</w:t>
      </w:r>
      <w:r w:rsidRPr="00B03342">
        <w:rPr>
          <w:rFonts w:ascii="Arial" w:hAnsi="Arial" w:cs="Arial"/>
          <w:color w:val="000000"/>
          <w:lang w:eastAsia="sr-Latn-RS"/>
        </w:rPr>
        <w:t>, остале концентрације морају бити линеарно расподељене између 1 000 cm</w:t>
      </w:r>
      <w:r w:rsidRPr="00B03342">
        <w:rPr>
          <w:rFonts w:ascii="Arial" w:hAnsi="Arial" w:cs="Arial"/>
          <w:color w:val="000000"/>
          <w:vertAlign w:val="superscript"/>
          <w:lang w:eastAsia="sr-Latn-RS"/>
        </w:rPr>
        <w:t>–3</w:t>
      </w:r>
      <w:r w:rsidRPr="00B03342">
        <w:rPr>
          <w:rFonts w:ascii="Arial" w:hAnsi="Arial" w:cs="Arial"/>
          <w:color w:val="000000"/>
          <w:lang w:eastAsia="sr-Latn-RS"/>
        </w:rPr>
        <w:t> и максимума подручја бројача када ради у начину бројања појединачне честице. Те ће тачке обухватати номиналну нулту тачку концентрације која се добија прикључивањем HEPA филтера најмање класе H</w:t>
      </w:r>
      <w:r w:rsidRPr="00B03342">
        <w:rPr>
          <w:rFonts w:ascii="Arial" w:hAnsi="Arial" w:cs="Arial"/>
          <w:color w:val="000000"/>
          <w:vertAlign w:val="subscript"/>
          <w:lang w:eastAsia="sr-Latn-RS"/>
        </w:rPr>
        <w:t>13</w:t>
      </w:r>
      <w:r w:rsidRPr="00B03342">
        <w:rPr>
          <w:rFonts w:ascii="Arial" w:hAnsi="Arial" w:cs="Arial"/>
          <w:color w:val="000000"/>
          <w:lang w:eastAsia="sr-Latn-RS"/>
        </w:rPr>
        <w:t> према стандарду EN 1822:2008 или еквивалентног радног учинка на улаз сваког инструмента. Кад на бројач честица који се умерава није примењен умерни фактор, измерене концентрације морају бити унутар ± 10 % стандардне концентрације за сваку употребљену концентрацију с изузетком нулте тачке, у противном се бројач честица који се умерава мора одбити. Мора се обрачунати и забележити градијент линеарне регресије двају низова података. На бројач честица који се умерава мора се применити умерни фактор једнак реципрочном градијенту. Линеарност одзива обрачунава се као квадрат Пеарсонова коефицијента корелације (Р</w:t>
      </w:r>
      <w:r w:rsidRPr="00B03342">
        <w:rPr>
          <w:rFonts w:ascii="Arial" w:hAnsi="Arial" w:cs="Arial"/>
          <w:color w:val="000000"/>
          <w:vertAlign w:val="superscript"/>
          <w:lang w:eastAsia="sr-Latn-RS"/>
        </w:rPr>
        <w:t>2</w:t>
      </w:r>
      <w:r w:rsidRPr="00B03342">
        <w:rPr>
          <w:rFonts w:ascii="Arial" w:hAnsi="Arial" w:cs="Arial"/>
          <w:color w:val="000000"/>
          <w:lang w:eastAsia="sr-Latn-RS"/>
        </w:rPr>
        <w:t>) двају низова података и мора износити најмање 0,97. При обрачунавању градијента и Р</w:t>
      </w:r>
      <w:r w:rsidRPr="00B03342">
        <w:rPr>
          <w:rFonts w:ascii="Arial" w:hAnsi="Arial" w:cs="Arial"/>
          <w:color w:val="000000"/>
          <w:vertAlign w:val="superscript"/>
          <w:lang w:eastAsia="sr-Latn-RS"/>
        </w:rPr>
        <w:t>2</w:t>
      </w:r>
      <w:r w:rsidRPr="00B03342">
        <w:rPr>
          <w:rFonts w:ascii="Arial" w:hAnsi="Arial" w:cs="Arial"/>
          <w:color w:val="000000"/>
          <w:lang w:eastAsia="sr-Latn-RS"/>
        </w:rPr>
        <w:t> линеарна регресија мора бити усмерена кроз резултат (нулта концентрација на оба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2.2.1.4. Умеравање мора укључивати и проверу ефикасности детекције бројача честица с обзиром на захтеве из тачке 2.1.3.4.8. овог прилога с честицама проноса електричне мобилности од 23 nm. Провера ефикасности бројања с честицама од 41 nm није потребна.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 Умеравање/валидација VPR-а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2.2.2.1. Умеравање фактора смањења концентрације честица VPR-а у целом распону поставки разређења при фиксним номиналним радним температурама инструмента захтева се за нову јединицу и након већег одржавања. Захтев за периодичном валидацијом фактора смањења концентрације честица VPR-а ограничен је на проверу при једној поставки, типично оној употребљеној за мерење на недрумском покретном строју опремљеном филтером дизелских честица. Техничка служба мора осигурати да постоји умерни или валидацијски сертификат VPR-а унутар шест месеци пре испитивања емисија. Ако VPR има аларме за праћење температуре, допушта се 12-месечни валидацијски интервал.</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VPR мора имати карактеристике прикладне за фактор смањења концентрације честица с крутим честицама проноса електричне мобилности од 30 nm, 50 nm и 100 nm. Фактори смањења концентрације честица (f</w:t>
      </w:r>
      <w:r w:rsidRPr="00B03342">
        <w:rPr>
          <w:rFonts w:ascii="Arial" w:hAnsi="Arial" w:cs="Arial"/>
          <w:color w:val="000000"/>
          <w:vertAlign w:val="subscript"/>
          <w:lang w:eastAsia="sr-Latn-RS"/>
        </w:rPr>
        <w:t>r</w:t>
      </w:r>
      <w:r w:rsidRPr="00B03342">
        <w:rPr>
          <w:rFonts w:ascii="Arial" w:hAnsi="Arial" w:cs="Arial"/>
          <w:color w:val="000000"/>
          <w:lang w:eastAsia="sr-Latn-RS"/>
        </w:rPr>
        <w:t> (d)) за честице проноса електричне мобилности 30 nm и 50 nm не смеју бити већи од 30 % односно 20 % и више од 5 % мањи од онога за честице проноса електричне мобилности од 100 nm. За потребе валидације средњи фактор смањења концентрације честица мора бити унутар ± 10 % средњег фактора смањења концентрације честица (утврђеног током првог умеравања VPR.</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2.2.2.2. Испитни аеросол за та мерења морају бити чврсте честице проноса електричне мобилности 30, 50 и 100 nm и минимална концентрација од 5 000 честица по cm</w:t>
      </w:r>
      <w:r w:rsidRPr="00B03342">
        <w:rPr>
          <w:rFonts w:ascii="Arial" w:hAnsi="Arial" w:cs="Arial"/>
          <w:color w:val="000000"/>
          <w:vertAlign w:val="superscript"/>
          <w:lang w:eastAsia="sr-Latn-RS"/>
        </w:rPr>
        <w:t>– 3</w:t>
      </w:r>
      <w:r w:rsidRPr="00B03342">
        <w:rPr>
          <w:rFonts w:ascii="Arial" w:hAnsi="Arial" w:cs="Arial"/>
          <w:color w:val="000000"/>
          <w:lang w:eastAsia="sr-Latn-RS"/>
        </w:rPr>
        <w:t> на улазу VPR-а. Концентрација честица мора се мерити испред и иза саставних делова.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Фактор смањења концентрације честица код сваке величине честице (f</w:t>
      </w:r>
      <w:r w:rsidRPr="00B03342">
        <w:rPr>
          <w:rFonts w:ascii="Arial" w:hAnsi="Arial" w:cs="Arial"/>
          <w:color w:val="000000"/>
          <w:vertAlign w:val="subscript"/>
          <w:lang w:eastAsia="sr-Latn-RS"/>
        </w:rPr>
        <w:t>r</w:t>
      </w:r>
      <w:r w:rsidRPr="00B03342">
        <w:rPr>
          <w:rFonts w:ascii="Arial" w:hAnsi="Arial" w:cs="Arial"/>
          <w:color w:val="000000"/>
          <w:lang w:eastAsia="sr-Latn-RS"/>
        </w:rPr>
        <w:t> (d</w:t>
      </w:r>
      <w:r w:rsidRPr="00B03342">
        <w:rPr>
          <w:rFonts w:ascii="Arial" w:hAnsi="Arial" w:cs="Arial"/>
          <w:color w:val="000000"/>
          <w:vertAlign w:val="subscript"/>
          <w:lang w:eastAsia="sr-Latn-RS"/>
        </w:rPr>
        <w:t>i</w:t>
      </w:r>
      <w:r w:rsidRPr="00B03342">
        <w:rPr>
          <w:rFonts w:ascii="Arial" w:hAnsi="Arial" w:cs="Arial"/>
          <w:color w:val="000000"/>
          <w:lang w:eastAsia="sr-Latn-RS"/>
        </w:rPr>
        <w:t> )) мора се обрачунати из једначине (6-32):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56D857C" wp14:editId="05A6CE80">
            <wp:extent cx="5057140" cy="476885"/>
            <wp:effectExtent l="0" t="0" r="0" b="0"/>
            <wp:docPr id="250" name="Picture 250" descr="A mathematical formula showing r of di equals N sub in of di divided by N sub out of di with an equation number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mathematical formula showing r of di equals N sub in of di divided by N sub out of di with an equation number in parentheses.&#10;&#10;Description generated by A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7140" cy="47688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1"/>
        <w:gridCol w:w="922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in</w:t>
            </w:r>
            <w:r w:rsidRPr="00B03342">
              <w:rPr>
                <w:rFonts w:ascii="Arial" w:hAnsi="Arial" w:cs="Arial"/>
                <w:lang w:eastAsia="sr-Latn-RS"/>
              </w:rPr>
              <w:t> (d</w:t>
            </w:r>
            <w:r w:rsidRPr="00B03342">
              <w:rPr>
                <w:rFonts w:ascii="Arial" w:hAnsi="Arial" w:cs="Arial"/>
                <w:vertAlign w:val="subscript"/>
                <w:lang w:eastAsia="sr-Latn-RS"/>
              </w:rPr>
              <w:t>i</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бројчана концентрација честица проноса d</w:t>
            </w:r>
            <w:r w:rsidRPr="00B03342">
              <w:rPr>
                <w:rFonts w:ascii="Arial" w:hAnsi="Arial" w:cs="Arial"/>
                <w:vertAlign w:val="subscript"/>
                <w:lang w:eastAsia="sr-Latn-RS"/>
              </w:rPr>
              <w:t>i</w:t>
            </w:r>
            <w:r w:rsidRPr="00B03342">
              <w:rPr>
                <w:rFonts w:ascii="Arial" w:hAnsi="Arial" w:cs="Arial"/>
                <w:lang w:eastAsia="sr-Latn-RS"/>
              </w:rPr>
              <w:t> уз ток (испред)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out</w:t>
            </w:r>
            <w:r w:rsidRPr="00B03342">
              <w:rPr>
                <w:rFonts w:ascii="Arial" w:hAnsi="Arial" w:cs="Arial"/>
                <w:lang w:eastAsia="sr-Latn-RS"/>
              </w:rPr>
              <w:t> (d</w:t>
            </w:r>
            <w:r w:rsidRPr="00B03342">
              <w:rPr>
                <w:rFonts w:ascii="Arial" w:hAnsi="Arial" w:cs="Arial"/>
                <w:vertAlign w:val="subscript"/>
                <w:lang w:eastAsia="sr-Latn-RS"/>
              </w:rPr>
              <w:t>i</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бројчана концентрација честица проноса d</w:t>
            </w:r>
            <w:r w:rsidRPr="00B03342">
              <w:rPr>
                <w:rFonts w:ascii="Arial" w:hAnsi="Arial" w:cs="Arial"/>
                <w:vertAlign w:val="subscript"/>
                <w:lang w:eastAsia="sr-Latn-RS"/>
              </w:rPr>
              <w:t>i</w:t>
            </w:r>
            <w:r w:rsidRPr="00B03342">
              <w:rPr>
                <w:rFonts w:ascii="Arial" w:hAnsi="Arial" w:cs="Arial"/>
                <w:lang w:eastAsia="sr-Latn-RS"/>
              </w:rPr>
              <w:t> низ ток(иза)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d</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пронос електричне мобилности честице (30, 50 или 100 nm)</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w:t>
      </w:r>
      <w:r w:rsidRPr="00B03342">
        <w:rPr>
          <w:rFonts w:ascii="Arial" w:hAnsi="Arial" w:cs="Arial"/>
          <w:color w:val="000000"/>
          <w:vertAlign w:val="subscript"/>
          <w:lang w:eastAsia="sr-Latn-RS"/>
        </w:rPr>
        <w:t>in</w:t>
      </w:r>
      <w:r w:rsidRPr="00B03342">
        <w:rPr>
          <w:rFonts w:ascii="Arial" w:hAnsi="Arial" w:cs="Arial"/>
          <w:color w:val="000000"/>
          <w:lang w:eastAsia="sr-Latn-RS"/>
        </w:rPr>
        <w:t> (d</w:t>
      </w:r>
      <w:r w:rsidRPr="00B03342">
        <w:rPr>
          <w:rFonts w:ascii="Arial" w:hAnsi="Arial" w:cs="Arial"/>
          <w:color w:val="000000"/>
          <w:vertAlign w:val="subscript"/>
          <w:lang w:eastAsia="sr-Latn-RS"/>
        </w:rPr>
        <w:t>i</w:t>
      </w:r>
      <w:r w:rsidRPr="00B03342">
        <w:rPr>
          <w:rFonts w:ascii="Arial" w:hAnsi="Arial" w:cs="Arial"/>
          <w:color w:val="000000"/>
          <w:lang w:eastAsia="sr-Latn-RS"/>
        </w:rPr>
        <w:t> ) и N</w:t>
      </w:r>
      <w:r w:rsidRPr="00B03342">
        <w:rPr>
          <w:rFonts w:ascii="Arial" w:hAnsi="Arial" w:cs="Arial"/>
          <w:color w:val="000000"/>
          <w:vertAlign w:val="subscript"/>
          <w:lang w:eastAsia="sr-Latn-RS"/>
        </w:rPr>
        <w:t>out</w:t>
      </w:r>
      <w:r w:rsidRPr="00B03342">
        <w:rPr>
          <w:rFonts w:ascii="Arial" w:hAnsi="Arial" w:cs="Arial"/>
          <w:color w:val="000000"/>
          <w:lang w:eastAsia="sr-Latn-RS"/>
        </w:rPr>
        <w:t> (d</w:t>
      </w:r>
      <w:r w:rsidRPr="00B03342">
        <w:rPr>
          <w:rFonts w:ascii="Arial" w:hAnsi="Arial" w:cs="Arial"/>
          <w:color w:val="000000"/>
          <w:vertAlign w:val="subscript"/>
          <w:lang w:eastAsia="sr-Latn-RS"/>
        </w:rPr>
        <w:t>i</w:t>
      </w:r>
      <w:r w:rsidRPr="00B03342">
        <w:rPr>
          <w:rFonts w:ascii="Arial" w:hAnsi="Arial" w:cs="Arial"/>
          <w:color w:val="000000"/>
          <w:lang w:eastAsia="sr-Latn-RS"/>
        </w:rPr>
        <w:t> ) морају се кориговати за исте услове.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Средње смањење концентрације честица () при датој поставци разређења мора се обрачунати из једначине (6-33):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B4CC011" wp14:editId="7A713586">
            <wp:extent cx="5057140" cy="524510"/>
            <wp:effectExtent l="0" t="0" r="0" b="8890"/>
            <wp:docPr id="249" name="Picture 249" descr="An equation showing r as the average of r values at 30 nanometers, 50 nanometers, and 100 nanomet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equation showing r as the average of r values at 30 nanometers, 50 nanometers, and 100 nanometers.&#10;&#10;Description generated by A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57140" cy="5245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Препоручује се да се VPR умерава и валидира као комплетна јединица.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2.2.2.3. Техничка служба мора осигурати да постоји валидацијски сертификат VPR-а којим се доказује ефикасност одвајања испаривих честица унутар 6 месеци пре испитивања емисија. Ако VPR има аларме за праћење температуре, допушта се 12-месечни валидацијски интервал. Мора се доказати да VPR одваја више од 99,0 % честица тетраконтана (CH</w:t>
      </w:r>
      <w:r w:rsidRPr="00B03342">
        <w:rPr>
          <w:rFonts w:ascii="Arial" w:hAnsi="Arial" w:cs="Arial"/>
          <w:color w:val="000000"/>
          <w:vertAlign w:val="subscript"/>
          <w:lang w:eastAsia="sr-Latn-RS"/>
        </w:rPr>
        <w:t>3</w:t>
      </w:r>
      <w:r w:rsidRPr="00B03342">
        <w:rPr>
          <w:rFonts w:ascii="Arial" w:hAnsi="Arial" w:cs="Arial"/>
          <w:color w:val="000000"/>
          <w:lang w:eastAsia="sr-Latn-RS"/>
        </w:rPr>
        <w:t>(CH</w:t>
      </w:r>
      <w:r w:rsidRPr="00B03342">
        <w:rPr>
          <w:rFonts w:ascii="Arial" w:hAnsi="Arial" w:cs="Arial"/>
          <w:color w:val="000000"/>
          <w:vertAlign w:val="subscript"/>
          <w:lang w:eastAsia="sr-Latn-RS"/>
        </w:rPr>
        <w:t>2</w:t>
      </w:r>
      <w:r w:rsidRPr="00B03342">
        <w:rPr>
          <w:rFonts w:ascii="Arial" w:hAnsi="Arial" w:cs="Arial"/>
          <w:color w:val="000000"/>
          <w:lang w:eastAsia="sr-Latn-RS"/>
        </w:rPr>
        <w:t>)</w:t>
      </w:r>
      <w:r w:rsidRPr="00B03342">
        <w:rPr>
          <w:rFonts w:ascii="Arial" w:hAnsi="Arial" w:cs="Arial"/>
          <w:color w:val="000000"/>
          <w:vertAlign w:val="subscript"/>
          <w:lang w:eastAsia="sr-Latn-RS"/>
        </w:rPr>
        <w:t>38</w:t>
      </w:r>
      <w:r w:rsidRPr="00B03342">
        <w:rPr>
          <w:rFonts w:ascii="Arial" w:hAnsi="Arial" w:cs="Arial"/>
          <w:color w:val="000000"/>
          <w:lang w:eastAsia="sr-Latn-RS"/>
        </w:rPr>
        <w:t>CH</w:t>
      </w:r>
      <w:r w:rsidRPr="00B03342">
        <w:rPr>
          <w:rFonts w:ascii="Arial" w:hAnsi="Arial" w:cs="Arial"/>
          <w:color w:val="000000"/>
          <w:vertAlign w:val="subscript"/>
          <w:lang w:eastAsia="sr-Latn-RS"/>
        </w:rPr>
        <w:t>3</w:t>
      </w:r>
      <w:r w:rsidRPr="00B03342">
        <w:rPr>
          <w:rFonts w:ascii="Arial" w:hAnsi="Arial" w:cs="Arial"/>
          <w:color w:val="000000"/>
          <w:lang w:eastAsia="sr-Latn-RS"/>
        </w:rPr>
        <w:t>) пронос електричне мобилности од најмање 30 nm при улазној концентрацији ≥ 10 000 cm</w:t>
      </w:r>
      <w:r w:rsidRPr="00B03342">
        <w:rPr>
          <w:rFonts w:ascii="Arial" w:hAnsi="Arial" w:cs="Arial"/>
          <w:color w:val="000000"/>
          <w:vertAlign w:val="superscript"/>
          <w:lang w:eastAsia="sr-Latn-RS"/>
        </w:rPr>
        <w:t>– 3</w:t>
      </w:r>
      <w:r w:rsidRPr="00B03342">
        <w:rPr>
          <w:rFonts w:ascii="Arial" w:hAnsi="Arial" w:cs="Arial"/>
          <w:color w:val="000000"/>
          <w:lang w:eastAsia="sr-Latn-RS"/>
        </w:rPr>
        <w:t> кад ради на поставци минималног разређења и на радној температури коју је препоручио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 Поступци провере система за бројање честица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2.2.3.1. Пре сваког испитивања бројач честица мора дати измерену концентрацију мању од 0,5 честица по cm</w:t>
      </w:r>
      <w:r w:rsidRPr="00B03342">
        <w:rPr>
          <w:rFonts w:ascii="Arial" w:hAnsi="Arial" w:cs="Arial"/>
          <w:color w:val="000000"/>
          <w:vertAlign w:val="superscript"/>
          <w:lang w:eastAsia="sr-Latn-RS"/>
        </w:rPr>
        <w:t>– 3</w:t>
      </w:r>
      <w:r w:rsidRPr="00B03342">
        <w:rPr>
          <w:rFonts w:ascii="Arial" w:hAnsi="Arial" w:cs="Arial"/>
          <w:color w:val="000000"/>
          <w:lang w:eastAsia="sr-Latn-RS"/>
        </w:rPr>
        <w:t> кад је на улаз целог система за узорковање честица (VPR и PNC) постављен HEPA филтер класе не мање од H</w:t>
      </w:r>
      <w:r w:rsidRPr="00B03342">
        <w:rPr>
          <w:rFonts w:ascii="Arial" w:hAnsi="Arial" w:cs="Arial"/>
          <w:color w:val="000000"/>
          <w:vertAlign w:val="subscript"/>
          <w:lang w:eastAsia="sr-Latn-RS"/>
        </w:rPr>
        <w:t>13</w:t>
      </w:r>
      <w:r w:rsidRPr="00B03342">
        <w:rPr>
          <w:rFonts w:ascii="Arial" w:hAnsi="Arial" w:cs="Arial"/>
          <w:color w:val="000000"/>
          <w:lang w:eastAsia="sr-Latn-RS"/>
        </w:rPr>
        <w:t> према стандарду EN 1822:2008 или еквивалентне ефикасности.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2.2.3.2. Једанпут у месецу умереним мерачем протока проверава се да је измерена вредност протока у бројач честица унутар 5 % номиналног протока бројача честица.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2.2.3.3. Сваки дан, након примене HEPA филтера најмање класе H</w:t>
      </w:r>
      <w:r w:rsidRPr="00B03342">
        <w:rPr>
          <w:rFonts w:ascii="Arial" w:hAnsi="Arial" w:cs="Arial"/>
          <w:color w:val="000000"/>
          <w:vertAlign w:val="subscript"/>
          <w:lang w:eastAsia="sr-Latn-RS"/>
        </w:rPr>
        <w:t>13</w:t>
      </w:r>
      <w:r w:rsidRPr="00B03342">
        <w:rPr>
          <w:rFonts w:ascii="Arial" w:hAnsi="Arial" w:cs="Arial"/>
          <w:color w:val="000000"/>
          <w:lang w:eastAsia="sr-Latn-RS"/>
        </w:rPr>
        <w:t> према стандарду EN 1822:2008 или еквивалентне ефикасности на улаз бројача честица, бројач честица мора показивати концентрацију од ≤ 0,2 cm</w:t>
      </w:r>
      <w:r w:rsidRPr="00B03342">
        <w:rPr>
          <w:rFonts w:ascii="Arial" w:hAnsi="Arial" w:cs="Arial"/>
          <w:color w:val="000000"/>
          <w:vertAlign w:val="superscript"/>
          <w:lang w:eastAsia="sr-Latn-RS"/>
        </w:rPr>
        <w:t>– 3</w:t>
      </w:r>
      <w:r w:rsidRPr="00B03342">
        <w:rPr>
          <w:rFonts w:ascii="Arial" w:hAnsi="Arial" w:cs="Arial"/>
          <w:color w:val="000000"/>
          <w:lang w:eastAsia="sr-Latn-RS"/>
        </w:rPr>
        <w:t>. Након уклањања тог филтера, бројач честица мора показивати повећање измерене концентрације на најмање 100 честица по cm</w:t>
      </w:r>
      <w:r w:rsidRPr="00B03342">
        <w:rPr>
          <w:rFonts w:ascii="Arial" w:hAnsi="Arial" w:cs="Arial"/>
          <w:color w:val="000000"/>
          <w:vertAlign w:val="superscript"/>
          <w:lang w:eastAsia="sr-Latn-RS"/>
        </w:rPr>
        <w:t>– 3</w:t>
      </w:r>
      <w:r w:rsidRPr="00B03342">
        <w:rPr>
          <w:rFonts w:ascii="Arial" w:hAnsi="Arial" w:cs="Arial"/>
          <w:color w:val="000000"/>
          <w:lang w:eastAsia="sr-Latn-RS"/>
        </w:rPr>
        <w:t> у поређењу с околним ваздухом и вратити се на ≤ 0,2 cm</w:t>
      </w:r>
      <w:r w:rsidRPr="00B03342">
        <w:rPr>
          <w:rFonts w:ascii="Arial" w:hAnsi="Arial" w:cs="Arial"/>
          <w:color w:val="000000"/>
          <w:vertAlign w:val="superscript"/>
          <w:lang w:eastAsia="sr-Latn-RS"/>
        </w:rPr>
        <w:t>– 3</w:t>
      </w:r>
      <w:r w:rsidRPr="00B03342">
        <w:rPr>
          <w:rFonts w:ascii="Arial" w:hAnsi="Arial" w:cs="Arial"/>
          <w:color w:val="000000"/>
          <w:lang w:eastAsia="sr-Latn-RS"/>
        </w:rPr>
        <w:t> кад се замени HEPA филтер високе.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2.2.3.4. Пре почетка сваког испитивања мора се потврдити да мерни систем показује да је цев за испаравање, ако је уграђена у систем, постигла правилну радну температуру.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2.2.3.5. Пре почетка сваког испитивања мора се потврдити да мерни систем показује да је уређај за разређивање броја честица PND</w:t>
      </w:r>
      <w:r w:rsidRPr="00B03342">
        <w:rPr>
          <w:rFonts w:ascii="Arial" w:hAnsi="Arial" w:cs="Arial"/>
          <w:color w:val="000000"/>
          <w:vertAlign w:val="subscript"/>
          <w:lang w:eastAsia="sr-Latn-RS"/>
        </w:rPr>
        <w:t>1</w:t>
      </w:r>
      <w:r w:rsidRPr="00B03342">
        <w:rPr>
          <w:rFonts w:ascii="Arial" w:hAnsi="Arial" w:cs="Arial"/>
          <w:color w:val="000000"/>
          <w:lang w:eastAsia="sr-Latn-RS"/>
        </w:rPr>
        <w:t> постигао правилну радну температуру.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Инсталацијски захтеви за опрему и помоћне уређаје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9"/>
        <w:gridCol w:w="8092"/>
        <w:gridCol w:w="198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Опрема и помоћни уређаји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Уграђени за испитивање емисије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Усисни систем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Усисна грана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Систем за контролу емисија кућишта коленастог вратила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Мерач протока ваздуха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Филтер ваздуха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1</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Улазни пригушивач</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1</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Издувни систем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Систем за накнадну обраду издувних гасова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Издувна грана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Прикључне цеви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Пригушивач</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Издувна цев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Издувна кочионица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 (</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Компресор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 за довод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4</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Опрема за убризгавање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Предфилтер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Филтер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Високотлачна цев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Убризгивач</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Електроничке управљачке јединице, сензори итд.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Регулатор/систем контроле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Аутоматско заустављање управљачке летве при пуном оптерећењу зависно о атмосферским условима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Опрема за хлађење течношћу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Хладњак</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Вентилатор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Отвор вентилатора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 за воду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5</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Термостат</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6</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Ваздушно хлађење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Отвор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 (</w:t>
            </w:r>
            <w:r w:rsidRPr="00B03342">
              <w:rPr>
                <w:rFonts w:ascii="Arial" w:hAnsi="Arial" w:cs="Arial"/>
                <w:vertAlign w:val="superscript"/>
                <w:lang w:eastAsia="sr-Latn-RS"/>
              </w:rPr>
              <w:t>7</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Вентилатор или дуваљка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 (</w:t>
            </w:r>
            <w:r w:rsidRPr="00B03342">
              <w:rPr>
                <w:rFonts w:ascii="Arial" w:hAnsi="Arial" w:cs="Arial"/>
                <w:vertAlign w:val="superscript"/>
                <w:lang w:eastAsia="sr-Latn-RS"/>
              </w:rPr>
              <w:t>7</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Уређај за регулацију температуре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Опрема за преднабијање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Компресор директно покретан мотором и/или издувним системом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Хладњак компримованог ваздуха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w:t>
            </w:r>
            <w:r w:rsidRPr="00B03342">
              <w:rPr>
                <w:rFonts w:ascii="Arial" w:hAnsi="Arial" w:cs="Arial"/>
                <w:vertAlign w:val="superscript"/>
                <w:lang w:eastAsia="sr-Latn-RS"/>
              </w:rPr>
              <w:t>7</w:t>
            </w:r>
            <w:r w:rsidRPr="00B03342">
              <w:rPr>
                <w:rFonts w:ascii="Arial" w:hAnsi="Arial" w:cs="Arial"/>
                <w:lang w:eastAsia="sr-Latn-RS"/>
              </w:rPr>
              <w:t>) (</w:t>
            </w:r>
            <w:r w:rsidRPr="00B03342">
              <w:rPr>
                <w:rFonts w:ascii="Arial" w:hAnsi="Arial" w:cs="Arial"/>
                <w:vertAlign w:val="superscript"/>
                <w:lang w:eastAsia="sr-Latn-RS"/>
              </w:rPr>
              <w:t>8</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 или вентилатор расхладне течности (покретан мотором)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 (</w:t>
            </w:r>
            <w:r w:rsidRPr="00B03342">
              <w:rPr>
                <w:rFonts w:ascii="Arial" w:hAnsi="Arial" w:cs="Arial"/>
                <w:vertAlign w:val="superscript"/>
                <w:lang w:eastAsia="sr-Latn-RS"/>
              </w:rPr>
              <w:t>7</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Уређај за контролу протока расхладне течности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Помоћни вентилатор испитног стола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 ако је потребно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Уређај против загађења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Опрема за покретање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Да или опрема испитног стола (</w:t>
            </w:r>
            <w:r w:rsidRPr="00B03342">
              <w:rPr>
                <w:rFonts w:ascii="Arial" w:hAnsi="Arial" w:cs="Arial"/>
                <w:vertAlign w:val="superscript"/>
                <w:lang w:eastAsia="sr-Latn-RS"/>
              </w:rPr>
              <w:t>9</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Пумпа уља за подмазивање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Одређени помоћни уређаји чија је дефиниција повезана с радом недрумских покретних машина и који могу бити монтирани на мотор за испитивање се морају уклонити.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Следећи попис није исцрпан већ се наводи као пример:</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I. ваздушни компресор за кочионице</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II. компресор сервоуправљања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III. компресор</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IV. климатизациони систем.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Не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1</w:t>
      </w:r>
      <w:r w:rsidRPr="00B03342">
        <w:rPr>
          <w:rFonts w:ascii="Arial" w:hAnsi="Arial" w:cs="Arial"/>
          <w:color w:val="000000"/>
          <w:lang w:eastAsia="sr-Latn-RS"/>
        </w:rPr>
        <w:t>) Целокупни се усисни систем мора уградити како је предвиђено за примену којој је намењен: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ако постоји ризик од знатног учинка на снагу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ако произвођач захтева да се тако поступи.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свим другим случајевима може се употребити еквивалентни систем и провером се треба увјерити да се улазни притисак не разликује за више од 1 000 Pa од горње границе коју је декларисао произвођач за чисти филтер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Целокупни се издувни систем мора уградити како је предвиђено за примену којој је намењен: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 ако постоји ризик од знатног учинка на снагу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II. ако произвођач захтева да се тако поступи.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свим другим случајевима може се уградити еквивалентни систем ако се измерени притисак не разликује за више од 1 000 Pa од горње границе коју је декларисао произвођач.</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Ако је кочионица издувног система уграђена у мотор, склопка мора бити у потпуно отвореном положају.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Притисак довода горива може се прилагодити, према потреби, како би се репродуковао притисак који постоји у конкретној примени мотора (особито ако се употребљава систем „повраћаја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Циркулацију расхладне течности покреће се искључиво пумпом за воду мотора. Хлађење течности може се постићи спољним кругом, при чему пад притисака тог круга као и притисак на отвору пумпе остану морају остати приближно једнаки притисцима моторног система за хлађење.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6</w:t>
      </w:r>
      <w:r w:rsidRPr="00B03342">
        <w:rPr>
          <w:rFonts w:ascii="Arial" w:hAnsi="Arial" w:cs="Arial"/>
          <w:color w:val="000000"/>
          <w:lang w:eastAsia="sr-Latn-RS"/>
        </w:rPr>
        <w:t>) Термостат се може наместити у потпуно отворени положај.</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7</w:t>
      </w:r>
      <w:r w:rsidRPr="00B03342">
        <w:rPr>
          <w:rFonts w:ascii="Arial" w:hAnsi="Arial" w:cs="Arial"/>
          <w:color w:val="000000"/>
          <w:lang w:eastAsia="sr-Latn-RS"/>
        </w:rPr>
        <w:t>) Ако се ради испитивања уграде расхладни вентилатор или дуваљка, апсорбна снага мора се додати резултатима, осим за расхладне вентилаторе мотора хлађених ваздухом уграђене директно на коленасто вратило. Снага вентилатора или дуваљке утврђује се при испитним брзинама обрачунавањем из стандардних карактеристика или практичним испитивањима.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8</w:t>
      </w:r>
      <w:r w:rsidRPr="00B03342">
        <w:rPr>
          <w:rFonts w:ascii="Arial" w:hAnsi="Arial" w:cs="Arial"/>
          <w:color w:val="000000"/>
          <w:lang w:eastAsia="sr-Latn-RS"/>
        </w:rPr>
        <w:t>) Мотори с хлађењем компримованог ваздуха испитују се с хладњаком компримованог ваздуха, без обзира на то јесу ли хлађени течношћу или ваздухом, но хладњак се може заменити системом на испитном столу ако тако захтева произвођач. У оба случаја мерење снаге при свакој брзини обртања изводи се с максималним падом притисака и минималним падом температуре ваздуха мотора у хладњаку компримованог ваздуха на систему испитног стола које је декларисао произвођач.</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9</w:t>
      </w:r>
      <w:r w:rsidRPr="00B03342">
        <w:rPr>
          <w:rFonts w:ascii="Arial" w:hAnsi="Arial" w:cs="Arial"/>
          <w:color w:val="000000"/>
          <w:lang w:eastAsia="sr-Latn-RS"/>
        </w:rPr>
        <w:t>) Напајање електричних или других система за покретање осигурава се из испитног постоја.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сигнала закретног момента који шаље електроничка управљачка јединица (ECU)</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Сврха је овог додатка дефинисати захтеве за верификацију у случају да произвођач намерава употребљавати сигнал закретног момента који шаље ECU, ако је мотор тако опремљен, током спровођења испитивања праћењем у употреби.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Основа нето закретног момента мора бити некориговани нето закретни момент мотора укључујући опрему и помоћне уређаје које треба додати за испитивање емисија у складу с Додатком 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Сигнал закретног момента из ECU-а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мотор постављен на испитни сто и ради мапирања, морају се осигурати начини за очитавање сигнала закретног момента коју шаље ECU у складу са захтевима.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Поступак верификације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мапирање спроводи у складу с Одељком 7.6.2. овог прилога, истовремено се узимају очитања закретног момента измереног динамометром и момента који шаље ECU на најмање три тачке на криви закретног момента. Најмање једно очитање мора се узети на тачки криве на којој закретни момент није мањи од 98 % максималне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Обртни момент који шаље ECU прихвата се без исправака ако на свакој тачки мерења фактор прорачунат дељењем обртног момента из динамометра са обртним моментом из ЕЦУ-а не износи мање од 0,93 (тј. највећа разлика од 7 %). У том се случају у хомологацијском сертификату мора навести да је закретни момент из ECU-а проверен без корекције. Ако је фактор на једној или више испитних тачака мањи од 0,93, просечни корекцијски фактор мора се утврдити на основу свих тачака у којима су очитане вредности и навести у хомологацијском сертификату. Ако је фактор наведен у хомологацијском сертификату, мора се применити на закретни момент из ECU-а током испитивања праћењем у употреби.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Поступак за мерење амонијака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У овом се додатку описује поступак за мерење амонијака (NH</w:t>
      </w:r>
      <w:r w:rsidRPr="00B03342">
        <w:rPr>
          <w:rFonts w:ascii="Arial" w:hAnsi="Arial" w:cs="Arial"/>
          <w:color w:val="000000"/>
          <w:vertAlign w:val="subscript"/>
          <w:lang w:eastAsia="sr-Latn-RS"/>
        </w:rPr>
        <w:t>3</w:t>
      </w:r>
      <w:r w:rsidRPr="00B03342">
        <w:rPr>
          <w:rFonts w:ascii="Arial" w:hAnsi="Arial" w:cs="Arial"/>
          <w:color w:val="000000"/>
          <w:lang w:eastAsia="sr-Latn-RS"/>
        </w:rPr>
        <w:t>). За нелинеарне анализаторе допуштена је употреба склопова за линеаризацију.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Три су начела мерења одређена за мерење NH</w:t>
      </w:r>
      <w:r w:rsidRPr="00B03342">
        <w:rPr>
          <w:rFonts w:ascii="Arial" w:hAnsi="Arial" w:cs="Arial"/>
          <w:color w:val="000000"/>
          <w:vertAlign w:val="subscript"/>
          <w:lang w:eastAsia="sr-Latn-RS"/>
        </w:rPr>
        <w:t>3</w:t>
      </w:r>
      <w:r w:rsidRPr="00B03342">
        <w:rPr>
          <w:rFonts w:ascii="Arial" w:hAnsi="Arial" w:cs="Arial"/>
          <w:color w:val="000000"/>
          <w:lang w:eastAsia="sr-Latn-RS"/>
        </w:rPr>
        <w:t> и свако од тих три начела може се употребити под условом да испуњава критеријуме наведене у тачкама 2.1, 2.2. односно 2.3. Сушења на гас нису допуштена за мерење NH</w:t>
      </w:r>
      <w:r w:rsidRPr="00B03342">
        <w:rPr>
          <w:rFonts w:ascii="Arial" w:hAnsi="Arial" w:cs="Arial"/>
          <w:color w:val="000000"/>
          <w:vertAlign w:val="sub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Фоуриеров трансформацијски инфрацрвени анализатор (даље у тексту: FTIR)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Начело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FTIR употребљава начело широкопојасне инфрацрвене спектроскопије. Омогућује истовремено мерење компонената издувних гасова чији су стандардизирани спектри на располагању у инструменту. Апсорпцијски спектар (јачина/таласна дужина) обрачунава се из измереног интерферограма (јачина/време) Фоуриеровом трансформацијом.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 Инсталација и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FTIR се инсталира у складу с упутствима произвођача инструмента. За еволуацију се изабере таласна дужина NH</w:t>
      </w:r>
      <w:r w:rsidRPr="00B03342">
        <w:rPr>
          <w:rFonts w:ascii="Arial" w:hAnsi="Arial" w:cs="Arial"/>
          <w:color w:val="000000"/>
          <w:vertAlign w:val="subscript"/>
          <w:lang w:eastAsia="sr-Latn-RS"/>
        </w:rPr>
        <w:t>3</w:t>
      </w:r>
      <w:r w:rsidRPr="00B03342">
        <w:rPr>
          <w:rFonts w:ascii="Arial" w:hAnsi="Arial" w:cs="Arial"/>
          <w:color w:val="000000"/>
          <w:lang w:eastAsia="sr-Latn-RS"/>
        </w:rPr>
        <w:t>. Пут узорка (вод за узорковање, предфилтери и вентили) мора бити израђен од нерђајућег челика или политетрафлуоретилена (PTFE) и загрејан на Задате вредности температуре између 383 K (110 °C) и 464 K (191 °C) како би се на најмању меру смањили губици NH</w:t>
      </w:r>
      <w:r w:rsidRPr="00B03342">
        <w:rPr>
          <w:rFonts w:ascii="Arial" w:hAnsi="Arial" w:cs="Arial"/>
          <w:color w:val="000000"/>
          <w:vertAlign w:val="subscript"/>
          <w:lang w:eastAsia="sr-Latn-RS"/>
        </w:rPr>
        <w:t>3</w:t>
      </w:r>
      <w:r w:rsidRPr="00B03342">
        <w:rPr>
          <w:rFonts w:ascii="Arial" w:hAnsi="Arial" w:cs="Arial"/>
          <w:color w:val="000000"/>
          <w:lang w:eastAsia="sr-Latn-RS"/>
        </w:rPr>
        <w:t> и грешке узорковања. Уз то, вод за узорковање мора бити што краћи.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 Унакрсне сметње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Спектрална разлучивост таласне дужина NH</w:t>
      </w:r>
      <w:r w:rsidRPr="00B03342">
        <w:rPr>
          <w:rFonts w:ascii="Arial" w:hAnsi="Arial" w:cs="Arial"/>
          <w:color w:val="000000"/>
          <w:vertAlign w:val="subscript"/>
          <w:lang w:eastAsia="sr-Latn-RS"/>
        </w:rPr>
        <w:t>3</w:t>
      </w:r>
      <w:r w:rsidRPr="00B03342">
        <w:rPr>
          <w:rFonts w:ascii="Arial" w:hAnsi="Arial" w:cs="Arial"/>
          <w:color w:val="000000"/>
          <w:lang w:eastAsia="sr-Latn-RS"/>
        </w:rPr>
        <w:t> мора бити унутар 0,5 cm</w:t>
      </w:r>
      <w:r w:rsidRPr="00B03342">
        <w:rPr>
          <w:rFonts w:ascii="Arial" w:hAnsi="Arial" w:cs="Arial"/>
          <w:color w:val="000000"/>
          <w:vertAlign w:val="superscript"/>
          <w:lang w:eastAsia="sr-Latn-RS"/>
        </w:rPr>
        <w:t>– 1</w:t>
      </w:r>
      <w:r w:rsidRPr="00B03342">
        <w:rPr>
          <w:rFonts w:ascii="Arial" w:hAnsi="Arial" w:cs="Arial"/>
          <w:color w:val="000000"/>
          <w:lang w:eastAsia="sr-Latn-RS"/>
        </w:rPr>
        <w:t> како би се што више смањиле унакрсне сметње од других гасова присутних у издувном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Недисперзивни ултраљубичасти резонантноапсорпцијски (NDUV)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Начело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NDUV се базира на искључиво физичком начелу; нису потребни никакви помоћни гасови ни опрема. Главни је елемент фотометра избојна жаруља без електрода. Она производи јасно структурирано зрачење унутар ултраљубичастог распона што омогућује мерење неколико компонената као што је NH</w:t>
      </w:r>
      <w:r w:rsidRPr="00B03342">
        <w:rPr>
          <w:rFonts w:ascii="Arial" w:hAnsi="Arial" w:cs="Arial"/>
          <w:color w:val="000000"/>
          <w:vertAlign w:val="sub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Фотометарски систем има двоснопну једнодетекторску верзију за стварање мерног и референтног снопа техником корелације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постигла висока стабилност мерног сигнала, двоснопна једнодетекторска верзија комбинова се с двоснопном дводетекторском изведбом. Обрађивање сигнала детектора потиче готово занемариву количину брзину нултог напретка.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Кад је анализатор у умерном начину рада, на пут снопа нагне се запечаћена кварцна ћелија како би се добила тачна умерна вредност умеравања јер сви губици због рефлексије и апсорпције компензују. Будући да је гасно пуњење ћелије веома стабилно, том се умерном методом постиже јако висока дугорочна стабилност фотометра.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 Инсталација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Анализатор се мора инсталирати у орман анализатора који подржава екстракцијско узорковање у складу с упутствима произвођача инструмента. Место на којем се налази анализатор мора бити способно издржати тежину коју је навео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Пут узорка (вод за узорковање, предфилтери и вентили) мора бити израђен од нерђајућег челика или политетрафлуоретилена (PTFE) и загрејан на задате вредности температуре између 383 K (110 °C) и 464 K (191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 то, вод за узорковање мора бити што краћи. Утицаји температуре и притисака издувног гаса, околине инсталације и вибрација на мерење морају се смањити на најмању могућу меру.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Анализатор гаса мора се заштити од хладноће, топлоте, температурних промена и снажних ваздушних струја, накупљања прашине, корозивне атмосфере и вибрација. Мора се осигурати примерена циркулација ваздуха како би се избегло прегрејавање. За расхлађивање се мора употребљавати цела површина.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 Унакрсна осетљивост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 се одабрати одговарајући спектрални распон ради смањења унакрсних интерференција пратећих гасова на најмању могућу разину. Најчешће компоненте које проузрокују унакрсне осетљивости мерења NH</w:t>
      </w:r>
      <w:r w:rsidRPr="00B03342">
        <w:rPr>
          <w:rFonts w:ascii="Arial" w:hAnsi="Arial" w:cs="Arial"/>
          <w:color w:val="000000"/>
          <w:vertAlign w:val="subscript"/>
          <w:lang w:eastAsia="sr-Latn-RS"/>
        </w:rPr>
        <w:t>3</w:t>
      </w:r>
      <w:r w:rsidRPr="00B03342">
        <w:rPr>
          <w:rFonts w:ascii="Arial" w:hAnsi="Arial" w:cs="Arial"/>
          <w:color w:val="000000"/>
          <w:lang w:eastAsia="sr-Latn-RS"/>
        </w:rPr>
        <w:t> у SO</w:t>
      </w:r>
      <w:r w:rsidRPr="00B03342">
        <w:rPr>
          <w:rFonts w:ascii="Arial" w:hAnsi="Arial" w:cs="Arial"/>
          <w:color w:val="000000"/>
          <w:vertAlign w:val="subscript"/>
          <w:lang w:eastAsia="sr-Latn-RS"/>
        </w:rPr>
        <w:t>2</w:t>
      </w:r>
      <w:r w:rsidRPr="00B03342">
        <w:rPr>
          <w:rFonts w:ascii="Arial" w:hAnsi="Arial" w:cs="Arial"/>
          <w:color w:val="000000"/>
          <w:lang w:eastAsia="sr-Latn-RS"/>
        </w:rPr>
        <w:t>, NO</w:t>
      </w:r>
      <w:r w:rsidRPr="00B03342">
        <w:rPr>
          <w:rFonts w:ascii="Arial" w:hAnsi="Arial" w:cs="Arial"/>
          <w:color w:val="000000"/>
          <w:vertAlign w:val="subscript"/>
          <w:lang w:eastAsia="sr-Latn-RS"/>
        </w:rPr>
        <w:t>2</w:t>
      </w:r>
      <w:r w:rsidRPr="00B03342">
        <w:rPr>
          <w:rFonts w:ascii="Arial" w:hAnsi="Arial" w:cs="Arial"/>
          <w:color w:val="000000"/>
          <w:lang w:eastAsia="sr-Latn-RS"/>
        </w:rPr>
        <w:t> и NO.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 то, могу се применити додатне методе за смањење унакрсних осетљивости: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примена интерференцијских филтера;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компензација унакрсне осетљивости мерењем компоненти унакрсне осетљивости и је декларисаног мерног сигнала за компензацију.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Ласерски инфрацрвени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Начело мерења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Инфрацрвени ласер попут прилагодљивог диодног ласера (TDL) или квантно каскадног ласера (QCL) могу емитовати кохерентну светлост у подручју близу инфрацрвеног или у средњеинфрацрвеном подручју у којима азотови спојеви, укључујући NH</w:t>
      </w:r>
      <w:r w:rsidRPr="00B03342">
        <w:rPr>
          <w:rFonts w:ascii="Arial" w:hAnsi="Arial" w:cs="Arial"/>
          <w:color w:val="000000"/>
          <w:vertAlign w:val="subscript"/>
          <w:lang w:eastAsia="sr-Latn-RS"/>
        </w:rPr>
        <w:t>3</w:t>
      </w:r>
      <w:r w:rsidRPr="00B03342">
        <w:rPr>
          <w:rFonts w:ascii="Arial" w:hAnsi="Arial" w:cs="Arial"/>
          <w:color w:val="000000"/>
          <w:lang w:eastAsia="sr-Latn-RS"/>
        </w:rPr>
        <w:t>, имају висок степен апсорпције. Та ласерска оптика може у пулсном начину рада дати уски појас високе разлучивости у подручју блиском инфрацрвеном или у средњеинфрацрвеном подручју. Стога ласерски инфрацрвени анализатори могу смањити интерференцију коју проузрокује спектрално преклапање истовремено присутних гасова у издувном гасу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2.3.2. Инсталација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Анализатор се уграђује било директно у издувну цев (in situ) или у орман анализатора који подржава екстракцијско узорковање у складу с упутствима произвођача инструмента. Ако се угради у орман, пут узорка (вод за узорковање, предфилтери и вентили) мора бити израђен од нерђајућег челика или политетрафлуоретилена (PTFE) и грејан на задатим вредностима између 383 K (110 °C) и 464 K (191 °C) како би се смањили на најмању могућу меру губици NH</w:t>
      </w:r>
      <w:r w:rsidRPr="00B03342">
        <w:rPr>
          <w:rFonts w:ascii="Arial" w:hAnsi="Arial" w:cs="Arial"/>
          <w:color w:val="000000"/>
          <w:vertAlign w:val="subscript"/>
          <w:lang w:eastAsia="sr-Latn-RS"/>
        </w:rPr>
        <w:t>3</w:t>
      </w:r>
      <w:r w:rsidRPr="00B03342">
        <w:rPr>
          <w:rFonts w:ascii="Arial" w:hAnsi="Arial" w:cs="Arial"/>
          <w:color w:val="000000"/>
          <w:lang w:eastAsia="sr-Latn-RS"/>
        </w:rPr>
        <w:t> и грешке узорковања. Уз то, вод за узорковање мора бити што краћи.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Утицаји температуре и притисака издувних гасова, околине уградње и вибрација на мерење морају се смањити на најмању могућу меру или се употребљавају компензацијске технике.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примењиво, ваздух без честица који се употребљава заједно с мерењем in situ за заштиту инструмента не сме утицати на концентрацију било које од компонената издувног гаса измерених иза уређаја, у противном се узорковање других компонената издувног гаса мора спровести испред уређаја.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2.3.3. Верификација интерференције за ласерске инфрацрвене анализаторе H</w:t>
      </w:r>
      <w:r w:rsidRPr="00B03342">
        <w:rPr>
          <w:rFonts w:ascii="Arial" w:hAnsi="Arial" w:cs="Arial"/>
          <w:color w:val="000000"/>
          <w:vertAlign w:val="subscript"/>
          <w:lang w:eastAsia="sr-Latn-RS"/>
        </w:rPr>
        <w:t>3</w:t>
      </w:r>
      <w:r w:rsidRPr="00B03342">
        <w:rPr>
          <w:rFonts w:ascii="Arial" w:hAnsi="Arial" w:cs="Arial"/>
          <w:color w:val="000000"/>
          <w:lang w:eastAsia="sr-Latn-RS"/>
        </w:rPr>
        <w:t> (унакрсна интерференција)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2.3.3.1. Опсег и фреквенција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NH</w:t>
      </w:r>
      <w:r w:rsidRPr="00B03342">
        <w:rPr>
          <w:rFonts w:ascii="Arial" w:hAnsi="Arial" w:cs="Arial"/>
          <w:color w:val="000000"/>
          <w:vertAlign w:val="subscript"/>
          <w:lang w:eastAsia="sr-Latn-RS"/>
        </w:rPr>
        <w:t>3</w:t>
      </w:r>
      <w:r w:rsidRPr="00B03342">
        <w:rPr>
          <w:rFonts w:ascii="Arial" w:hAnsi="Arial" w:cs="Arial"/>
          <w:color w:val="000000"/>
          <w:lang w:eastAsia="sr-Latn-RS"/>
        </w:rPr>
        <w:t> мери ласерским инфрацрвеним анализатором, онда се количина интерференције верификује након прве инсталације анализатора и након већег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2.3.3.2. Начела мерења за верификацију интерференције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Интерференцијски гасови могу имати позитивну интерференцију с одређеним ласерским инфрацрвеним анализаторима проузроковативањем одзива сличног одзиву на NH</w:t>
      </w:r>
      <w:r w:rsidRPr="00B03342">
        <w:rPr>
          <w:rFonts w:ascii="Arial" w:hAnsi="Arial" w:cs="Arial"/>
          <w:color w:val="000000"/>
          <w:vertAlign w:val="subscript"/>
          <w:lang w:eastAsia="sr-Latn-RS"/>
        </w:rPr>
        <w:t>3</w:t>
      </w:r>
      <w:r w:rsidRPr="00B03342">
        <w:rPr>
          <w:rFonts w:ascii="Arial" w:hAnsi="Arial" w:cs="Arial"/>
          <w:color w:val="000000"/>
          <w:lang w:eastAsia="sr-Latn-RS"/>
        </w:rPr>
        <w:t>. Ако анализатор има компензацијске алгоритме који употребљавају мерења других гасова да задовоље на овој верификацији интерференције, та се друга мерења морају спроводити истовремено како би се током верификације интерференције анализатора тестирали компензацијски алгоритми.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утврђивање интерференцијских гасова за ласерски инфрацрвени анализатор примењује се добра инжењерска процена. Треба имати на уму да интерференцијске врсте, уз изнимку H</w:t>
      </w:r>
      <w:r w:rsidRPr="00B03342">
        <w:rPr>
          <w:rFonts w:ascii="Arial" w:hAnsi="Arial" w:cs="Arial"/>
          <w:color w:val="000000"/>
          <w:vertAlign w:val="subscript"/>
          <w:lang w:eastAsia="sr-Latn-RS"/>
        </w:rPr>
        <w:t>2</w:t>
      </w:r>
      <w:r w:rsidRPr="00B03342">
        <w:rPr>
          <w:rFonts w:ascii="Arial" w:hAnsi="Arial" w:cs="Arial"/>
          <w:color w:val="000000"/>
          <w:lang w:eastAsia="sr-Latn-RS"/>
        </w:rPr>
        <w:t>O, зависе о појасу инфрацрвене апсорпције NH</w:t>
      </w:r>
      <w:r w:rsidRPr="00B03342">
        <w:rPr>
          <w:rFonts w:ascii="Arial" w:hAnsi="Arial" w:cs="Arial"/>
          <w:color w:val="000000"/>
          <w:vertAlign w:val="subscript"/>
          <w:lang w:eastAsia="sr-Latn-RS"/>
        </w:rPr>
        <w:t>3</w:t>
      </w:r>
      <w:r w:rsidRPr="00B03342">
        <w:rPr>
          <w:rFonts w:ascii="Arial" w:hAnsi="Arial" w:cs="Arial"/>
          <w:color w:val="000000"/>
          <w:lang w:eastAsia="sr-Latn-RS"/>
        </w:rPr>
        <w:t> који одабире произвођач инструмента. За сваки се анализатор одређује појас инфрацрвене апсорпције NH</w:t>
      </w:r>
      <w:r w:rsidRPr="00B03342">
        <w:rPr>
          <w:rFonts w:ascii="Arial" w:hAnsi="Arial" w:cs="Arial"/>
          <w:color w:val="000000"/>
          <w:vertAlign w:val="subscript"/>
          <w:lang w:eastAsia="sr-Latn-RS"/>
        </w:rPr>
        <w:t>3</w:t>
      </w:r>
      <w:r w:rsidRPr="00B03342">
        <w:rPr>
          <w:rFonts w:ascii="Arial" w:hAnsi="Arial" w:cs="Arial"/>
          <w:color w:val="000000"/>
          <w:lang w:eastAsia="sr-Latn-RS"/>
        </w:rPr>
        <w:t>. За сваки се појас инфрацрвене апсорпције NH</w:t>
      </w:r>
      <w:r w:rsidRPr="00B03342">
        <w:rPr>
          <w:rFonts w:ascii="Arial" w:hAnsi="Arial" w:cs="Arial"/>
          <w:color w:val="000000"/>
          <w:vertAlign w:val="subscript"/>
          <w:lang w:eastAsia="sr-Latn-RS"/>
        </w:rPr>
        <w:t>3</w:t>
      </w:r>
      <w:r w:rsidRPr="00B03342">
        <w:rPr>
          <w:rFonts w:ascii="Arial" w:hAnsi="Arial" w:cs="Arial"/>
          <w:color w:val="000000"/>
          <w:lang w:eastAsia="sr-Latn-RS"/>
        </w:rPr>
        <w:t> интерфернцијски гасови за употребу у поступку верификације одређују на основу добре инжењерске процене.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Поступак испитивања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Провера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 испитивања емисија мора се одабрати мерно подручје анализатора. Допуштени су анализатори емисија с аутоматским или ручним бирањем мерног подручја. Током испитног циклуса мерно подручје анализатора не сме се мењати.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Морају се утврдити нулти и распонски одзив ако се одредбе из тачке 3.4.2. овог прилога не примењују на инструмент. За распонски одзив употребљава се гас NH</w:t>
      </w:r>
      <w:r w:rsidRPr="00B03342">
        <w:rPr>
          <w:rFonts w:ascii="Arial" w:hAnsi="Arial" w:cs="Arial"/>
          <w:color w:val="000000"/>
          <w:vertAlign w:val="subscript"/>
          <w:lang w:eastAsia="sr-Latn-RS"/>
        </w:rPr>
        <w:t>3</w:t>
      </w:r>
      <w:r w:rsidRPr="00B03342">
        <w:rPr>
          <w:rFonts w:ascii="Arial" w:hAnsi="Arial" w:cs="Arial"/>
          <w:color w:val="000000"/>
          <w:lang w:eastAsia="sr-Latn-RS"/>
        </w:rPr>
        <w:t> који одговара спецификацијама из тачке 4.2.7 овог прилога. Допуштена је употреба референтних ћелија с распонским NH</w:t>
      </w:r>
      <w:r w:rsidRPr="00B03342">
        <w:rPr>
          <w:rFonts w:ascii="Arial" w:hAnsi="Arial" w:cs="Arial"/>
          <w:color w:val="000000"/>
          <w:vertAlign w:val="sub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 Прикупљање података релевантних за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Истовремено с почетком испитног редоследа мора почети прикупљање података о NH</w:t>
      </w:r>
      <w:r w:rsidRPr="00B03342">
        <w:rPr>
          <w:rFonts w:ascii="Arial" w:hAnsi="Arial" w:cs="Arial"/>
          <w:color w:val="000000"/>
          <w:vertAlign w:val="subscript"/>
          <w:lang w:eastAsia="sr-Latn-RS"/>
        </w:rPr>
        <w:t>3</w:t>
      </w:r>
      <w:r w:rsidRPr="00B03342">
        <w:rPr>
          <w:rFonts w:ascii="Arial" w:hAnsi="Arial" w:cs="Arial"/>
          <w:color w:val="000000"/>
          <w:lang w:eastAsia="sr-Latn-RS"/>
        </w:rPr>
        <w:t>. Концентрација NH</w:t>
      </w:r>
      <w:r w:rsidRPr="00B03342">
        <w:rPr>
          <w:rFonts w:ascii="Arial" w:hAnsi="Arial" w:cs="Arial"/>
          <w:color w:val="000000"/>
          <w:vertAlign w:val="subscript"/>
          <w:lang w:eastAsia="sr-Latn-RS"/>
        </w:rPr>
        <w:t>3</w:t>
      </w:r>
      <w:r w:rsidRPr="00B03342">
        <w:rPr>
          <w:rFonts w:ascii="Arial" w:hAnsi="Arial" w:cs="Arial"/>
          <w:color w:val="000000"/>
          <w:lang w:eastAsia="sr-Latn-RS"/>
        </w:rPr>
        <w:t> мери се стално и похрањује у рачунарском систему фреквенцијом од најмање 1 Hz.</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 Радње након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завршетка испитивања узорковање се мора наставити док не истекну времена одзиви система. Утврђивање напретка анализатора у складу с тачком 3.4.1 овог прилога. захтева се само ако информације из тачке 3.4.2. овог прилога нису на располагању.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 Помак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 Што пре, а најкасније 30 минута након краја испитног циклуса или током кондиционирања, утврђују се нулти и распонски одзив анализатора. Разлика између резултата пре и после испитивања мора бити мања од 2 % целе скале.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3.4.2. Утврђивање напретка анализатора не захтева се у следећим ситуацијама: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нулти и распонски помак које је декларисао произвођач инструмента у тач. 4.2.3. и 4.2.4. овог прилога испуњава захтеве из тачке 3.4.1.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ако интервал за нулти и распонски помак које је декларисао произвођач инструмента у тач. 4.2.3. и 4.2.4. овог прилога прелази трајање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Спецификација и верификација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Захтеви у погледу линеарности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Анализатор мора испуњавати захтеве у погледу линеарности из табеле 6.5. овог прилога. Верификација линеарности у складу с тачком 8.1.4. овог прилога спроводи се барем минималном фреквенцијом која је утврђена у табели 6.4. овог прилога. Уз претходно одобрење хомологацијског тела допуштено је мање од 10 референтних тачака ако се може доказати еквивалентна тачност.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верификацију линеарности употребљава се гас NH</w:t>
      </w:r>
      <w:r w:rsidRPr="00B03342">
        <w:rPr>
          <w:rFonts w:ascii="Arial" w:hAnsi="Arial" w:cs="Arial"/>
          <w:color w:val="000000"/>
          <w:vertAlign w:val="subscript"/>
          <w:lang w:eastAsia="sr-Latn-RS"/>
        </w:rPr>
        <w:t>3</w:t>
      </w:r>
      <w:r w:rsidRPr="00B03342">
        <w:rPr>
          <w:rFonts w:ascii="Arial" w:hAnsi="Arial" w:cs="Arial"/>
          <w:color w:val="000000"/>
          <w:lang w:eastAsia="sr-Latn-RS"/>
        </w:rPr>
        <w:t> који одговара спецификацијама из тачке 4.2.7. Допуштена је употреба референтних ћелија с распонским NH</w:t>
      </w:r>
      <w:r w:rsidRPr="00B03342">
        <w:rPr>
          <w:rFonts w:ascii="Arial" w:hAnsi="Arial" w:cs="Arial"/>
          <w:color w:val="000000"/>
          <w:vertAlign w:val="subscript"/>
          <w:lang w:eastAsia="sr-Latn-RS"/>
        </w:rPr>
        <w:t>3</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Инструменти чији се сигнали употребљавају за компензацијске алгоритме морају испуњавати захтеве у погледу линеарности из табеле 6.5. овог прилога. Верификацију линеарности спроводи произвођач инструмента или се спроводи у складу са захтевима ISO 9000 или поступцима унутрашње контроле.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Спецификације анализатора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Анализатор мора имати мерно подручје и време одзива који су прикладни за захтевану тачност при мерењу концентрације NH</w:t>
      </w:r>
      <w:r w:rsidRPr="00B03342">
        <w:rPr>
          <w:rFonts w:ascii="Arial" w:hAnsi="Arial" w:cs="Arial"/>
          <w:color w:val="000000"/>
          <w:vertAlign w:val="subscript"/>
          <w:lang w:eastAsia="sr-Latn-RS"/>
        </w:rPr>
        <w:t>3</w:t>
      </w:r>
      <w:r w:rsidRPr="00B03342">
        <w:rPr>
          <w:rFonts w:ascii="Arial" w:hAnsi="Arial" w:cs="Arial"/>
          <w:color w:val="000000"/>
          <w:lang w:eastAsia="sr-Latn-RS"/>
        </w:rPr>
        <w:t> у динамичким и стационарним условима.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4.2.1. Најнижа граница детекције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Најнижа граница детекције анализатора у свим условима испитивања мора бити &lt; 2 ppm.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 Тачност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Тачност, одређена као одступање очитања анализатора од референтне вредности, не сме прелазити ± 3 % очитања или ± 2 ppm, зависно шта је веће.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4.2.3. Нулто одступање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Помак нултог одступања и одговарајући интервал одређује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4.2.4. Распонско одступање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Помак распонског одступања и одговарајући интервал одређује произвођач инструмента.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4.2.5. Време одзива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Време одзива система мора бити ≤ 20 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4.2.6. Време пораста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Време пораста анализатора мора бити ≤ 5 s.</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4.2.7. Умерни гас NH</w:t>
      </w:r>
      <w:r w:rsidRPr="00B03342">
        <w:rPr>
          <w:rFonts w:ascii="Arial" w:hAnsi="Arial" w:cs="Arial"/>
          <w:color w:val="000000"/>
          <w:vertAlign w:val="subscript"/>
          <w:lang w:eastAsia="sr-Latn-RS"/>
        </w:rPr>
        <w:t>3</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На располагању мора бити смеса гасова са следећим хемијским саставом: NH</w:t>
      </w:r>
      <w:r w:rsidRPr="00B03342">
        <w:rPr>
          <w:rFonts w:ascii="Arial" w:hAnsi="Arial" w:cs="Arial"/>
          <w:color w:val="000000"/>
          <w:vertAlign w:val="subscript"/>
          <w:lang w:eastAsia="sr-Latn-RS"/>
        </w:rPr>
        <w:t>3</w:t>
      </w:r>
      <w:r w:rsidRPr="00B03342">
        <w:rPr>
          <w:rFonts w:ascii="Arial" w:hAnsi="Arial" w:cs="Arial"/>
          <w:color w:val="000000"/>
          <w:lang w:eastAsia="sr-Latn-RS"/>
        </w:rPr>
        <w:t> и прочишћени азот.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Права концентрација умерног гаса мора бити унутар ± 3 % номиналне вредности. Концентрација NH</w:t>
      </w:r>
      <w:r w:rsidRPr="00B03342">
        <w:rPr>
          <w:rFonts w:ascii="Arial" w:hAnsi="Arial" w:cs="Arial"/>
          <w:color w:val="000000"/>
          <w:vertAlign w:val="subscript"/>
          <w:lang w:eastAsia="sr-Latn-RS"/>
        </w:rPr>
        <w:t>3</w:t>
      </w:r>
      <w:r w:rsidRPr="00B03342">
        <w:rPr>
          <w:rFonts w:ascii="Arial" w:hAnsi="Arial" w:cs="Arial"/>
          <w:color w:val="000000"/>
          <w:lang w:eastAsia="sr-Latn-RS"/>
        </w:rPr>
        <w:t> изражава се на основу обима (обимски удео или % ppm).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Рокови трајања мерних гасова које наведе произвођач морају се забележити. 4.2.8. Поступак верификације интерференције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Верификација интерференције спроводи се на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NH</w:t>
      </w:r>
      <w:r w:rsidRPr="00B03342">
        <w:rPr>
          <w:rFonts w:ascii="Arial" w:hAnsi="Arial" w:cs="Arial"/>
          <w:color w:val="000000"/>
          <w:vertAlign w:val="subscript"/>
          <w:lang w:eastAsia="sr-Latn-RS"/>
        </w:rPr>
        <w:t>3</w:t>
      </w:r>
      <w:r w:rsidRPr="00B03342">
        <w:rPr>
          <w:rFonts w:ascii="Arial" w:hAnsi="Arial" w:cs="Arial"/>
          <w:color w:val="000000"/>
          <w:lang w:eastAsia="sr-Latn-RS"/>
        </w:rPr>
        <w:t> анализатор мора се укључити, радити те нулто и распонски умерити као што би се то учинило и пре испитивања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овлажени интерференцијски испитни гас производи се продувавањем мехурића распонског гаса кроз дестилисану воду у забртвљеној посуди. Ако узорак не пролази кроз уређај за сушење узорка, температура посуде регулише се како би ниво H</w:t>
      </w:r>
      <w:r w:rsidRPr="00B03342">
        <w:rPr>
          <w:rFonts w:ascii="Arial" w:hAnsi="Arial" w:cs="Arial"/>
          <w:color w:val="000000"/>
          <w:vertAlign w:val="subscript"/>
          <w:lang w:eastAsia="sr-Latn-RS"/>
        </w:rPr>
        <w:t>2</w:t>
      </w:r>
      <w:r w:rsidRPr="00B03342">
        <w:rPr>
          <w:rFonts w:ascii="Arial" w:hAnsi="Arial" w:cs="Arial"/>
          <w:color w:val="000000"/>
          <w:lang w:eastAsia="sr-Latn-RS"/>
        </w:rPr>
        <w:t>O била висока барем као максимална очекивани ниво током испитивања емисије. Употребљава се концентрација интеференцијског распонског гаса која је висока барем као максимална очекивани ниво током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овлажени интерференцијски испитни гас уводи се у систем за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моларна фракција воде, x H</w:t>
      </w:r>
      <w:r w:rsidRPr="00B03342">
        <w:rPr>
          <w:rFonts w:ascii="Arial" w:hAnsi="Arial" w:cs="Arial"/>
          <w:color w:val="000000"/>
          <w:vertAlign w:val="subscript"/>
          <w:lang w:eastAsia="sr-Latn-RS"/>
        </w:rPr>
        <w:t>2</w:t>
      </w:r>
      <w:r w:rsidRPr="00B03342">
        <w:rPr>
          <w:rFonts w:ascii="Arial" w:hAnsi="Arial" w:cs="Arial"/>
          <w:color w:val="000000"/>
          <w:lang w:eastAsia="sr-Latn-RS"/>
        </w:rPr>
        <w:t>O, овлаженог интерференцијског испитног гаса мери што је ближе могуће улазу анализатора. Нпр, мере се тачка рошења, T dew, и апсолутни притисак, p total, како би се обрачунао H</w:t>
      </w:r>
      <w:r w:rsidRPr="00B03342">
        <w:rPr>
          <w:rFonts w:ascii="Arial" w:hAnsi="Arial" w:cs="Arial"/>
          <w:color w:val="000000"/>
          <w:vertAlign w:val="subscript"/>
          <w:lang w:eastAsia="sr-Latn-RS"/>
        </w:rPr>
        <w:t>2</w:t>
      </w:r>
      <w:r w:rsidRPr="00B03342">
        <w:rPr>
          <w:rFonts w:ascii="Arial" w:hAnsi="Arial" w:cs="Arial"/>
          <w:color w:val="000000"/>
          <w:lang w:eastAsia="sr-Latn-RS"/>
        </w:rPr>
        <w:t>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за спречавање кондензације у преносним водовима, спојевима или вентилима од тачке где се мери x H</w:t>
      </w:r>
      <w:r w:rsidRPr="00B03342">
        <w:rPr>
          <w:rFonts w:ascii="Arial" w:hAnsi="Arial" w:cs="Arial"/>
          <w:color w:val="000000"/>
          <w:vertAlign w:val="subscript"/>
          <w:lang w:eastAsia="sr-Latn-RS"/>
        </w:rPr>
        <w:t>2</w:t>
      </w:r>
      <w:r w:rsidRPr="00B03342">
        <w:rPr>
          <w:rFonts w:ascii="Arial" w:hAnsi="Arial" w:cs="Arial"/>
          <w:color w:val="000000"/>
          <w:lang w:eastAsia="sr-Latn-RS"/>
        </w:rPr>
        <w:t>O до анализатора примењује се добра инжењерска процена;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мора се допустити време за стабилизацију одзива анализатора;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док анализатор мери концентрацију узорка, 30 секунда бележе се његове излазне вредности. Обрачунава се аритметичка средина тих података;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(ж) анализатор задовољава на верификацији интерференције ако резултат из става (г) ове тачке одговара допуштеном одстепену из овог одељка.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 интерференцијски поступци за појединачне интерференцијске гасове могу се изводити засебно. Ако су коришћене нивое интерфернцијског гаса више од максималних нивоа очекиваних током испитивања, свака се проматрана вредност интерференције може пропорционално смањити тако да се помножи с односом максималне очекиване концентрације и њезине стварне вредности коришћене у овом поступку. Могу се употребити и одвојене интерференцијске концентрације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(до удела H</w:t>
      </w:r>
      <w:r w:rsidRPr="00B03342">
        <w:rPr>
          <w:rFonts w:ascii="Arial" w:hAnsi="Arial" w:cs="Arial"/>
          <w:color w:val="000000"/>
          <w:vertAlign w:val="subscript"/>
          <w:lang w:eastAsia="sr-Latn-RS"/>
        </w:rPr>
        <w:t>2</w:t>
      </w:r>
      <w:r w:rsidRPr="00B03342">
        <w:rPr>
          <w:rFonts w:ascii="Arial" w:hAnsi="Arial" w:cs="Arial"/>
          <w:color w:val="000000"/>
          <w:lang w:eastAsia="sr-Latn-RS"/>
        </w:rPr>
        <w:t>O од 0,025 mol/mol) које су ниже од максималних нивоа очекиваних током испитивања, но онда се опажена вредност интерференције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мора пропорционално повећати тако да се помножи с односом максималне очекиване концентрације H</w:t>
      </w:r>
      <w:r w:rsidRPr="00B03342">
        <w:rPr>
          <w:rFonts w:ascii="Arial" w:hAnsi="Arial" w:cs="Arial"/>
          <w:color w:val="000000"/>
          <w:vertAlign w:val="subscript"/>
          <w:lang w:eastAsia="sr-Latn-RS"/>
        </w:rPr>
        <w:t>2</w:t>
      </w:r>
      <w:r w:rsidRPr="00B03342">
        <w:rPr>
          <w:rFonts w:ascii="Arial" w:hAnsi="Arial" w:cs="Arial"/>
          <w:color w:val="000000"/>
          <w:lang w:eastAsia="sr-Latn-RS"/>
        </w:rPr>
        <w:t>O и њезине стварне вредности коришћене у овом поступку. Збир прилагођених вредности интерференције мора одговарати допуштеном степену за комбиновану интерференцију наведеном у ставу (и) ове тачке,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 Комбинована интерференција анализатора мора бити унутар ± 2 % примењиве средње вредности амонијака (NH3) из тачке 3.4. Прилога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Алтернативни системи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Друге системе или анализаторе хомологацијско тело може одобрити ако се покаже да дају еквивалентне резултате у складу с тачком 5.1.1. овог прилога. У том се случају „Резултати” у овом Одељку односе на средњу концентрацију NH</w:t>
      </w:r>
      <w:r w:rsidRPr="00B03342">
        <w:rPr>
          <w:rFonts w:ascii="Arial" w:hAnsi="Arial" w:cs="Arial"/>
          <w:color w:val="000000"/>
          <w:vertAlign w:val="subscript"/>
          <w:lang w:eastAsia="sr-Latn-RS"/>
        </w:rPr>
        <w:t>3</w:t>
      </w:r>
      <w:r w:rsidRPr="00B03342">
        <w:rPr>
          <w:rFonts w:ascii="Arial" w:hAnsi="Arial" w:cs="Arial"/>
          <w:color w:val="000000"/>
          <w:lang w:eastAsia="sr-Latn-RS"/>
        </w:rPr>
        <w:t> обрачунату за примењиви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Опис одзива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 овом се додатку описују времена којима се изражава одзив аналитичких система и других мерних система на улазни сигнал.</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Примењују се следећа времена, како је приказано на слици 6.11: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кашњење је временска разлика између промене компоненте која се мери на референтној тачки и одзива система од 10 % завршног очитања (т 10), при чему је сонда за узорковање дефинисана као референтна тачка;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време одзива временска је разлика између промене компоненте која се мери на референтној тачки и одзива система од 90 % завршног очитања (т 90), при чему је сонда за узорковање дефинисана као референтна тачка;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време пораста временска је разлика између одзива од 10 % и 90 % завршног очитања (т 90 – т 10);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време трансформације временска је разлика између промене компоненте која се мери на референтној тачки и одзива система од 50 % завршног очитања (т 50), при чему је сонда за узорковање дефинисана као референтна тачка.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Слика 6.11. Илустрација одзива система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41F3E81" wp14:editId="1DADB933">
            <wp:extent cx="5057140" cy="3402965"/>
            <wp:effectExtent l="0" t="0" r="0" b="6985"/>
            <wp:docPr id="248" name="Picture 248" descr="A graph showing a sigmoid curve illustrating the phases of input change, response time, transformation time, and growth time labeled in Serbia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graph showing a sigmoid curve illustrating the phases of input change, response time, transformation time, and growth time labeled in Serbian.&#10;&#10;Description generated by A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57140" cy="340296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 Време улазног сигнала корака је време кад се параметар који се мери мења.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9</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у погледу радних способности и поступци испитивања за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Подручје примене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Прилог примењује се на моторе с двојним горивом како су дефинисани чланом 3. ставом 18. ове уредбе при истовременом раду на течно и гасовито гориво (начин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Прилог не примењује се на испитивања мотора, укључујући моторе с двојним горивом, када раде само на текућа или само на гасовита горива (тј. када GER износи 1 или 0, зависно о врсти горива). У том случају вреде исти захтеви као за било који мотор који ради на једно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Хомологација мотора који истовремено раде на комбинацију више од једног течног горива и једног гасовитог горива или на једно течно гориво и више од једног гасовитог горива обавља се у складу с поступком за нове технологе или концепте.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Дефиниције и скраћенице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потребе овог Прилога примењују се следеће дефиниције: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„GER” (однос гаса и енергије) дефинисан је у члану 3. став 20. ове уредбе на основу ниже горивне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„GERcycle” значи просечни GER при раду мотора током примењивог циклуса испитивања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„мотор с двојним горивом типа 1А” значи једно од следећег: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 мотор с двојним горивом поткатегорије NRE 19 ≤ кW ≤ 560 с најнижим просечним односом гаса и енергије од 90 % (GERNRTC, hot ≥ 0,9) у NRTC испитном циклусу с топлим покретањем, који у празном ходу не ради искључиво на течно гориво те који нема начин рада на течно гориво;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 двојним горивом било које (пот)категорије која није поткатегорија NRE 19 ≤ кW ≤ 560 с најнижим просечним односом гаса и енергије од 90 % (GERNRSC ≥ 0,9) у NRSC-у, који у празном ходу не ради искључиво на течно гориво те који нема начин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„мотор с двојним горивом типа 1Б” значи једно од следећег: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 двојним горивом поткатегорије NRE 19 ≤ кW ≤ 560 с најнижим просечним односом гаса и енергије од 90 % (GERNRTC, hot ≥ 0,9) у NRTC испитном циклусу с топлим покретањем, који у празном ходу не ради искључиво на течно гориво у начину рада на двојно гориво те који има начин рада на течно гориво;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 двојним горивом било које (пот)категорије која није поткатегорија NRE 19 ≤ кW ≤ 560 с најнижим просечним односом гаса и енергије од 90 % (GERNRSC ≥ 0,9) у NRSC-у, који у празном ходу не ради искључиво на течно гориво у начину рада на двојно гориво те који има начин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 „мотор с двојним горивом типа 2А” значи једно од следећег: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 двојним горивом поткатегорије NRE 19 ≤ кW ≤ 560 с просечним односом гаса и енергије између 10 % и 90 % (0,1 &lt; GERNRTC, hot &lt; 0,9) у NRTC испитном циклусу с топлим покретањем и који нема начин рада на течно гориво, или с најнижим просечним односом гаса и енергије од 90 % (GERNRTC, hot ≥ 0,9) у NRTC испитном циклусу и који нема начин рада на течно гориво, али у празном ходу ради искључиво на течно гориво;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 двојним горивом било које (пот)категорије која није поткатегорија NRE 19 ≤ кW ≤ 560 с просечним односом гаса и енергије између 10% и 90% (0,1 &lt; GERNRSC &lt; 0,9) у NRSC-у и који нема начин рада на течно гориво, или с најнижим просечним односом гаса и енергије од 90 % (GERNRSC ≥ 0,9) у NRSC-у и који нема начин рада на течно гориво, али у празном ходу ради искључиво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 „мотор с двојним горивом типа 2Б” значи једно од следећег: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 двојним горивом поткатегорије NRE 19 ≤ кW ≤ 560 с просечним односом гаса и енергије између 10 % и 90 % (0,1 &lt; GERNRTC, hot &lt; 0,9) у NRTC испитном циклусу с топлим покретањем и који има начин рада на течно гориво, или с најнижим просечним односом гаса и енергије од 90 % (GERNRTC, hot ≥ 0,9) у NRTC испитном циклусу и који има начин рада на течно гориво, али у празном ходу може радити искључиво на течно гориво у начину рада на двојно гориво;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 двојним горивом било које (пот)категорије која није поткатегорија NRE 19 ≤ кW ≤ 560 с просечним односом гаса и енергије између 10 % и 90 % (0,1 &lt; GERNRSC &lt; 0,9) у NRSC-у и који нема начин рада на течно гориво, или с најнижим просечним односом гаса и енергије од 90 % (GERNRSC ≥ 0,9) у NRSC-у и који има начин рада на течно гориво, али у празном ходу може радити искључиво на течно гориво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2.7. „мотор с двојним горивом типа 3Б” значи једно од следећег: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с двојним горивом поткатегорије NRE 19 ≤ кW ≤ 560 с највишим просечним односом гаса и енергије од 10 % (GERNRTC, hot ≤ 0,1) у NRTC испитном циклусу с топлим покретањем и који има начин рада на течно гориво;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 с двојним горивом било које (пот)категорије која није поткатегорија NRE 19 ≤ кW ≤ 560 с просечним односом гаса и енергије од највише 10 % (GERNRSC ≤ 0,1) и који има начин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Додатни захтеви за хомологацију који се односе моторе с двојним горивом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3.1. Мотори с могућношћу контроле GER</w:t>
      </w:r>
      <w:r w:rsidRPr="00B03342">
        <w:rPr>
          <w:rFonts w:ascii="Arial" w:hAnsi="Arial" w:cs="Arial"/>
          <w:color w:val="000000"/>
          <w:vertAlign w:val="subscript"/>
          <w:lang w:eastAsia="sr-Latn-RS"/>
        </w:rPr>
        <w:t>cycle</w:t>
      </w:r>
      <w:r w:rsidRPr="00B03342">
        <w:rPr>
          <w:rFonts w:ascii="Arial" w:hAnsi="Arial" w:cs="Arial"/>
          <w:color w:val="000000"/>
          <w:lang w:eastAsia="sr-Latn-RS"/>
        </w:rPr>
        <w:t> коју прилагођава руковаоц.</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да се за врсту предметног мотора вредност GER</w:t>
      </w:r>
      <w:r w:rsidRPr="00B03342">
        <w:rPr>
          <w:rFonts w:ascii="Arial" w:hAnsi="Arial" w:cs="Arial"/>
          <w:color w:val="000000"/>
          <w:vertAlign w:val="subscript"/>
          <w:lang w:eastAsia="sr-Latn-RS"/>
        </w:rPr>
        <w:t>cycle</w:t>
      </w:r>
      <w:r w:rsidRPr="00B03342">
        <w:rPr>
          <w:rFonts w:ascii="Arial" w:hAnsi="Arial" w:cs="Arial"/>
          <w:color w:val="000000"/>
          <w:lang w:eastAsia="sr-Latn-RS"/>
        </w:rPr>
        <w:t> може смањити с максималне вредности применом команде којом управља руковаоц, минимални GER</w:t>
      </w:r>
      <w:r w:rsidRPr="00B03342">
        <w:rPr>
          <w:rFonts w:ascii="Arial" w:hAnsi="Arial" w:cs="Arial"/>
          <w:color w:val="000000"/>
          <w:vertAlign w:val="subscript"/>
          <w:lang w:eastAsia="sr-Latn-RS"/>
        </w:rPr>
        <w:t>cycle</w:t>
      </w:r>
      <w:r w:rsidRPr="00B03342">
        <w:rPr>
          <w:rFonts w:ascii="Arial" w:hAnsi="Arial" w:cs="Arial"/>
          <w:color w:val="000000"/>
          <w:lang w:eastAsia="sr-Latn-RS"/>
        </w:rPr>
        <w:t> није ограничен, али мотор мора испуњавати граничне вредности Емисија при било којој вредности GER</w:t>
      </w:r>
      <w:r w:rsidRPr="00B03342">
        <w:rPr>
          <w:rFonts w:ascii="Arial" w:hAnsi="Arial" w:cs="Arial"/>
          <w:color w:val="000000"/>
          <w:vertAlign w:val="subscript"/>
          <w:lang w:eastAsia="sr-Latn-RS"/>
        </w:rPr>
        <w:t>cycle</w:t>
      </w:r>
      <w:r w:rsidRPr="00B03342">
        <w:rPr>
          <w:rFonts w:ascii="Arial" w:hAnsi="Arial" w:cs="Arial"/>
          <w:color w:val="000000"/>
          <w:lang w:eastAsia="sr-Latn-RS"/>
        </w:rPr>
        <w:t> коју допушта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Начини рада мотора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4.1.1. Услови које мора испунити мотор с двојним горивом при раду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с двојним горивом може радити у начину рада на течно гориво само ако је за начин рада на течно гориво сертификован у складу са свим захтевима ове уредбе у погледу рада искључиво на утврђено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мотор с двојним горивом развије на основу већ сертификованог мотора на течно гориво, поновна ЕУ хомологација типа потребна је за начин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4.1.2. Услови које мора испунити мотор с двојним горивом за рад у празном ходу искључиво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4.1.2.1. Мотори с двојним горивом типа 1А не сме радити у празном ходу искључиво на течно гориво, осим под условима дефинисанима у тачки 4.1.3. ове уредбе за загревање и покретање.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4.1.2.2. Мотори с двојним горивом типа 1Б не сме радити у празном ходу искључиво на течно гориво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4.1.2.3. Мотори с двојним горивом типа 2А, 2Б и 3Б сме радити у празном ходу искључиво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4.1.3. Услови које мора испунити мотор с двојним горивом током загревања или покретања само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4.1.3.1. Мотор с двојним горивом типа 1Б, 2Б или 3Б може се загревати или покретати употребом само течног горива. Ако је стратегија контроле Емисија током загревања или покретања у начину рада на двојно гориво иста као и одговарајућа стратегија контроле Емисија у начину рада на течно гориво, мотор може радити у начину рада на двојно гориво током загревања или покретања. У случају неиспуњавања наведеног услова мотор се загрева или покреће употребом течног горива само када се налази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4.1.3.2. Мотор с двојним горивом типа 1А или 2А сме се загревати или покретати употребом само течног горива. Међутим, у том случају та се стратегија проглашава AECS-ом и морају се испунити следећи додатни захтеви: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4.1.3.2.1. стратегија престаје бити активна када расхладна течност достигне температуру од 343 К (70 </w:t>
      </w:r>
      <w:r w:rsidRPr="00B03342">
        <w:rPr>
          <w:rFonts w:ascii="Arial" w:hAnsi="Arial" w:cs="Arial"/>
          <w:color w:val="000000"/>
          <w:vertAlign w:val="superscript"/>
          <w:lang w:eastAsia="sr-Latn-RS"/>
        </w:rPr>
        <w:t>о</w:t>
      </w:r>
      <w:r w:rsidRPr="00B03342">
        <w:rPr>
          <w:rFonts w:ascii="Arial" w:hAnsi="Arial" w:cs="Arial"/>
          <w:color w:val="000000"/>
          <w:lang w:eastAsia="sr-Latn-RS"/>
        </w:rPr>
        <w:t>C) или у року од 15 минута након активације, зависно шта наступи прво;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4.1.3.2.2. сервисни начин рада активира се док је стратегија активна.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Сервисни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4.2.1. Услови које морају испунити мотори с двојним горивом како би радили у сервисном начину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Док мотор ради у сервисном начину рада, подлеже ограничењу операбилности и привремено је ослобођен обавезе испуњавања захтева повезаних с Емисијама издувних гасова и контролом NОx описанима у овој Уредби.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 Ограничење операбилности у сервисном начину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4.2.2.1. Захтеви за категорије мотора које не укључују категорије IWP, IWA, RLL и RLR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Ограничење операбилности које се примењује на недрумске покретне машине опремљене моторима с двојним горивом – осим IWP, IWA, RLL и RLR– када раде у сервисном начину рада, јест ограничење активирано „системом високог нивоа принуде” наведено у тачки 5.4. Додатка 1. Прилога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узела у обзир сигурносна питања и омогућила дијагностика са самосталним опоравком допуштена је примена функције искључивања принуде у сврху враћања пуне снаге мотора, у складу с тачком 5.5. Додатка 1. Прилога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осталим се случајевима ограничење операбилности не сме деактивирати активацијом или деактивацијом система за упозоравање и принуду наведених у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Активацијом и деактивацијом сервисног начина рада не активирају се ни деактивирају системи за упозоравање и принуду наведени у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4.2.2.2. Захтеви за категорије мотора IWP, IWA, RLL и RLR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категорије мотора IWP, IWA, RLL и RLR, како би се у обзир узела сигурносна питања, рад у сервисном начину рада допушта се без ограничења у погледу закретног момента или брзине мотора. У том случају, кад год би ограничење операбилности било активно у складу с тачком 4.2.2.3., рачунарски систем уграђен у возило бележи, на начин којим се осигурава да се подаци не могу намерно брисати, у неизбрисиву рачунарску меморију све случајеве рада мотора док је активан сервисни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Национална инспекцијска тела морају моћи очитати наведене записе употребом алата за скенирање. Опис повезивања и метода читања за те записе морају се унети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4.2.2.3. Активирање ограничења операбилности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Ограничење операбилности аутоматски се активира кад се активира сервисни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активирања сервисног начина рада у складу с тачком 4.2.3. ове уредбе због неисправног система снабдевања гасом, ограничење операбилности активира се у року од 30 минута рада након активирања сервисног начина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активирања сервисног начина рада због празног резервоара гасовитог горива ограничење операбилности активира се чим се активира сервисни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4.2.2.4. Деактивирање ограничења операбилности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Ограничење операбилности деактивира се када мотор више није у сервисном начину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4.2.3. Недоступност гасовитог горива при раду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недрумским покретним машинима омогућило кретање до сигурног места за заустављање, након детектујења празног резервоара гасовитог горива или неисправног система снабдевања гасом: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мотори с двојним горивом типа 1А и 2А раде у сервисном начину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мотори с двојним горивом типа 1Б, 2Б и 3Б раде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4.2.3.1. Недоступност гасовитог горива – празан резервоар гасовитог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празног резервоара гасовитог горива, чим систем мотора детектује да је резервоар празан активира се сервисни начин рада или, како је прикладно у складу с тачком 4.2.3., начин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Када доступност гаса у резервоару поновно достигне разину која је оправдала активирање система упозорења о празном резервоару у складу с тачком 4.3.2., сервисни начин рада може се деактивирати или, према потреби, начин рада на двојно гориво може се поновно активирати.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4.2.3.2. Недоступност гасовитог горива – неисправно снабдевање гасом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У случају неисправног снабдевања гасом која за последицу има недоступност гасовитог горива, активира се сервисни начин рада или, како је прикладно у складу с тачком 4.2.3. ове уредбе, начин рада на течно гориво, за време када снабдевање гасовитим горивом није доступна.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Чим снабдевање гасовитим горивом постане доступно, може се деактивирати сервисни начин рада или, према потреби, начин рада на двојно гориво може се поновно активирати.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 Индикатори двојног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4.3.1. Индикатор начина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Недрумске покретне машине морају имати визуални индикатор којим возача обавештавају о начину рада у којем мотор ради (начин рада на двојно гориво, на дизел гориво, или сервисни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Карактеристике и локација наведеног индикатора одлука су ОЕМ-а те могу бити део већ постојећег система визуалних индикатора.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Наведени индикатор може бити допуњен показивачем поруке. Систем који се употребљава за приказивање порука из ове тачке може бити исти као и онај који се употребљава за дијагностику контроле NО</w:t>
      </w:r>
      <w:r w:rsidRPr="00B03342">
        <w:rPr>
          <w:rFonts w:ascii="Arial" w:hAnsi="Arial" w:cs="Arial"/>
          <w:color w:val="000000"/>
          <w:vertAlign w:val="subscript"/>
          <w:lang w:eastAsia="sr-Latn-RS"/>
        </w:rPr>
        <w:t>x</w:t>
      </w:r>
      <w:r w:rsidRPr="00B03342">
        <w:rPr>
          <w:rFonts w:ascii="Arial" w:hAnsi="Arial" w:cs="Arial"/>
          <w:color w:val="000000"/>
          <w:lang w:eastAsia="sr-Latn-RS"/>
        </w:rPr>
        <w:t> или за друге потребе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Визуални елемент индикатора начина рада на двојно гориво не може бити исти елемент који се употребљава за дијагностику контроле NОx или за друге потребе одржавања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Сигурносна упозорења увек морају имати предност приказа у односу на индикатор начина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4.3.1.1. Индикатор начина рада на двојно гориво поставља се на сервисни начин рада чим се активира сервисни начин рада (тј. пре стварног активирања), а индикатор остаје упаљен докле год је сервисни начин рада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4.3.1.2. Индикатор начина рада на двојно гориво поставља се најмање један минут на начин рада на двојно гориво или начин рада на течно гориво чим се начин рада мотора промени с начина рада на течно гориво на начин рада на двојно гориво или обрнуто. Тај показатељ мора бити упаљен и у трајању од најмање једне минуте приликом стављања кључа или на захтев произвођача при покретању мотора. Показатељ се укључује и на захтев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4.3.2. Систем упозорења о празном резервоару гасовитог горива (систем упозорења о двојном гориву)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Недрумски покретни машини с мотором с двојним горивом морају бити опремљени системом упозорења о двојном гориву који руковаоца упозорава да ће се резервоар гасовитог горива ускоро испразнити.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упозорења о двојном гориву мора остати активан све док се резервоар поновно не напуни до разине изнад тачке активације система упозорења.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упозорења о двојном гориву могу привремено прекинути други сигнали упозорења који шаљу важне поруке које се односе на сигурност.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 сме бити могуће искључити систем упозорења о двојном гориву с помоћу алата за скенирање докле год се не поправи узрок активирања упозорења.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4.3.2.1. Карактеристике система упозорења о двојном гориву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упозорења о двојном гориву састоји се од система визуалног упозорења (икона, пиктограм итд.) који бира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Према избору произвођача систем може укључивати и звучну компоненту. У том случају допуштено је да руковаоц искључи предметну компоненту.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Визуални елемент система упозорења о двојном гориву не сме бити исти као елемент који се употребљава за дијагностику контроле NO</w:t>
      </w:r>
      <w:r w:rsidRPr="00B03342">
        <w:rPr>
          <w:rFonts w:ascii="Arial" w:hAnsi="Arial" w:cs="Arial"/>
          <w:color w:val="000000"/>
          <w:vertAlign w:val="subscript"/>
          <w:lang w:eastAsia="sr-Latn-RS"/>
        </w:rPr>
        <w:t>x</w:t>
      </w:r>
      <w:r w:rsidRPr="00B03342">
        <w:rPr>
          <w:rFonts w:ascii="Arial" w:hAnsi="Arial" w:cs="Arial"/>
          <w:color w:val="000000"/>
          <w:lang w:eastAsia="sr-Latn-RS"/>
        </w:rPr>
        <w:t> или за друге потребе одржавања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Надаље, систем упозорења о двојном гориву може приказивати кратке поруке, укључујући поруке у којима се јасно наводи преостала удаљеност или време пре активирања ограничења операбилности.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Систем који се употребљава за приказивање упозорења или порука наведених у овој тачки може бити исти као и систем који се употребљава за приказивање упозорења или порука повезаних с дијагностиком контроле NO</w:t>
      </w:r>
      <w:r w:rsidRPr="00B03342">
        <w:rPr>
          <w:rFonts w:ascii="Arial" w:hAnsi="Arial" w:cs="Arial"/>
          <w:color w:val="000000"/>
          <w:vertAlign w:val="subscript"/>
          <w:lang w:eastAsia="sr-Latn-RS"/>
        </w:rPr>
        <w:t>x</w:t>
      </w:r>
      <w:r w:rsidRPr="00B03342">
        <w:rPr>
          <w:rFonts w:ascii="Arial" w:hAnsi="Arial" w:cs="Arial"/>
          <w:color w:val="000000"/>
          <w:lang w:eastAsia="sr-Latn-RS"/>
        </w:rPr>
        <w:t> или другим потребама одржавања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Могућност којом се руковаоцу омогућава да затамни визуалне аларме које приказује систем упозорења може бити уграђена у недрумске покретне машине намењене хитним службама или на недрумске покретне машине конструисане и произведене за оружане снаге, цивилну заштиту, ватрогасне службе и остале службе одговорне за одржавање јавног реда.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 Пренесени закретни момент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4.4.1. Пренесени закретни момент када мотор с двојним горивом ради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Када мотор с двојним горивом ради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референтна очитана крива закретног момента је крива добијена када је тај мотор испитан на испитном столу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забележени стварни закретни моменти (приказани закретни момент и момент трења) морају бити резултат изгарања двојног горива, а не закретни момент добијен искључиво радом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4.4.2. Пренесени закретни момент када мотор с двојним горивом ради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Када мотор с двојним горивом ради у начину рада на течно гориво, референтна очитана крива закретног момента је крива добијена када је тај мотор испитан на испитном столу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4.5. Додатни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4.5.1. Када се употребљавају за мотор с двојним горивом, стратегије прилагођавања, осим испуњавања захтева из Прилога 12 ове уредбе, морају бити усклађене са следећим захтевима: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увек остаје тип мотора с двојним горивом (тј. тип 1А, 2Б итд.) који је пријављен за ЕУ хомологацију типа;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 случају да је реч о мотору типа 2, добијена разлика између највишег и најнижег максималног GERcycle унутар породице никад не сме премашити распон, осим ако је допуштено на основу тачке 3.1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4.6. Хомологација је условљена пружањем ОЕМ-у и крајњем кориснику упутства за инсталацију и рад мотора с двојним горивом, укључујући сервисни начин рада наведен у тачки 4.2. ове уредбе и систем индикатора двојног горива наведен у тачки 4.3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Захтеви у погледу радног учинка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 Захтеви у погледу радног учинка, укључујући граничне вредности Емисија, те захтеви у погледу ЕУ хомологације типа који се примењују на моторе с двојним горивом идентични су захтевима за било који други мотор који припада одговарајућој категорији мотора како је утврђено у овој уредби, осим ако је у овом Прилогу утврђено другачије.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 Гранична вредност за угљениководонике при раду на двојно гориво одређује се применом просечног односа гаса и енергије (GER) током циклуса испитивања како је утврђено у Прилогу 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 Технички захтеви за стратегије контроле Емисија, укључујући документацију потребну за њихово доказивање, техничке одредбе у сврху онемогућавања недопуштених захвата и забрана поремећајних уређаја идентични су захтевима за било који други мотор који припада одговарајућој категорији мотора како је утврђено у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5.4. Детаљни технички захтеви у погледу подручја повезаног с одговарајућим NRSC циклусом унутар којег постоји контрола количине за коју се Емисијама допушта да пређу граничне вредности утврђене у Прилогу 2 ове уредбе идентични су детаљним техничким захтевима за сваки други мотор одговарајуће категорије како је утврђено у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Захтеви за доказивање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 Захтеви за доказивање који се примењују на моторе с двојним горивом идентични су захтевима у погледу било којег другог мотора који припада одговарајућој категорији мотора како је утврђено у овој уредби, осим како је утврђено у делу 6.</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 Усклађеност с примењивим граничним вредностима доказује се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 У погледу типова мотора с двојним горивом који имају начин рада на течно гориво (тј. типови 1Б, 2Б, 3Б), усклађеност с примењивим граничним вредностима додатно се доказује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6.4. Додатни захтеви за доказивање у случају мотора типа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6.4.1. Произвођач подноси хомологацијском телу доказе којима се доказује да распон GERcycle свих чланова породице мотора с двојним горивом остаје унутар распона или, у случају мотора којима GERcycle може прилагодити руковаоц, да испуњава захтеве наведене у тачки 6.5. (на пример, путем алгоритама, функционалних анализа, прорачуна, симулација, резултата претходних испитивања итд.).</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6.5. Додатни захтеви за доказивање за моторе у којима GER</w:t>
      </w:r>
      <w:r w:rsidRPr="00B03342">
        <w:rPr>
          <w:rFonts w:ascii="Arial" w:hAnsi="Arial" w:cs="Arial"/>
          <w:color w:val="000000"/>
          <w:vertAlign w:val="subscript"/>
          <w:lang w:eastAsia="sr-Latn-RS"/>
        </w:rPr>
        <w:t>cycle</w:t>
      </w:r>
      <w:r w:rsidRPr="00B03342">
        <w:rPr>
          <w:rFonts w:ascii="Arial" w:hAnsi="Arial" w:cs="Arial"/>
          <w:color w:val="000000"/>
          <w:lang w:eastAsia="sr-Latn-RS"/>
        </w:rPr>
        <w:t> може прилагодити руковаоц</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6.5.1. Усклађеност с примењивим граничним вредностима доказује се при минималној и максималној вредности GER</w:t>
      </w:r>
      <w:r w:rsidRPr="00B03342">
        <w:rPr>
          <w:rFonts w:ascii="Arial" w:hAnsi="Arial" w:cs="Arial"/>
          <w:color w:val="000000"/>
          <w:vertAlign w:val="subscript"/>
          <w:lang w:eastAsia="sr-Latn-RS"/>
        </w:rPr>
        <w:t>cycle</w:t>
      </w:r>
      <w:r w:rsidRPr="00B03342">
        <w:rPr>
          <w:rFonts w:ascii="Arial" w:hAnsi="Arial" w:cs="Arial"/>
          <w:color w:val="000000"/>
          <w:lang w:eastAsia="sr-Latn-RS"/>
        </w:rPr>
        <w:t> коју допушта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 Захтеви за доказивање трајности мотора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6.6.1. Примењују се одредбе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6.7. Доказивање индикатора двојног горива, упозорења и ограничења операбилности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6.7.1. Као део захтева за хомологацију у складу с овом уредбом, произвођач доказује рад индикатора двојног горива те упозорења и ограничења операбилности у складу с одредбама из Додатка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6.8 Документација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извештају о доказивању документује се доказивање спроведено у складу с тач. од 6.1. до 6.7.1.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описује спроведено доказивање, укључујући примењиви испитни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мора бити уврштено у описну мапу.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 Захтеви за осигуравање исправног деловања мера за контролу NO</w:t>
      </w:r>
      <w:r w:rsidRPr="00B03342">
        <w:rPr>
          <w:rFonts w:ascii="Arial" w:hAnsi="Arial" w:cs="Arial"/>
          <w:color w:val="000000"/>
          <w:vertAlign w:val="subscript"/>
          <w:lang w:eastAsia="sr-Latn-RS"/>
        </w:rPr>
        <w:t>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7.1. Прилога 12 ове уредбе. (технички захтеви за мере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примењује се на моторе с двојним горивом, независно о томе налазе ли се у начину рада на двојно или течно гориво.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7.2. Додатни захтеви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у случају мотора с двојним горивом типа 1Б, типа 2Б и типа 3Б</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7.2.1. Закретни момент за који се сматра да се примењује на високи ниво принуде како је дефинисано у тачки 5.4. Додатка 1. Прилога 12 ове уредбе најнижи је међу закретним моментима добијенима у начину рада на течно гориво те у начину рада на двојно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7.2.2. Могући утицај начина рада на откривање неисправности не сме се употребљавати како би се продужило време до активирања принуде.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7.2.3. У случају неисправности откривање не зависи о начину рада мотора, механизми наведени у Додатку 1. Прилога 12 ове уредбе који су повезани са статусом DTC-а не зависе о начину рада мотора (на пример, ако је DTC досегао потенцијални статус у начину рада на двојно гориво, биће му додељен статус потврђено и активно следећи пут кад се квар открије, чак и у начину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7.2.4. У случају неисправности у којима откривање зависи о начину рада мотора, DTC-ови не сме добијати статус да су претходно активирани ако су у начину рада који не начин рада у којем су добили статус потврђено и активно.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7.2.5. Променом начина рада (с двојног горива на течно гориво или обрнуто) не заустављају се ни ресетују механизми уведени како би се постигла усклађеност са захтевима из Прилога 12 ове уредбе (нпр. бројачи). Међутим, у случају када један од наведених механизама (на пример систем за дијагностику) зависи о тренутном начину рада, бројач повезан с тим механизмом може се, на захтев произвођача и након добијања одобрења хомологацијског тела: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зауставити и према потреби задржати на тренутној вредности када се промени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поновно покренути и према потреби наставити бројати од тачке на којој је заустављен кад се начин рада врати на други начин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Индикатор двојног горива мотора с двојним горивом, систем упозорења, ограничење операбилности – захтеви за доказивање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Индикатори двојног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Индикатор двојног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Способност мотора да упути команду за активацију индикатора двојног горива у начину рада на двојно гориво доказује се при ЕУ хомологацији типа.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Индикатор начина рада на течно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мотора с двојним горивом типа 1Б, типа 2Б или типа 3Б способност мотора да упути команду за активацију индикатора начина рада на течно гориво у начину рада на течно гориво доказује се при ЕУ хомологацији типа.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Индикатор сервисног начина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Способност мотора да упути команду за активацију индикатора сервисног начина рада у сервисном начину рада доказује се при ЕУ хомологацији типа.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1.3.1. Када је возило опремљено објема врстама индикатора, довољно је провести демонстрацију повезану с индикатором сервисног начина рада активирањем склопке за сервисни начин рада и хомологацијском телу поднети доказе да се активација догађа када систем мотора сам упућује команду за сервисни начин рада (на пример применом алгоритама, симулација, доставом резултата творничких испитивања итд.).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Систем упозоравања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Способност возила да упути команду за активацију система упозоравања у случају да је количина гасовитог горива у резервоару гасовитог горива испод разине при којој се упозорење треба активирати доказује се при ЕУ хомологацији типа. У ту сврху може се симулирати стварна количина гасовитог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Ограничење операбилности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мотора с двојним горивом типа 1А или типа 2А способност мотора да упути команду за активацију ограничења операбилности након откривања празног резервоара гасовитог горива и неисправног система снабдевања гасом доказује се при ЕУ хомологацији типа. У ту сврху сме се симулирати празан резервоар гасовитог горива и неисправну опскрбу гасом.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Довољно је демонстрирати уобичајен случај употребе одабран у договору с хомологацијским телом те том телу поднети доказе којима се доказује да се ограничење операбилности догађа у другим могућим случајевима употребе (на пример применом алгоритама, симулација, доставом резултата творничких испитивања итд.).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за поступак испитивања Емисија за моторе с двојним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Општенито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овој тачки дефинисају се додатни захтеви и изнимке овог Прилога како би се омогућило испитивање Емисија мотора с двојним горивом независно о томе је ли реч само о Емисијама издувних гасова или Емисијама из кућишта кољенастог вратила које су додане Емисијама издувних гасова у складу с тачком 6.10. Прилога 8 ове уредбе. У случају да није наведен ни један додатни захтев или изузетак, захтеви из ове Уредбе примењују се на моторе с двојним горивом на исти начин како се примењују на остале хомологоване типове мотора или породице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емисија из мотора с двојним горивом компликује чињеница да гориво које мотор употребљава може бити потпуно течно гориво или комбинација углавном гасовитог горива уз малу количину течног горива као извора паљења. Однос између горива која се употребљавају у мотору с двојним горивом може се такође динамично мењати зависно о условима рада мотора. Последично, потребне су посебне мере опреза и ограничења како би се омогућило испитивање емисија из тих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 Услови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одељак 6.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Поступци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одељак 7.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Поступци мерења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одељак 8. Прилога 8 ове уредбе, осим како је утврђено у овом Додатку.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Поступак мерења разређивања пуног протока за моторе с двојним горивом приказан је на слици 6.6. Прилога 8 ове уредбе (систем CVS).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Тим поступком мерења осигурава се да ће разлика у саставу горива током испитивања углавном утицати на резултате мерења угљоводоника. Та се разлика компензује применом једне од метода описаних у тачки 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Мерење неразређених издувних гасова / делимичног протока приказано на слици 6.7. Прилога 8 ове уредбе може се применити уз одређене мере опреза у погледу начина утврђивања и израчунавања масеног протока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Опрема за мерење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одељак 9.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Мерење броја емисијских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Додатак 1.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Израчунавање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се израчунавају у складу с Прилогом 10 ове уредбе, осим како је утврђено у овом одељку. Додатни захтеви наведени у тачки 7.1. примењују се на израчунавање на основу масе, а додатни захтеви наведени у тачки 7.2. примењују се на израчунавање засноване на модуларном уделу.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израчунавање емисија потребно је знање о саставу горива која се употребљавају. Када гасовито гориво има сертификат којим се потврђују својства горива (нпр. гас из боца), прихвата се употреба састава који утврђује добављач. Када састав није доступан (нпр. гориво из гасовода), састав горива анализира се најкасније пре и након спроведеног испитивања емисија из мотора. Допуштене су учестале анализе и резултати употребљени у израчунавању.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примењује однос гаса и енергије (GER), потребно је да буде у складу с дефиницијом из члана 3. тачке 2. 8 ове уредбе и посебним одредбама у погледу укупних граничних вредности угљоводоника (HC) за моторе потпуно или делимично покретане гасом. Просечна вредност GER-а током циклуса израчунава се помоћу једне од следећих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RMC NRSC и NRTC при покретању топлог мотора дељењем збира GER-а са свих мерних тачака бројем мерних тачака;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NRSC с дискретним начинима рада множењем просечног GER-а за сваки испитни начин рада с одговарајућим фактором пондерисања за тај начин рада, а затим збрајањем резултата свих тако добијених начина рада. Фактори пондерисања узимају се из Додатка 1. Прилог 5 ове уредбе за примењиви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 Израчунавање емисија на основу масе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одељак 2. Прилога 8 ове уредбе, осим како је утврђено у овом одељку.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7.1.1. Корекција за влажно/суво стање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7.1.1.1. Неразређени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израчунавање корекције за влажно/суво стање примењују се једначине (7-3) и (7-4) из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Параметри специфични за гориво одређују се у складу с тачком 7.1.5.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7.1.1.2. 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израчунавање корекције за влажно/суво стање примењује се једначина (7-3) заједно с једначином (7-25) или (7-26) из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Моларни однос угљоводоника α комбинације двају горива употребљава се при израчунавању корекције за влажно/суво стање. Тај моларни однос угљоводоника израчунава се на основу вредности мерења потрошње горива оба горива у складу с тачком 7.1.5.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7.1.2. Корекција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за влагу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Примењује се корекција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за влагу за моторе с компресијским паљењем како је наведено у једначини (7-9)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 Разређивање делимичног протока (PFS) и мерење неразређених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7.1.3.1. Одређивање масеног протока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Масени проток издувних гасова одређује се помоћу мерача неразређених издувних гасова како је описано у тачки 9.4.5.3. Прилога 8 ове уредбе.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Једнако тако, начин мерења протока ваздуха те односа ваздуха и горива у складу с једначинама (7-17) до (7-19) Прилога 10 ове уредбе могуће је применити само ако су вредности </w:t>
      </w:r>
      <w:r w:rsidRPr="00B03342">
        <w:rPr>
          <w:rFonts w:ascii="Arial" w:hAnsi="Arial" w:cs="Arial"/>
          <w:i/>
          <w:iCs/>
          <w:color w:val="000000"/>
          <w:lang w:eastAsia="sr-Latn-RS"/>
        </w:rPr>
        <w:t>α, γ, δ</w:t>
      </w:r>
      <w:r w:rsidRPr="00B03342">
        <w:rPr>
          <w:rFonts w:ascii="Arial" w:hAnsi="Arial" w:cs="Arial"/>
          <w:color w:val="000000"/>
          <w:lang w:eastAsia="sr-Latn-RS"/>
        </w:rPr>
        <w:t> и </w:t>
      </w:r>
      <w:r w:rsidRPr="00B03342">
        <w:rPr>
          <w:rFonts w:ascii="Arial" w:hAnsi="Arial" w:cs="Arial"/>
          <w:i/>
          <w:iCs/>
          <w:color w:val="000000"/>
          <w:lang w:eastAsia="sr-Latn-RS"/>
        </w:rPr>
        <w:t>ε</w:t>
      </w:r>
      <w:r w:rsidRPr="00B03342">
        <w:rPr>
          <w:rFonts w:ascii="Arial" w:hAnsi="Arial" w:cs="Arial"/>
          <w:color w:val="000000"/>
          <w:lang w:eastAsia="sr-Latn-RS"/>
        </w:rPr>
        <w:t> одређене у складу с тачком 7.1.5.3. овог прилога. За одређивање односа ваздуха и горива није допуштена употреба сензора цирконијског типа.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испитивања мотора подложног испитним циклусима у стабилном стању, методом мерења ваздуха и горива у складу с једначином (7-15) из Прилога 10 ове уредбе сме се одредити само масени проток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7.1.3.2. Одређивање гасовитих компоненти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тачка 2.1. Прилога 10 ове уредбе, осим како је утврђено у овом одељку.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Могућа разлика у саставу горива утицаће на све односе моларних компоненти и фактора </w:t>
      </w:r>
      <w:r w:rsidRPr="00B03342">
        <w:rPr>
          <w:rFonts w:ascii="Arial" w:hAnsi="Arial" w:cs="Arial"/>
          <w:i/>
          <w:iCs/>
          <w:color w:val="000000"/>
          <w:lang w:eastAsia="sr-Latn-RS"/>
        </w:rPr>
        <w:t>у</w:t>
      </w:r>
      <w:r w:rsidRPr="00B03342">
        <w:rPr>
          <w:rFonts w:ascii="Arial" w:hAnsi="Arial" w:cs="Arial"/>
          <w:color w:val="000000"/>
          <w:vertAlign w:val="subscript"/>
          <w:lang w:eastAsia="sr-Latn-RS"/>
        </w:rPr>
        <w:t>гас</w:t>
      </w:r>
      <w:r w:rsidRPr="00B03342">
        <w:rPr>
          <w:rFonts w:ascii="Arial" w:hAnsi="Arial" w:cs="Arial"/>
          <w:i/>
          <w:iCs/>
          <w:color w:val="000000"/>
          <w:lang w:eastAsia="sr-Latn-RS"/>
        </w:rPr>
        <w:t> </w:t>
      </w:r>
      <w:r w:rsidRPr="00B03342">
        <w:rPr>
          <w:rFonts w:ascii="Arial" w:hAnsi="Arial" w:cs="Arial"/>
          <w:color w:val="000000"/>
          <w:lang w:eastAsia="sr-Latn-RS"/>
        </w:rPr>
        <w:t>који се примењују при израчунавању емисија. За одређивање односа моларних компоненти и фактора </w:t>
      </w:r>
      <w:r w:rsidRPr="00B03342">
        <w:rPr>
          <w:rFonts w:ascii="Arial" w:hAnsi="Arial" w:cs="Arial"/>
          <w:i/>
          <w:iCs/>
          <w:color w:val="000000"/>
          <w:lang w:eastAsia="sr-Latn-RS"/>
        </w:rPr>
        <w:t>у</w:t>
      </w:r>
      <w:r w:rsidRPr="00B03342">
        <w:rPr>
          <w:rFonts w:ascii="Arial" w:hAnsi="Arial" w:cs="Arial"/>
          <w:color w:val="000000"/>
          <w:vertAlign w:val="subscript"/>
          <w:lang w:eastAsia="sr-Latn-RS"/>
        </w:rPr>
        <w:t>гас</w:t>
      </w:r>
      <w:r w:rsidRPr="00B03342">
        <w:rPr>
          <w:rFonts w:ascii="Arial" w:hAnsi="Arial" w:cs="Arial"/>
          <w:i/>
          <w:iCs/>
          <w:color w:val="000000"/>
          <w:lang w:eastAsia="sr-Latn-RS"/>
        </w:rPr>
        <w:t> </w:t>
      </w:r>
      <w:r w:rsidRPr="00B03342">
        <w:rPr>
          <w:rFonts w:ascii="Arial" w:hAnsi="Arial" w:cs="Arial"/>
          <w:color w:val="000000"/>
          <w:lang w:eastAsia="sr-Latn-RS"/>
        </w:rPr>
        <w:t>примениће се један од следећих приступа према избору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Једначине из тач. 2.1.5.2. или 2.2.3. Прилога 10 ове уредбе примењују се за израчунавање тренутних вредности употребом тренутних удела течног и гасовитог горива (одређених на основу мерења или израчунава тренутне потрошње горива) и тренутних односа моларних компоненти одређених у складу с тачком 7.1.5.;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када се израчунавање на основу масе из одељка 2. Прилога 10 ове уредбе примењује за одређени случај мотора с двојним горивом који ради на дизел гориво и гас, вредности из табеле могу се употребити за вредности односа моларних компоненти. Те вредности из табеле примењују се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за моторе који раде у примењивом циклусу испитивања уз просечни однос гаса и енергије од 90 % или више (GER ≥ 0,9), потребне вредности јесу оне за гасовито гориво узете из таб. 7.1. или 7.2.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за моторе који раде у примењивом циклусу испитивања уз просечни однос гаса и енергије који износи између 10 % и 90 % (0,1 &lt; GER &lt; 0,9) претпоставља се да потребне вредности представљају вредности за мешавину 50 % гасовитог горива и 50 % дизелг горива узете из таб. 8.1. и 8.2.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за моторе који раде у примењивом циклусу испитивања уз просечни однос гаса и енергије од 10 % или мање (GER ≤ 0,1), потребне вредности јесу оне за гасовито гориво узете из табела 7.1. или табеле 7.2.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за израчунавање емисија угљоводоника вредност гасовитог горива употребљава се у свим случајевима, независно од просечног односа гаса и енергије (GER).</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8.1.</w:t>
      </w:r>
      <w:r w:rsidRPr="00B03342">
        <w:rPr>
          <w:rFonts w:ascii="Arial" w:hAnsi="Arial" w:cs="Arial"/>
          <w:i/>
          <w:iCs/>
          <w:color w:val="000000"/>
          <w:lang w:eastAsia="sr-Latn-RS"/>
        </w:rPr>
        <w:t> </w:t>
      </w:r>
      <w:r w:rsidRPr="00B03342">
        <w:rPr>
          <w:rFonts w:ascii="Arial" w:hAnsi="Arial" w:cs="Arial"/>
          <w:color w:val="000000"/>
          <w:lang w:eastAsia="sr-Latn-RS"/>
        </w:rPr>
        <w:t>Односи моларних компоненти за мешавине од 50 % гасовитог горива и 50 % дизел горива (% масе)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01"/>
        <w:gridCol w:w="1869"/>
        <w:gridCol w:w="492"/>
        <w:gridCol w:w="1869"/>
        <w:gridCol w:w="186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Гасовито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0,0040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0,0703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0,0043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w:t>
            </w:r>
            <w:r w:rsidRPr="00B03342">
              <w:rPr>
                <w:rFonts w:ascii="Arial" w:hAnsi="Arial" w:cs="Arial"/>
                <w:vertAlign w:val="subscript"/>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0,1319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пропан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0,0039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бутан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УНП</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УНП гориво 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УНП гориво 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0,0039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7.1.3.2.1. Маса по испитивању емисије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да су примењене једначине за прорачунавање тренутних вредности Ugas у складу са ставом 7.1.3.2.(а), тада се, при прорачуну масе за свако испитивање емисија гасова за динамичке (NRTC и LCI-NRTC) испитне циклусе и RMC, у гас укључује у збир у једначини (7-2) тачке 2.1.2. Прилога 10 ове уредбе применом једначине (8-1):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CA6A74E" wp14:editId="106D23A5">
            <wp:extent cx="9014400" cy="475200"/>
            <wp:effectExtent l="0" t="0" r="0" b="1270"/>
            <wp:docPr id="247" name="Picture 247" descr="A mathematical formula expressing m_gas as a function of f, k_h, k, and a summation involving u_gas, q_new, and c_gas ter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mathematical formula expressing m_gas as a function of f, k_h, k, and a summation involving u_gas, q_new, and c_gas terms.&#10;&#10;Description generated by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14400" cy="4752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16"/>
        <w:gridCol w:w="82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у</w:t>
            </w:r>
            <w:r w:rsidRPr="00B03342">
              <w:rPr>
                <w:rFonts w:ascii="Arial" w:hAnsi="Arial" w:cs="Arial"/>
                <w:lang w:eastAsia="sr-Latn-RS"/>
              </w:rPr>
              <w:t> </w:t>
            </w:r>
            <w:r w:rsidRPr="00B03342">
              <w:rPr>
                <w:rFonts w:ascii="Arial" w:hAnsi="Arial" w:cs="Arial"/>
                <w:vertAlign w:val="subscript"/>
                <w:lang w:eastAsia="sr-Latn-RS"/>
              </w:rPr>
              <w:t>гас,</w:t>
            </w:r>
            <w:r w:rsidRPr="00B03342">
              <w:rPr>
                <w:rFonts w:ascii="Arial" w:hAnsi="Arial" w:cs="Arial"/>
                <w:lang w:eastAsia="sr-Latn-RS"/>
              </w:rPr>
              <w:t> </w:t>
            </w:r>
            <w:r w:rsidRPr="00B03342">
              <w:rPr>
                <w:rFonts w:ascii="Arial" w:hAnsi="Arial" w:cs="Arial"/>
                <w:vertAlign w:val="subscript"/>
                <w:lang w:eastAsia="sr-Latn-RS"/>
              </w:rPr>
              <w:t>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тренутна вредност у</w:t>
            </w:r>
            <w:r w:rsidRPr="00B03342">
              <w:rPr>
                <w:rFonts w:ascii="Arial" w:hAnsi="Arial" w:cs="Arial"/>
                <w:vertAlign w:val="subscript"/>
                <w:lang w:eastAsia="sr-Latn-RS"/>
              </w:rPr>
              <w:t>гас</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Остали елементи једначине су они наведени у тачки 2.1.2. Прилога 10 ове уредбе.</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8.2. Вредности </w:t>
      </w:r>
      <w:r w:rsidRPr="00B03342">
        <w:rPr>
          <w:rFonts w:ascii="Arial" w:hAnsi="Arial" w:cs="Arial"/>
          <w:i/>
          <w:iCs/>
          <w:color w:val="000000"/>
          <w:lang w:eastAsia="sr-Latn-RS"/>
        </w:rPr>
        <w:t>у gas</w:t>
      </w:r>
      <w:r w:rsidRPr="00B03342">
        <w:rPr>
          <w:rFonts w:ascii="Arial" w:hAnsi="Arial" w:cs="Arial"/>
          <w:color w:val="000000"/>
          <w:lang w:eastAsia="sr-Latn-RS"/>
        </w:rPr>
        <w:t> неразређеног издувног гаса и густоће компоненти мешавине од 50 % гасовитог горива и 50 % дизел горива (маса у %)</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13"/>
        <w:gridCol w:w="898"/>
        <w:gridCol w:w="1191"/>
        <w:gridCol w:w="1190"/>
        <w:gridCol w:w="1538"/>
        <w:gridCol w:w="1190"/>
        <w:gridCol w:w="1190"/>
        <w:gridCol w:w="1190"/>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Гасовито гориво</w:t>
            </w:r>
          </w:p>
        </w:tc>
        <w:tc>
          <w:tcPr>
            <w:tcW w:w="0" w:type="auto"/>
            <w:gridSpan w:val="7"/>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р</w:t>
            </w:r>
            <w:r w:rsidRPr="00B03342">
              <w:rPr>
                <w:rFonts w:ascii="Arial" w:hAnsi="Arial" w:cs="Arial"/>
                <w:lang w:eastAsia="sr-Latn-RS"/>
              </w:rPr>
              <w:t> </w:t>
            </w:r>
            <w:r w:rsidRPr="00B03342">
              <w:rPr>
                <w:rFonts w:ascii="Arial" w:hAnsi="Arial" w:cs="Arial"/>
                <w:vertAlign w:val="subscript"/>
                <w:lang w:eastAsia="sr-Latn-RS"/>
              </w:rPr>
              <w:t>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gas [kg/m</w:t>
            </w:r>
            <w:r w:rsidRPr="00B03342">
              <w:rPr>
                <w:rFonts w:ascii="Arial" w:hAnsi="Arial" w:cs="Arial"/>
                <w:lang w:eastAsia="sr-Latn-RS"/>
              </w:rPr>
              <w:t> </w:t>
            </w:r>
            <w:r w:rsidRPr="00B03342">
              <w:rPr>
                <w:rFonts w:ascii="Arial" w:hAnsi="Arial" w:cs="Arial"/>
                <w:vertAlign w:val="superscript"/>
                <w:lang w:eastAsia="sr-Latn-RS"/>
              </w:rPr>
              <w:t>3</w:t>
            </w:r>
            <w:r w:rsidRPr="00B03342">
              <w:rPr>
                <w:rFonts w:ascii="Arial" w:hAnsi="Arial" w:cs="Arial"/>
                <w:lang w:eastAsia="sr-Latn-RS"/>
              </w:rPr>
              <w:t> </w:t>
            </w:r>
            <w:r w:rsidRPr="00B03342">
              <w:rPr>
                <w:rFonts w:ascii="Arial" w:hAnsi="Arial" w:cs="Arial"/>
                <w:vertAlign w:val="subscript"/>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0,716</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u</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SPP/UPP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0,000528 (</w:t>
            </w:r>
            <w:r w:rsidRPr="00B03342">
              <w:rPr>
                <w:rFonts w:ascii="Arial" w:hAnsi="Arial" w:cs="Arial"/>
                <w:vertAlign w:val="superscript"/>
                <w:lang w:eastAsia="sr-Latn-RS"/>
              </w:rPr>
              <w:t>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пропан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1,2869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бутан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UNP (</w:t>
            </w:r>
            <w:r w:rsidRPr="00B03342">
              <w:rPr>
                <w:rFonts w:ascii="Arial" w:hAnsi="Arial" w:cs="Arial"/>
                <w:vertAlign w:val="superscript"/>
                <w:lang w:eastAsia="sr-Latn-RS"/>
              </w:rPr>
              <w:t>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1,2881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0,000556</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7.1.3.3. Одређивање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одређивање Емисија честица с помоћу методе делимичног разређивања израчунавање се врши применом једначини наведених у тачки 2.3.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из тачке 8.2.1.2. Прилога 8 ове уредбе примењују се за контролисање односа разређивања. Посебно, ако је комбиновано време трансформације за мерења протока издувних гасова и система делимичног протока веће од 0,3 s, тада се употребљава контролна група за предвиђање на основу претходно забележеног испитног циклуса. У том случају комбиновано време пораста износи ≤ 1 s, а комбиновано кашњење износи ≤ 10 s. Међутим, у случају непосредног мерења масеног протока издувног гаса при одређивању масеног протока издувних гасова употребљавају се вредности α, γ, δ и ε, одређене у складу с тачком 7.1.5.3.овог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Провера квалитета у складу с тачком 8.2.1.2. Прилога 8 ове уредбе спроводи се за свако мерење.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7.1.3.4. Додатни захтеви за мерач масе протока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Мерач протока наведен у тач. 9.4.5.3. и 9.4.5.4. Прилога 8 ове уредбе не сме бити осетљив на промене у саставу и густини издувног гаса. Мале грешке при мерењу помоћу Пито-цеви или мерењу протоком кроз пригушницу (еквивалентно квадратном корену густоће издувног гаса) могу се занемарити.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7.1.4. Мерење разређивања с пуним протоком (CVS)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тачка 2.2. Прилога 10 ове уредбе, осим како је утврђено у овом одељку.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Могућа разлика у саставу горива углавном ће утицати на </w:t>
      </w:r>
      <w:r w:rsidRPr="00B03342">
        <w:rPr>
          <w:rFonts w:ascii="Arial" w:hAnsi="Arial" w:cs="Arial"/>
          <w:i/>
          <w:iCs/>
          <w:color w:val="000000"/>
          <w:lang w:eastAsia="sr-Latn-RS"/>
        </w:rPr>
        <w:t>у</w:t>
      </w:r>
      <w:r w:rsidRPr="00B03342">
        <w:rPr>
          <w:rFonts w:ascii="Arial" w:hAnsi="Arial" w:cs="Arial"/>
          <w:color w:val="000000"/>
          <w:vertAlign w:val="subscript"/>
          <w:lang w:eastAsia="sr-Latn-RS"/>
        </w:rPr>
        <w:t>gas </w:t>
      </w:r>
      <w:r w:rsidRPr="00B03342">
        <w:rPr>
          <w:rFonts w:ascii="Arial" w:hAnsi="Arial" w:cs="Arial"/>
          <w:color w:val="000000"/>
          <w:lang w:eastAsia="sr-Latn-RS"/>
        </w:rPr>
        <w:t>вредност угљоводоника из табеле. Наведене једначине примењују се за израчунавање емисија угљоводоника применом односа моларних компоненти одређених на основу мерења потрошње горива обају горива у складу с тачком 7.1.5.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7.1.4.1. Одређивање концентрација коригованих за позадину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Како би се утврдио стехиометријски фактор, моларни однос водоника </w:t>
      </w:r>
      <w:r w:rsidRPr="00B03342">
        <w:rPr>
          <w:rFonts w:ascii="Arial" w:hAnsi="Arial" w:cs="Arial"/>
          <w:i/>
          <w:iCs/>
          <w:color w:val="000000"/>
          <w:lang w:eastAsia="sr-Latn-RS"/>
        </w:rPr>
        <w:t>α</w:t>
      </w:r>
      <w:r w:rsidRPr="00B03342">
        <w:rPr>
          <w:rFonts w:ascii="Arial" w:hAnsi="Arial" w:cs="Arial"/>
          <w:color w:val="000000"/>
          <w:lang w:eastAsia="sr-Latn-RS"/>
        </w:rPr>
        <w:t> у гориву израчунава се као просечни моларни однос водоника у мешавини горива током испитивања у складу с тачком 7.1.5.3.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Осим тога, могуће је употребити вредност F</w:t>
      </w:r>
      <w:r w:rsidRPr="00B03342">
        <w:rPr>
          <w:rFonts w:ascii="Arial" w:hAnsi="Arial" w:cs="Arial"/>
          <w:color w:val="000000"/>
          <w:vertAlign w:val="subscript"/>
          <w:lang w:eastAsia="sr-Latn-RS"/>
        </w:rPr>
        <w:t>s</w:t>
      </w:r>
      <w:r w:rsidRPr="00B03342">
        <w:rPr>
          <w:rFonts w:ascii="Arial" w:hAnsi="Arial" w:cs="Arial"/>
          <w:color w:val="000000"/>
          <w:lang w:eastAsia="sr-Latn-RS"/>
        </w:rPr>
        <w:t> гасовитог горива у једначини (7-28)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7.1.5. Одређивање односа моларних компоненти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7.1.5.1.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Овај се одељак примењује за израчунавање односa моларних компоненти када је позната мешавина горива (тачна метода).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7.1.5.2. Израчунавање компоненти мешавине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Једначине од (8-2) до (8-7) примењују се за прорачунавање елемената у мешавини горива: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5FD2F48" wp14:editId="1D0BBBCB">
            <wp:extent cx="5057140" cy="1932305"/>
            <wp:effectExtent l="0" t="0" r="0" b="0"/>
            <wp:docPr id="246" name="Picture 246" descr="A table displaying mathematical formulas for variables w_H, w_C, w_S, w_N, and w_O expressed as weighted sums involving terms with q_mf1 and q_mf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table displaying mathematical formulas for variables w_H, w_C, w_S, w_N, and w_O expressed as weighted sums involving terms with q_mf1 and q_mf2.&#10;&#10;Description generated by A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57140" cy="193230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74"/>
        <w:gridCol w:w="932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 f1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горива 1 у протоку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q</w:t>
            </w:r>
            <w:r w:rsidRPr="00B03342">
              <w:rPr>
                <w:rFonts w:ascii="Arial" w:hAnsi="Arial" w:cs="Arial"/>
                <w:vertAlign w:val="subscript"/>
                <w:lang w:eastAsia="sr-Latn-RS"/>
              </w:rPr>
              <w:t>m f2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горива 2 у протоку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азота у гориву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угљеника у гориву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сумпора у гориву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азота у гориву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кисеоника у гориву [% масе]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7.1.5.3 Прорачун моларних односа H, C, S, N и О у односу на С за мешавину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Прорачун атомских односа (особито однос H/C α) налази се у Прилогу 10 ове уредбе применом једначина од (8-8) до (8-11):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6301E08" wp14:editId="5EFCF717">
            <wp:extent cx="5057140" cy="1169035"/>
            <wp:effectExtent l="0" t="0" r="0" b="0"/>
            <wp:docPr id="245" name="Picture 245" descr="A table displaying four mathematical expressions with variables and fractions, each labeled with a corresponding equation numb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table displaying four mathematical expressions with variables and fractions, each labeled with a corresponding equation number.&#10;&#10;Description generated by A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57140" cy="11690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2"/>
        <w:gridCol w:w="984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угљеника у гориву, масени удео [g/g]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сумпора у гориву, масени удео [g/g]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азота у гориву, масени удео [g/g]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кисеоника у гориву, масени удео [g/g]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водоника (H/C)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сумпора (S/C)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азота (N/C)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кисеоника (O/C)</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односи се на гориво чија је хемијска формула CΗαΟεΝδSγ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 Израчунавање емисија на основу моларних удела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Примењује се одељак 3. Прилога 10 ове уредбе, осим како је утврђено у овом одељку.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7.2.1. Корекција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за влагу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једначина (7-102) из Прилога 10 ове уредбе (корекција за моторе с компресијским паљењем).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7.2.2. Одређивање масеног протока издувних гасова када се не употребљава мерач неразређених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једначина (7-112) из Прилога 10 ове уредбе (израчунавање брзине моларног протока на основу улазног ваздуха). Може се применити и једначина (7-113) из Прилога 10 ове уредбе (израчунавање моларног протока на основу масеног протока горива), али само ако се спроводи испитивање NRSC.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7.2.3. Односи моларних компоненти за одређивање гасовитих компоненти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Исти приступ примењује се за одређивање односа моларних компоненти употребом тренутних удела течног и гасовитог горива одређених на основу мерења или израчунава тренутне потрошње горива. Тренутни односи моларних компоненти уврштавају се у једначине (7-88), (7-90) и (7-91) Прилога 10 ове уредбе за прорачун непрекидне хемијске равнотеже.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Одређивање односа проводи се у складу с тачком 7.2.3.1. или тачком 7.1.5.3.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Гасовита горива, независно о томе јесу ли мешавине или добијене из гасовода, могу садржавати знатне количине инертних састојака као што су CO</w:t>
      </w:r>
      <w:r w:rsidRPr="00B03342">
        <w:rPr>
          <w:rFonts w:ascii="Arial" w:hAnsi="Arial" w:cs="Arial"/>
          <w:color w:val="000000"/>
          <w:vertAlign w:val="subscript"/>
          <w:lang w:eastAsia="sr-Latn-RS"/>
        </w:rPr>
        <w:t>2</w:t>
      </w:r>
      <w:r w:rsidRPr="00B03342">
        <w:rPr>
          <w:rFonts w:ascii="Arial" w:hAnsi="Arial" w:cs="Arial"/>
          <w:color w:val="000000"/>
          <w:lang w:eastAsia="sr-Latn-RS"/>
        </w:rPr>
        <w:t> и N</w:t>
      </w:r>
      <w:r w:rsidRPr="00B03342">
        <w:rPr>
          <w:rFonts w:ascii="Arial" w:hAnsi="Arial" w:cs="Arial"/>
          <w:color w:val="000000"/>
          <w:vertAlign w:val="subscript"/>
          <w:lang w:eastAsia="sr-Latn-RS"/>
        </w:rPr>
        <w:t>2</w:t>
      </w:r>
      <w:r w:rsidRPr="00B03342">
        <w:rPr>
          <w:rFonts w:ascii="Arial" w:hAnsi="Arial" w:cs="Arial"/>
          <w:color w:val="000000"/>
          <w:lang w:eastAsia="sr-Latn-RS"/>
        </w:rPr>
        <w:t>. Произвођач укључује наведене састојке у израчунавање атомских односа описане у тачки 7.2.3.1. или тачки 7.1.5.3, овог прилога како је примењиво, или искључује инертне састојке из атомских односа и придодаје их параметрима хемијске равнотеже улазног ваздуха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O2int</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CO2int</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H2Oint</w:t>
      </w:r>
      <w:r w:rsidRPr="00B03342">
        <w:rPr>
          <w:rFonts w:ascii="Arial" w:hAnsi="Arial" w:cs="Arial"/>
          <w:color w:val="000000"/>
          <w:lang w:eastAsia="sr-Latn-RS"/>
        </w:rPr>
        <w:t> из тачке 3.4.3. Прилога 10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7.2.3.1. Одређивање односа моларних компоненти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масени проток издувних гасова прорачунава на основу брзине мешовитог горива, тад се wc из једначине (7-113) из Прилога 10 ове уредбе прорачунава помоћу једначине (8-16):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9A0138F" wp14:editId="7D1B257E">
            <wp:extent cx="5057140" cy="2011680"/>
            <wp:effectExtent l="0" t="0" r="0" b="7620"/>
            <wp:docPr id="244" name="Picture 244" descr="Four mathematical equations labeled 8-12 to 8-15 show formulas for alpha, beta, gamma, and delta as functions of time involving variables for liquid and gas phases, molecular weights, and consta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our mathematical equations labeled 8-12 to 8-15 show formulas for alpha, beta, gamma, and delta as functions of time involving variables for liquid and gas phases, molecular weights, and constants.&#10;&#10;Description generated by A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57140" cy="201168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215"/>
        <w:gridCol w:w="936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w:t>
            </w:r>
            <w:r w:rsidRPr="00B03342">
              <w:rPr>
                <w:rFonts w:ascii="Arial" w:hAnsi="Arial" w:cs="Arial"/>
                <w:vertAlign w:val="subscript"/>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удео предметног елемента, C, H, O, S, или N у течном или гасовитом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vertAlign w:val="subscript"/>
                <w:lang w:eastAsia="sr-Latn-RS"/>
              </w:rPr>
              <w:t>liquid</w:t>
            </w:r>
            <w:r w:rsidRPr="00B03342">
              <w:rPr>
                <w:rFonts w:ascii="Arial" w:hAnsi="Arial" w:cs="Arial"/>
                <w:i/>
                <w:iCs/>
                <w:lang w:eastAsia="sr-Latn-RS"/>
              </w:rPr>
              <w:t> </w:t>
            </w:r>
            <w:r w:rsidRPr="00B03342">
              <w:rPr>
                <w:rFonts w:ascii="Arial" w:hAnsi="Arial" w:cs="Arial"/>
                <w:lang w:eastAsia="sr-Latn-RS"/>
              </w:rPr>
              <w:t>(</w:t>
            </w:r>
            <w:r w:rsidRPr="00B03342">
              <w:rPr>
                <w:rFonts w:ascii="Arial" w:hAnsi="Arial" w:cs="Arial"/>
                <w:i/>
                <w:iCs/>
                <w:lang w:eastAsia="sr-Latn-RS"/>
              </w:rPr>
              <w:t>t</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брзина масеног протока течног горива у времену t, [kg/hr];</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vertAlign w:val="subscript"/>
                <w:lang w:eastAsia="sr-Latn-RS"/>
              </w:rPr>
              <w:t>гас</w:t>
            </w:r>
            <w:r w:rsidRPr="00B03342">
              <w:rPr>
                <w:rFonts w:ascii="Arial" w:hAnsi="Arial" w:cs="Arial"/>
                <w:i/>
                <w:iCs/>
                <w:lang w:eastAsia="sr-Latn-RS"/>
              </w:rPr>
              <w:t> </w:t>
            </w:r>
            <w:r w:rsidRPr="00B03342">
              <w:rPr>
                <w:rFonts w:ascii="Arial" w:hAnsi="Arial" w:cs="Arial"/>
                <w:lang w:eastAsia="sr-Latn-RS"/>
              </w:rPr>
              <w:t>(</w:t>
            </w:r>
            <w:r w:rsidRPr="00B03342">
              <w:rPr>
                <w:rFonts w:ascii="Arial" w:hAnsi="Arial" w:cs="Arial"/>
                <w:i/>
                <w:iCs/>
                <w:lang w:eastAsia="sr-Latn-RS"/>
              </w:rPr>
              <w:t>т</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брзина масеног протока гасовитог горива у времену t, [kg/hr];</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случајевима када се брзина масеног протока издувних гасова израчунава на основу брзине мешовитог горива, тада се из једначине (7-111) из Прилога 10 ове уредбе израчунава помоћу једначине (8-16):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57A5D18" wp14:editId="12522130">
            <wp:extent cx="5057140" cy="421640"/>
            <wp:effectExtent l="0" t="0" r="0" b="0"/>
            <wp:docPr id="243" name="Picture 243" descr="A mathematical formula showing the calculation of WC as the weighted average of liquid and gas components divided by the sum of liquid and ga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mathematical formula showing the calculation of WC as the weighted average of liquid and gas components divided by the sum of liquid and gas.&#10;&#10;Description generated by A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57140" cy="4216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2"/>
        <w:gridCol w:w="359"/>
        <w:gridCol w:w="907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удео угљеника у или гасовитом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ṁ</w:t>
            </w:r>
            <w:r w:rsidRPr="00B03342">
              <w:rPr>
                <w:rFonts w:ascii="Arial" w:hAnsi="Arial" w:cs="Arial"/>
                <w:vertAlign w:val="subscript"/>
                <w:lang w:eastAsia="sr-Latn-RS"/>
              </w:rPr>
              <w:t>liquid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течног горива, [kg/hr];</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ṁ</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масеног протока гасовитог горива, [kg/hr];</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7.3. Утврђивање CO</w:t>
      </w:r>
      <w:r w:rsidRPr="00B03342">
        <w:rPr>
          <w:rFonts w:ascii="Arial" w:hAnsi="Arial" w:cs="Arial"/>
          <w:color w:val="000000"/>
          <w:vertAlign w:val="subscript"/>
          <w:lang w:eastAsia="sr-Latn-RS"/>
        </w:rPr>
        <w:t>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Прилог 10 ове уредбе осим ако се мотор испитује у динамичким (NRTC и LSI-NRTC) испитним циклусима или RMC-у уз узорковање неразређених издувних гасова.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7.3.1. Одређивање CO</w:t>
      </w:r>
      <w:r w:rsidRPr="00B03342">
        <w:rPr>
          <w:rFonts w:ascii="Arial" w:hAnsi="Arial" w:cs="Arial"/>
          <w:color w:val="000000"/>
          <w:vertAlign w:val="subscript"/>
          <w:lang w:eastAsia="sr-Latn-RS"/>
        </w:rPr>
        <w:t>2</w:t>
      </w:r>
      <w:r w:rsidRPr="00B03342">
        <w:rPr>
          <w:rFonts w:ascii="Arial" w:hAnsi="Arial" w:cs="Arial"/>
          <w:color w:val="000000"/>
          <w:lang w:eastAsia="sr-Latn-RS"/>
        </w:rPr>
        <w:t> при испитивању у динамичким (NRTC и LSI-NRTC) испитним циклусима или RMC-у уз узорковање неразређених издувних гасова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Израчунавање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добијених мерењем CO</w:t>
      </w:r>
      <w:r w:rsidRPr="00B03342">
        <w:rPr>
          <w:rFonts w:ascii="Arial" w:hAnsi="Arial" w:cs="Arial"/>
          <w:color w:val="000000"/>
          <w:vertAlign w:val="subscript"/>
          <w:lang w:eastAsia="sr-Latn-RS"/>
        </w:rPr>
        <w:t>2</w:t>
      </w:r>
      <w:r w:rsidRPr="00B03342">
        <w:rPr>
          <w:rFonts w:ascii="Arial" w:hAnsi="Arial" w:cs="Arial"/>
          <w:color w:val="000000"/>
          <w:lang w:eastAsia="sr-Latn-RS"/>
        </w:rPr>
        <w:t> у издувним гасовима у складу с Прилогом 10 ове уредбе не примењује се. Уместо тога примењују се следеће одредбе: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Као основ за израчунавање просечних испитних концентрација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користи се измерена просечна потрошња горива у испитивању одређена из збира тренутних вредности током циклуса.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Маса сваког потрошеног горива служи израчунавању, у складу с одељком 7.1.5., моларног односа водоника и масених удела мешавине горива у испитивању.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Укупна коригована маса оба горива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fuel,corr</w:t>
      </w:r>
      <w:r w:rsidRPr="00B03342">
        <w:rPr>
          <w:rFonts w:ascii="Arial" w:hAnsi="Arial" w:cs="Arial"/>
          <w:color w:val="000000"/>
          <w:lang w:eastAsia="sr-Latn-RS"/>
        </w:rPr>
        <w:t> [g/test] и масена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из горива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 fuel</w:t>
      </w:r>
      <w:r w:rsidRPr="00B03342">
        <w:rPr>
          <w:rFonts w:ascii="Arial" w:hAnsi="Arial" w:cs="Arial"/>
          <w:color w:val="000000"/>
          <w:lang w:eastAsia="sr-Latn-RS"/>
        </w:rPr>
        <w:t> [g/test] одређује се помоћу једначина (8-17) и (8-18).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3CFDC24" wp14:editId="083D49A4">
            <wp:extent cx="5057140" cy="763270"/>
            <wp:effectExtent l="0" t="0" r="0" b="0"/>
            <wp:docPr id="242" name="Picture 242" descr="Two mathematical equations related to fuel and carbon monoxide concentration are shown with variables and fra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wo mathematical equations related to fuel and carbon monoxide concentration are shown with variables and fractions.&#10;&#10;Description generated by A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57140" cy="76327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0"/>
        <w:gridCol w:w="271"/>
        <w:gridCol w:w="938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оба горива [g/test]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укупних емисија угљоводоника у издувним гасовима [g/test]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укупних емисија угљенмоноксида у издувним гасовима [g/test]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GAM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сумпора у горивима [проценат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DEL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азота у горивима [проценат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кисеоника у горивима [проценат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водоника у горивима (H/C)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атомска маса угљеника: 12,011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атомска маса водоника: 1,0079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угљенмоноксида: 28,011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угљендиоксида: 44,01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коју узрокује уреа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CO2,urea</w:t>
      </w:r>
      <w:r w:rsidRPr="00B03342">
        <w:rPr>
          <w:rFonts w:ascii="Arial" w:hAnsi="Arial" w:cs="Arial"/>
          <w:color w:val="000000"/>
          <w:lang w:eastAsia="sr-Latn-RS"/>
        </w:rPr>
        <w:t> [g/test] израчунава се помоћу једначине (8-19):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23ED618" wp14:editId="2FA8356E">
            <wp:extent cx="5057140" cy="437515"/>
            <wp:effectExtent l="0" t="0" r="0" b="635"/>
            <wp:docPr id="241" name="Picture 241" descr="A mathematical formula expressing mCO2, urea as the product of Curesn divided by 100, multiplied by the ratio of MCO2 to MCO(NH2)2, and then multiplied by mure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mathematical formula expressing mCO2, urea as the product of Curesn divided by 100, multiplied by the ratio of MCO2 to MCO(NH2)2, and then multiplied by murea.&#10;&#10;Description generated by A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57140" cy="437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19"/>
        <w:gridCol w:w="405"/>
        <w:gridCol w:w="807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urea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урее [проценат]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urea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масена потрошња урее [g/test]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CO(NH2)2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урее: 60,056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том се случају укупна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[g/test] израчунава помоћу једначине (8-20):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97"/>
        <w:gridCol w:w="20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CO2,fuel </w:t>
            </w:r>
            <w:r w:rsidRPr="00B03342">
              <w:rPr>
                <w:rFonts w:ascii="Arial" w:hAnsi="Arial" w:cs="Arial"/>
                <w:lang w:eastAsia="sr-Latn-RS"/>
              </w:rPr>
              <w:t>+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CO2,urea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(8-20)</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Укупна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израчуната помоћу једначине (8-20) примењује се за израчунавање специфичних ефективних емисија CO</w:t>
      </w:r>
      <w:r w:rsidRPr="00B03342">
        <w:rPr>
          <w:rFonts w:ascii="Arial" w:hAnsi="Arial" w:cs="Arial"/>
          <w:color w:val="000000"/>
          <w:vertAlign w:val="subscript"/>
          <w:lang w:eastAsia="sr-Latn-RS"/>
        </w:rPr>
        <w:t>2</w:t>
      </w:r>
      <w:r w:rsidRPr="00B03342">
        <w:rPr>
          <w:rFonts w:ascii="Arial" w:hAnsi="Arial" w:cs="Arial"/>
          <w:color w:val="000000"/>
          <w:lang w:eastAsia="sr-Latn-RS"/>
        </w:rPr>
        <w:t>, e</w:t>
      </w:r>
      <w:r w:rsidRPr="00B03342">
        <w:rPr>
          <w:rFonts w:ascii="Arial" w:hAnsi="Arial" w:cs="Arial"/>
          <w:color w:val="000000"/>
          <w:vertAlign w:val="subscript"/>
          <w:lang w:eastAsia="sr-Latn-RS"/>
        </w:rPr>
        <w:t>CO2</w:t>
      </w:r>
      <w:r w:rsidRPr="00B03342">
        <w:rPr>
          <w:rFonts w:ascii="Arial" w:hAnsi="Arial" w:cs="Arial"/>
          <w:color w:val="000000"/>
          <w:lang w:eastAsia="sr-Latn-RS"/>
        </w:rPr>
        <w:t> [g/kWh] из одељка 2.4.1.1. или 3.8.1.1. Прилога 10 ове уредбе. Где је примењиво, корекција за CO</w:t>
      </w:r>
      <w:r w:rsidRPr="00B03342">
        <w:rPr>
          <w:rFonts w:ascii="Arial" w:hAnsi="Arial" w:cs="Arial"/>
          <w:color w:val="000000"/>
          <w:vertAlign w:val="subscript"/>
          <w:lang w:eastAsia="sr-Latn-RS"/>
        </w:rPr>
        <w:t>2</w:t>
      </w:r>
      <w:r w:rsidRPr="00B03342">
        <w:rPr>
          <w:rFonts w:ascii="Arial" w:hAnsi="Arial" w:cs="Arial"/>
          <w:color w:val="000000"/>
          <w:lang w:eastAsia="sr-Latn-RS"/>
        </w:rPr>
        <w:t> у издувним гасовима који је произишао из CO</w:t>
      </w:r>
      <w:r w:rsidRPr="00B03342">
        <w:rPr>
          <w:rFonts w:ascii="Arial" w:hAnsi="Arial" w:cs="Arial"/>
          <w:color w:val="000000"/>
          <w:vertAlign w:val="subscript"/>
          <w:lang w:eastAsia="sr-Latn-RS"/>
        </w:rPr>
        <w:t>2</w:t>
      </w:r>
      <w:r w:rsidRPr="00B03342">
        <w:rPr>
          <w:rFonts w:ascii="Arial" w:hAnsi="Arial" w:cs="Arial"/>
          <w:color w:val="000000"/>
          <w:lang w:eastAsia="sr-Latn-RS"/>
        </w:rPr>
        <w:t> у гасовитом гориву спроводи се у складу с Додатком 3. Прилога 7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w:t>
      </w:r>
      <w:r w:rsidRPr="00B03342">
        <w:rPr>
          <w:rFonts w:ascii="Arial" w:hAnsi="Arial" w:cs="Arial"/>
          <w:color w:val="000000"/>
          <w:vertAlign w:val="superscript"/>
          <w:lang w:eastAsia="sr-Latn-RS"/>
        </w:rPr>
        <w:t>1</w:t>
      </w:r>
      <w:r w:rsidRPr="00B03342">
        <w:rPr>
          <w:rFonts w:ascii="Arial" w:hAnsi="Arial" w:cs="Arial"/>
          <w:color w:val="000000"/>
          <w:lang w:eastAsia="sr-Latn-RS"/>
        </w:rPr>
        <w:t>) зависно о гориву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2</w:t>
      </w:r>
      <w:r w:rsidRPr="00B03342">
        <w:rPr>
          <w:rFonts w:ascii="Arial" w:hAnsi="Arial" w:cs="Arial"/>
          <w:color w:val="000000"/>
          <w:lang w:eastAsia="sr-Latn-RS"/>
        </w:rPr>
        <w:t>) при </w:t>
      </w:r>
      <w:r w:rsidRPr="00B03342">
        <w:rPr>
          <w:rFonts w:ascii="Arial" w:hAnsi="Arial" w:cs="Arial"/>
          <w:i/>
          <w:iCs/>
          <w:color w:val="000000"/>
          <w:lang w:eastAsia="sr-Latn-RS"/>
        </w:rPr>
        <w:t>l</w:t>
      </w:r>
      <w:r w:rsidRPr="00B03342">
        <w:rPr>
          <w:rFonts w:ascii="Arial" w:hAnsi="Arial" w:cs="Arial"/>
          <w:color w:val="000000"/>
          <w:lang w:eastAsia="sr-Latn-RS"/>
        </w:rPr>
        <w:t> = 2, суви ваздух, 273 K, 101,3 kPa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3</w:t>
      </w:r>
      <w:r w:rsidRPr="00B03342">
        <w:rPr>
          <w:rFonts w:ascii="Arial" w:hAnsi="Arial" w:cs="Arial"/>
          <w:color w:val="000000"/>
          <w:lang w:eastAsia="sr-Latn-RS"/>
        </w:rPr>
        <w:t>) </w:t>
      </w:r>
      <w:r w:rsidRPr="00B03342">
        <w:rPr>
          <w:rFonts w:ascii="Arial" w:hAnsi="Arial" w:cs="Arial"/>
          <w:i/>
          <w:iCs/>
          <w:color w:val="000000"/>
          <w:lang w:eastAsia="sr-Latn-RS"/>
        </w:rPr>
        <w:t>у</w:t>
      </w:r>
      <w:r w:rsidRPr="00B03342">
        <w:rPr>
          <w:rFonts w:ascii="Arial" w:hAnsi="Arial" w:cs="Arial"/>
          <w:color w:val="000000"/>
          <w:lang w:eastAsia="sr-Latn-RS"/>
        </w:rPr>
        <w:t> вредности тачне унутар 0,2 % за масени састав од: C = 58 – 76 %; C = 19 – 25 %; N = 0 – 14 % (CH</w:t>
      </w:r>
      <w:r w:rsidRPr="00B03342">
        <w:rPr>
          <w:rFonts w:ascii="Arial" w:hAnsi="Arial" w:cs="Arial"/>
          <w:color w:val="000000"/>
          <w:vertAlign w:val="subscript"/>
          <w:lang w:eastAsia="sr-Latn-RS"/>
        </w:rPr>
        <w:t>4</w:t>
      </w:r>
      <w:r w:rsidRPr="00B03342">
        <w:rPr>
          <w:rFonts w:ascii="Arial" w:hAnsi="Arial" w:cs="Arial"/>
          <w:color w:val="000000"/>
          <w:lang w:eastAsia="sr-Latn-RS"/>
        </w:rPr>
        <w:t>, G</w:t>
      </w:r>
      <w:r w:rsidRPr="00B03342">
        <w:rPr>
          <w:rFonts w:ascii="Arial" w:hAnsi="Arial" w:cs="Arial"/>
          <w:color w:val="000000"/>
          <w:vertAlign w:val="subscript"/>
          <w:lang w:eastAsia="sr-Latn-RS"/>
        </w:rPr>
        <w:t>20</w:t>
      </w:r>
      <w:r w:rsidRPr="00B03342">
        <w:rPr>
          <w:rFonts w:ascii="Arial" w:hAnsi="Arial" w:cs="Arial"/>
          <w:color w:val="000000"/>
          <w:lang w:eastAsia="sr-Latn-RS"/>
        </w:rPr>
        <w:t>, G</w:t>
      </w:r>
      <w:r w:rsidRPr="00B03342">
        <w:rPr>
          <w:rFonts w:ascii="Arial" w:hAnsi="Arial" w:cs="Arial"/>
          <w:color w:val="000000"/>
          <w:vertAlign w:val="subscript"/>
          <w:lang w:eastAsia="sr-Latn-RS"/>
        </w:rPr>
        <w:t>23</w:t>
      </w:r>
      <w:r w:rsidRPr="00B03342">
        <w:rPr>
          <w:rFonts w:ascii="Arial" w:hAnsi="Arial" w:cs="Arial"/>
          <w:color w:val="000000"/>
          <w:lang w:eastAsia="sr-Latn-RS"/>
        </w:rPr>
        <w:t> и G</w:t>
      </w:r>
      <w:r w:rsidRPr="00B03342">
        <w:rPr>
          <w:rFonts w:ascii="Arial" w:hAnsi="Arial" w:cs="Arial"/>
          <w:color w:val="000000"/>
          <w:vertAlign w:val="subscript"/>
          <w:lang w:eastAsia="sr-Latn-RS"/>
        </w:rPr>
        <w:t>25</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4</w:t>
      </w:r>
      <w:r w:rsidRPr="00B03342">
        <w:rPr>
          <w:rFonts w:ascii="Arial" w:hAnsi="Arial" w:cs="Arial"/>
          <w:color w:val="000000"/>
          <w:lang w:eastAsia="sr-Latn-RS"/>
        </w:rPr>
        <w:t>) NMHC на основу CH</w:t>
      </w:r>
      <w:r w:rsidRPr="00B03342">
        <w:rPr>
          <w:rFonts w:ascii="Arial" w:hAnsi="Arial" w:cs="Arial"/>
          <w:color w:val="000000"/>
          <w:vertAlign w:val="subscript"/>
          <w:lang w:eastAsia="sr-Latn-RS"/>
        </w:rPr>
        <w:t>2,93</w:t>
      </w:r>
      <w:r w:rsidRPr="00B03342">
        <w:rPr>
          <w:rFonts w:ascii="Arial" w:hAnsi="Arial" w:cs="Arial"/>
          <w:color w:val="000000"/>
          <w:lang w:eastAsia="sr-Latn-RS"/>
        </w:rPr>
        <w:t> (за укупни HC употребљава се коефицијент </w:t>
      </w:r>
      <w:r w:rsidRPr="00B03342">
        <w:rPr>
          <w:rFonts w:ascii="Arial" w:hAnsi="Arial" w:cs="Arial"/>
          <w:i/>
          <w:iCs/>
          <w:color w:val="000000"/>
          <w:lang w:eastAsia="sr-Latn-RS"/>
        </w:rPr>
        <w:t>u</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CH</w:t>
      </w:r>
      <w:r w:rsidRPr="00B03342">
        <w:rPr>
          <w:rFonts w:ascii="Arial" w:hAnsi="Arial" w:cs="Arial"/>
          <w:color w:val="000000"/>
          <w:vertAlign w:val="subscript"/>
          <w:lang w:eastAsia="sr-Latn-RS"/>
        </w:rPr>
        <w:t>4</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w:t>
      </w:r>
      <w:r w:rsidRPr="00B03342">
        <w:rPr>
          <w:rFonts w:ascii="Arial" w:hAnsi="Arial" w:cs="Arial"/>
          <w:color w:val="000000"/>
          <w:vertAlign w:val="superscript"/>
          <w:lang w:eastAsia="sr-Latn-RS"/>
        </w:rPr>
        <w:t>5</w:t>
      </w:r>
      <w:r w:rsidRPr="00B03342">
        <w:rPr>
          <w:rFonts w:ascii="Arial" w:hAnsi="Arial" w:cs="Arial"/>
          <w:color w:val="000000"/>
          <w:lang w:eastAsia="sr-Latn-RS"/>
        </w:rPr>
        <w:t>) </w:t>
      </w:r>
      <w:r w:rsidRPr="00B03342">
        <w:rPr>
          <w:rFonts w:ascii="Arial" w:hAnsi="Arial" w:cs="Arial"/>
          <w:i/>
          <w:iCs/>
          <w:color w:val="000000"/>
          <w:lang w:eastAsia="sr-Latn-RS"/>
        </w:rPr>
        <w:t>у</w:t>
      </w:r>
      <w:r w:rsidRPr="00B03342">
        <w:rPr>
          <w:rFonts w:ascii="Arial" w:hAnsi="Arial" w:cs="Arial"/>
          <w:color w:val="000000"/>
          <w:lang w:eastAsia="sr-Latn-RS"/>
        </w:rPr>
        <w:t> вредности тачне унутар 0,2 % за масени састав од: C</w:t>
      </w:r>
      <w:r w:rsidRPr="00B03342">
        <w:rPr>
          <w:rFonts w:ascii="Arial" w:hAnsi="Arial" w:cs="Arial"/>
          <w:color w:val="000000"/>
          <w:vertAlign w:val="subscript"/>
          <w:lang w:eastAsia="sr-Latn-RS"/>
        </w:rPr>
        <w:t>3</w:t>
      </w:r>
      <w:r w:rsidRPr="00B03342">
        <w:rPr>
          <w:rFonts w:ascii="Arial" w:hAnsi="Arial" w:cs="Arial"/>
          <w:color w:val="000000"/>
          <w:lang w:eastAsia="sr-Latn-RS"/>
        </w:rPr>
        <w:t> = 27 – 90 %; C4 = 10 – 73 % (UNP горива А и Б).</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Типови мотора с двојним горивом који раде на природни гас / биометан или UNP и течно гориво – приказ дефиниција и главних захтева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87"/>
        <w:gridCol w:w="1216"/>
        <w:gridCol w:w="1821"/>
        <w:gridCol w:w="1821"/>
        <w:gridCol w:w="2445"/>
        <w:gridCol w:w="1292"/>
        <w:gridCol w:w="111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Двојно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cycle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Празни ход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Загревање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Рад само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Рад без гаса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Напомене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NRTC, hot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NRSC, </w:t>
            </w:r>
            <w:r w:rsidRPr="00B03342">
              <w:rPr>
                <w:rFonts w:ascii="Arial" w:hAnsi="Arial" w:cs="Arial"/>
                <w:lang w:eastAsia="sr-Latn-RS"/>
              </w:rPr>
              <w:t>≥ 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 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сервисном начину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сервисном начину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Сервисни 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NRTC, hot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NRSC </w:t>
            </w:r>
            <w:r w:rsidRPr="00B03342">
              <w:rPr>
                <w:rFonts w:ascii="Arial" w:hAnsi="Arial" w:cs="Arial"/>
                <w:lang w:eastAsia="sr-Latn-RS"/>
              </w:rPr>
              <w:t>≥ 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начину рада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начину рада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начину рада на течно гориво и у сервисном начину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0,1 &lt; GER</w:t>
            </w:r>
            <w:r w:rsidRPr="00B03342">
              <w:rPr>
                <w:rFonts w:ascii="Arial" w:hAnsi="Arial" w:cs="Arial"/>
                <w:vertAlign w:val="subscript"/>
                <w:lang w:eastAsia="sr-Latn-RS"/>
              </w:rPr>
              <w:t>NRTC, hot</w:t>
            </w:r>
            <w:r w:rsidRPr="00B03342">
              <w:rPr>
                <w:rFonts w:ascii="Arial" w:hAnsi="Arial" w:cs="Arial"/>
                <w:lang w:eastAsia="sr-Latn-RS"/>
              </w:rPr>
              <w:t> &lt;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0,1 &lt; GER</w:t>
            </w:r>
            <w:r w:rsidRPr="00B03342">
              <w:rPr>
                <w:rFonts w:ascii="Arial" w:hAnsi="Arial" w:cs="Arial"/>
                <w:vertAlign w:val="subscript"/>
                <w:lang w:eastAsia="sr-Latn-RS"/>
              </w:rPr>
              <w:t>NRSC</w:t>
            </w:r>
            <w:r w:rsidRPr="00B03342">
              <w:rPr>
                <w:rFonts w:ascii="Arial" w:hAnsi="Arial" w:cs="Arial"/>
                <w:lang w:eastAsia="sr-Latn-RS"/>
              </w:rPr>
              <w:t> &lt; 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сервисном начину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 само у сервисном начину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Сервисни начин рада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NRTC, hot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NRSC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0,1 &lt; GER</w:t>
            </w:r>
            <w:r w:rsidRPr="00B03342">
              <w:rPr>
                <w:rFonts w:ascii="Arial" w:hAnsi="Arial" w:cs="Arial"/>
                <w:vertAlign w:val="subscript"/>
                <w:lang w:eastAsia="sr-Latn-RS"/>
              </w:rPr>
              <w:t>NRTC, hot</w:t>
            </w:r>
            <w:r w:rsidRPr="00B03342">
              <w:rPr>
                <w:rFonts w:ascii="Arial" w:hAnsi="Arial" w:cs="Arial"/>
                <w:lang w:eastAsia="sr-Latn-RS"/>
              </w:rPr>
              <w:t> &lt;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0,1 &lt; GER</w:t>
            </w:r>
            <w:r w:rsidRPr="00B03342">
              <w:rPr>
                <w:rFonts w:ascii="Arial" w:hAnsi="Arial" w:cs="Arial"/>
                <w:vertAlign w:val="subscript"/>
                <w:lang w:eastAsia="sr-Latn-RS"/>
              </w:rPr>
              <w:t>NRSC</w:t>
            </w:r>
            <w:r w:rsidRPr="00B03342">
              <w:rPr>
                <w:rFonts w:ascii="Arial" w:hAnsi="Arial" w:cs="Arial"/>
                <w:lang w:eastAsia="sr-Latn-RS"/>
              </w:rPr>
              <w:t> &lt; 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NRTC, hot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NRSC </w:t>
            </w:r>
            <w:r w:rsidRPr="00B03342">
              <w:rPr>
                <w:rFonts w:ascii="Arial" w:hAnsi="Arial" w:cs="Arial"/>
                <w:lang w:eastAsia="sr-Latn-RS"/>
              </w:rPr>
              <w:t>≥ 0,9</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3А</w:t>
            </w:r>
          </w:p>
        </w:tc>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 одређено ни допуштено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NRTC, hot </w:t>
            </w:r>
            <w:r w:rsidRPr="00B03342">
              <w:rPr>
                <w:rFonts w:ascii="Arial" w:hAnsi="Arial" w:cs="Arial"/>
                <w:lang w:eastAsia="sr-Latn-RS"/>
              </w:rPr>
              <w:t>≤0,1</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или</w:t>
            </w:r>
          </w:p>
          <w:p w:rsidR="00DA0CD9" w:rsidRPr="00B03342" w:rsidRDefault="00DA0CD9" w:rsidP="00E26D3C">
            <w:pPr>
              <w:rPr>
                <w:rFonts w:ascii="Arial" w:hAnsi="Arial" w:cs="Arial"/>
                <w:lang w:eastAsia="sr-Latn-RS"/>
              </w:rPr>
            </w:pPr>
            <w:r w:rsidRPr="00B03342">
              <w:rPr>
                <w:rFonts w:ascii="Arial" w:hAnsi="Arial" w:cs="Arial"/>
                <w:lang w:eastAsia="sr-Latn-RS"/>
              </w:rPr>
              <w:t>GER</w:t>
            </w:r>
            <w:r w:rsidRPr="00B03342">
              <w:rPr>
                <w:rFonts w:ascii="Arial" w:hAnsi="Arial" w:cs="Arial"/>
                <w:vertAlign w:val="subscript"/>
                <w:lang w:eastAsia="sr-Latn-RS"/>
              </w:rPr>
              <w:t>NRSC </w:t>
            </w:r>
            <w:r w:rsidRPr="00B03342">
              <w:rPr>
                <w:rFonts w:ascii="Arial" w:hAnsi="Arial" w:cs="Arial"/>
                <w:lang w:eastAsia="sr-Latn-RS"/>
              </w:rPr>
              <w:t>≤ 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Допуштено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Начин рада на течно 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10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Метода за евалуацију података и обрачунавање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 емисија изводи се у складу с дељком 2. овог прилога (обрачуни на основу масе) или одељком 3. (обрачуни на основу моларне масе) овог прилога. Није допуштено комбиновање две методе. У складу с одељком 2. и у складу с одељком 3. овог прилога није потребно спроводити обрачунавање.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Посебни захтеви за мерење броја честица (PN), ако је примењиво, утврђени су у Додатку 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Општи симболи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8"/>
        <w:gridCol w:w="848"/>
        <w:gridCol w:w="4170"/>
        <w:gridCol w:w="463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Одељак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Одељак 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Јединица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Варијабла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Површина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Подручје попречног пречника сужења Вентуријеве цеви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б</w:t>
            </w:r>
            <w:r w:rsidRPr="00B03342">
              <w:rPr>
                <w:rFonts w:ascii="Arial" w:hAnsi="Arial" w:cs="Arial"/>
                <w:lang w:eastAsia="sr-Latn-RS"/>
              </w:rPr>
              <w:t>, </w:t>
            </w: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n.j.d.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y</w:t>
            </w:r>
            <w:r w:rsidRPr="00B03342">
              <w:rPr>
                <w:rFonts w:ascii="Arial" w:hAnsi="Arial" w:cs="Arial"/>
                <w:lang w:eastAsia="sr-Latn-RS"/>
              </w:rPr>
              <w:t> одсечак регресијског правца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A/F</w:t>
            </w:r>
            <w:r w:rsidRPr="00B03342">
              <w:rPr>
                <w:rFonts w:ascii="Arial" w:hAnsi="Arial" w:cs="Arial"/>
                <w:lang w:eastAsia="sr-Latn-RS"/>
              </w:rPr>
              <w:t> </w:t>
            </w:r>
            <w:r w:rsidRPr="00B03342">
              <w:rPr>
                <w:rFonts w:ascii="Arial" w:hAnsi="Arial" w:cs="Arial"/>
                <w:vertAlign w:val="subscript"/>
                <w:lang w:eastAsia="sr-Latn-RS"/>
              </w:rPr>
              <w:t>сt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Стехиометријски однос ваздух/гориво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ppm, %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 моларна фракција (μmol/mol =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ppm, %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на сувој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ppm, %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ppm, % vol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Позадинска концентрација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разређивања (</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/обртај</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Одсечак умеравања волуметричке пумпе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Пронос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Пронос сужења Вентуријеве цеви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g/kWh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Специфична ефективна основа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g/kWh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Специфична емисија гасовитих компоненти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g/kWh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Специфична емисија честица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 </w:t>
            </w:r>
            <w:r w:rsidRPr="00B03342">
              <w:rPr>
                <w:rFonts w:ascii="Arial" w:hAnsi="Arial" w:cs="Arial"/>
                <w:i/>
                <w:iCs/>
                <w:lang w:eastAsia="sr-Latn-RS"/>
              </w:rPr>
              <w:t>PF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Учинковитост конверзије (</w:t>
            </w:r>
            <w:r w:rsidRPr="00B03342">
              <w:rPr>
                <w:rFonts w:ascii="Arial" w:hAnsi="Arial" w:cs="Arial"/>
                <w:i/>
                <w:iCs/>
                <w:lang w:eastAsia="sr-Latn-RS"/>
              </w:rPr>
              <w:t>PF</w:t>
            </w:r>
            <w:r w:rsidRPr="00B03342">
              <w:rPr>
                <w:rFonts w:ascii="Arial" w:hAnsi="Arial" w:cs="Arial"/>
                <w:lang w:eastAsia="sr-Latn-RS"/>
              </w:rPr>
              <w:t> = фракција пенетрације)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Стехиометријски фактор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Фреквенција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угљеника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специфичних температура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влажност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Корекциони фактор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3168737" wp14:editId="724E230B">
                  <wp:extent cx="2607945" cy="341630"/>
                  <wp:effectExtent l="0" t="0" r="1905" b="1270"/>
                  <wp:docPr id="240" name="Picture 240" descr="A mathematical expression showing the square root of K multiplied by meters to the fourth power and seconds, all divided by kilogra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mathematical expression showing the square root of K multiplied by meters to the fourth power and seconds, all divided by kilograms.&#10;&#10;Description generated by A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7945" cy="34163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Функција умеравањаCFV-a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/kg горива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за специфично гориво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k</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Корекцијски фактор влажности за NO</w:t>
            </w:r>
            <w:r w:rsidRPr="00B03342">
              <w:rPr>
                <w:rFonts w:ascii="Arial" w:hAnsi="Arial" w:cs="Arial"/>
                <w:vertAlign w:val="subscript"/>
                <w:lang w:eastAsia="sr-Latn-RS"/>
              </w:rPr>
              <w:t>x</w:t>
            </w:r>
            <w:r w:rsidRPr="00B03342">
              <w:rPr>
                <w:rFonts w:ascii="Arial" w:hAnsi="Arial" w:cs="Arial"/>
                <w:lang w:eastAsia="sr-Latn-RS"/>
              </w:rPr>
              <w:t> за дизел моторе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Dr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Dr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прилагођавања на мању вредност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Мултипликативни фактор регенерације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Уr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Уr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прилагођавања на већу вредност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Корекцијски фактор за прерачунавање из сувог у влажно стање за улазни ваздух</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Корекцијски фактор за прерачунавање из сувог у влажно стање за ваздух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Корекцијски фактор за прерачунавање из сувог у влажно стање за издувни гас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Корекцијски фактор за прерачунавање из сувог у влажно стање за неразређен издувни гас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kg/(m·с)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Динамичка вискозност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Моларна маса (</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улазног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vertAlign w:val="super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гасовитих компоненти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n.j.d.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Нагиб регресијског правца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2</w:t>
            </w: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Кинематичка вискозност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vertAlign w:val="super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ваздуха за разређивање који је прошао кроз филтре за узорковање честица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разређеног издувног гаса током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еквивалентног разређеног издувног гаса током испитног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издувног гаса током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прикупљених честица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прикупљених честица из ваздуха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гасовитих емисија током испитног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емисија честица током испитног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издувног гаса током испитног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гаса који пролази кроз тунел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гаса који пролази кроз филтре за прикупљање честица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ссd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секундарног ваздуха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Укупан број у серији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материја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mol/s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материја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min</w:t>
            </w:r>
            <w:r w:rsidRPr="00B03342">
              <w:rPr>
                <w:rFonts w:ascii="Arial" w:hAnsi="Arial" w:cs="Arial"/>
                <w:vertAlign w:val="superscript"/>
                <w:lang w:eastAsia="sr-Latn-RS"/>
              </w:rPr>
              <w:t>–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обртања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обр/s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волуметричке пумпе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Атмосферски притисак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атмосферски притисак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паре за засићивање ваздуха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aбс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Х2O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водене паре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Атмосферски притисак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 </w:t>
            </w:r>
            <w:r w:rsidRPr="00B03342">
              <w:rPr>
                <w:rFonts w:ascii="Arial" w:hAnsi="Arial" w:cs="Arial"/>
                <w:i/>
                <w:iCs/>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Фракција пенетрације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ad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улазног ваздуха на сувој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aw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улазног ваздуха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угљеника у неразређеном издувном гасу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Cf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угљеника у мотор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Cp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угљеника у систему за разређивање делимичног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разређеног издувног гаса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ваздуха за разређивање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Еквивалент масеног протока разређеног издувног гаса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издувног гаса на влажној основи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ex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узорка издвојенога у тунелу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горива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perscript"/>
                <w:lang w:eastAsia="sr-Latn-RS"/>
              </w:rPr>
              <w:t>m</w:t>
            </w:r>
            <w:r w:rsidRPr="00B03342">
              <w:rPr>
                <w:rFonts w:ascii="Arial" w:hAnsi="Arial" w:cs="Arial"/>
                <w:i/>
                <w:iCs/>
                <w:lang w:eastAsia="sr-Latn-RS"/>
              </w:rPr>
              <w:t> </w:t>
            </w:r>
            <w:r w:rsidRPr="00B03342">
              <w:rPr>
                <w:rFonts w:ascii="Arial" w:hAnsi="Arial" w:cs="Arial"/>
                <w:vertAlign w:val="super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узорка издувног гаса у систем за разређивање делимичног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Запремински проток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CVS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Запремински проток система за узорковање константног обима(CVS)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dm</w:t>
            </w:r>
            <w:r w:rsidRPr="00B03342">
              <w:rPr>
                <w:rFonts w:ascii="Arial" w:hAnsi="Arial" w:cs="Arial"/>
                <w:vertAlign w:val="superscript"/>
                <w:lang w:eastAsia="sr-Latn-RS"/>
              </w:rPr>
              <w:t>3</w:t>
            </w:r>
            <w:r w:rsidRPr="00B03342">
              <w:rPr>
                <w:rFonts w:ascii="Arial" w:hAnsi="Arial" w:cs="Arial"/>
                <w:lang w:eastAsia="sr-Latn-RS"/>
              </w:rPr>
              <w:t>/min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 систему анализатора издувних гасова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cm</w:t>
            </w:r>
            <w:r w:rsidRPr="00B03342">
              <w:rPr>
                <w:rFonts w:ascii="Arial" w:hAnsi="Arial" w:cs="Arial"/>
                <w:vertAlign w:val="superscript"/>
                <w:lang w:eastAsia="sr-Latn-RS"/>
              </w:rPr>
              <w:t>3</w:t>
            </w:r>
            <w:r w:rsidRPr="00B03342">
              <w:rPr>
                <w:rFonts w:ascii="Arial" w:hAnsi="Arial" w:cs="Arial"/>
                <w:lang w:eastAsia="sr-Latn-RS"/>
              </w:rPr>
              <w:t>/min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гаса за праћење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притисака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 разређивања</w:t>
            </w:r>
            <w:r w:rsidRPr="00B03342">
              <w:rPr>
                <w:rFonts w:ascii="Arial" w:hAnsi="Arial" w:cs="Arial"/>
                <w:vertAlign w:val="superscript"/>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μm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храпавост површине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Релативна влажност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проноса (системи CVS)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притисака подзвучне Вентуријеве цеви (SSV)</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Re</w:t>
            </w:r>
            <w:r w:rsidRPr="00B03342">
              <w:rPr>
                <w:rFonts w:ascii="Arial" w:hAnsi="Arial" w:cs="Arial"/>
                <w:lang w:eastAsia="sr-Latn-RS"/>
              </w:rPr>
              <w:t> </w:t>
            </w:r>
            <w:r w:rsidRPr="00B03342">
              <w:rPr>
                <w:rFonts w:ascii="Arial" w:hAnsi="Arial" w:cs="Arial"/>
                <w:vertAlign w:val="superscript"/>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Рејнулдсов број</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Сутхерландова константа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Стандардна девијација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Закретни момент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температура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Δt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Δt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Временски интервал</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густина компоненте издувног гаса и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Запремински проток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m</w:t>
            </w:r>
            <w:r w:rsidRPr="00B03342">
              <w:rPr>
                <w:rFonts w:ascii="Arial" w:hAnsi="Arial" w:cs="Arial"/>
                <w:vertAlign w:val="superscript"/>
                <w:lang w:eastAsia="sr-Latn-RS"/>
              </w:rPr>
              <w:t>3</w:t>
            </w:r>
            <w:r w:rsidRPr="00B03342">
              <w:rPr>
                <w:rFonts w:ascii="Arial" w:hAnsi="Arial" w:cs="Arial"/>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Запремина гаса испумпаног волуметричком пумпом по обртају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испитног циклуса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пондерисања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g/g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удео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AA34393" wp14:editId="24642B81">
                  <wp:extent cx="182880" cy="207010"/>
                  <wp:effectExtent l="0" t="0" r="7620" b="2540"/>
                  <wp:docPr id="239" name="Picture 239" descr="A mathematical notation showing the variable X with a bar over it, indicating the mean or average valu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mathematical notation showing the variable X with a bar over it, indicating the mean or average value.&#10;&#10;Description generated by A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2880" cy="20701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mol/mol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концентрација пондерисана према протоку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 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s/обр</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Функција умеравања волуметричке пумпе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Генеричка варијабла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1E5CA2F" wp14:editId="578A2A24">
                  <wp:extent cx="191135" cy="286385"/>
                  <wp:effectExtent l="0" t="0" r="0" b="0"/>
                  <wp:docPr id="238" name="Picture 238" descr="A lowercase letter y with a horizontal bar above it and a tilde over the ba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lowercase letter y with a horizontal bar above it and a tilde over the bar.&#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1135" cy="2863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A7F8257" wp14:editId="38B82696">
                  <wp:extent cx="191135" cy="286385"/>
                  <wp:effectExtent l="0" t="0" r="0" b="0"/>
                  <wp:docPr id="237" name="Picture 237" descr="A lowercase letter y with a horizontal bar above it and a tilde over the ba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lowercase letter y with a horizontal bar above it and a tilde over the bar.&#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1135" cy="2863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Аритметичка средина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компресије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Индекси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56"/>
        <w:gridCol w:w="2126"/>
        <w:gridCol w:w="571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Одељак 2. (</w:t>
            </w:r>
            <w:r w:rsidRPr="00B03342">
              <w:rPr>
                <w:rFonts w:ascii="Arial" w:hAnsi="Arial" w:cs="Arial"/>
                <w:vertAlign w:val="superscript"/>
                <w:lang w:eastAsia="sr-Latn-RS"/>
              </w:rPr>
              <w:t>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Одељак 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Тренутно мерење (нпр.: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Појединачни елемент серије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Симболи и скраћенице за хемијске компоненте (примењују се и као индекси)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35"/>
        <w:gridCol w:w="1835"/>
        <w:gridCol w:w="683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Одељак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Одељак 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Компонента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Аргон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Угљеноводоник еквивалентан угљенику1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Метан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2</w:t>
            </w:r>
            <w:r w:rsidRPr="00B03342">
              <w:rPr>
                <w:rFonts w:ascii="Arial" w:hAnsi="Arial" w:cs="Arial"/>
                <w:lang w:eastAsia="sr-Latn-RS"/>
              </w:rPr>
              <w:t>H</w:t>
            </w:r>
            <w:r w:rsidRPr="00B03342">
              <w:rPr>
                <w:rFonts w:ascii="Arial" w:hAnsi="Arial" w:cs="Arial"/>
                <w:vertAlign w:val="subscript"/>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2</w:t>
            </w:r>
            <w:r w:rsidRPr="00B03342">
              <w:rPr>
                <w:rFonts w:ascii="Arial" w:hAnsi="Arial" w:cs="Arial"/>
                <w:lang w:eastAsia="sr-Latn-RS"/>
              </w:rPr>
              <w:t>H</w:t>
            </w:r>
            <w:r w:rsidRPr="00B03342">
              <w:rPr>
                <w:rFonts w:ascii="Arial" w:hAnsi="Arial" w:cs="Arial"/>
                <w:vertAlign w:val="subscript"/>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3</w:t>
            </w:r>
            <w:r w:rsidRPr="00B03342">
              <w:rPr>
                <w:rFonts w:ascii="Arial" w:hAnsi="Arial" w:cs="Arial"/>
                <w:lang w:eastAsia="sr-Latn-RS"/>
              </w:rPr>
              <w:t>H</w:t>
            </w:r>
            <w:r w:rsidRPr="00B03342">
              <w:rPr>
                <w:rFonts w:ascii="Arial" w:hAnsi="Arial" w:cs="Arial"/>
                <w:vertAlign w:val="subscript"/>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3</w:t>
            </w:r>
            <w:r w:rsidRPr="00B03342">
              <w:rPr>
                <w:rFonts w:ascii="Arial" w:hAnsi="Arial" w:cs="Arial"/>
                <w:lang w:eastAsia="sr-Latn-RS"/>
              </w:rPr>
              <w:t>H</w:t>
            </w:r>
            <w:r w:rsidRPr="00B03342">
              <w:rPr>
                <w:rFonts w:ascii="Arial" w:hAnsi="Arial" w:cs="Arial"/>
                <w:vertAlign w:val="subscript"/>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Пропан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Угљен-моноксид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Угљен-диоксид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Атомски водоник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H</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Молекуларни водоник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Угљеноводоник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H</w:t>
            </w:r>
            <w:r w:rsidRPr="00B03342">
              <w:rPr>
                <w:rFonts w:ascii="Arial" w:hAnsi="Arial" w:cs="Arial"/>
                <w:vertAlign w:val="subscript"/>
                <w:lang w:eastAsia="sr-Latn-RS"/>
              </w:rPr>
              <w:t>2</w:t>
            </w:r>
            <w:r w:rsidRPr="00B03342">
              <w:rPr>
                <w:rFonts w:ascii="Arial" w:hAnsi="Arial" w:cs="Arial"/>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H</w:t>
            </w:r>
            <w:r w:rsidRPr="00B03342">
              <w:rPr>
                <w:rFonts w:ascii="Arial" w:hAnsi="Arial" w:cs="Arial"/>
                <w:vertAlign w:val="subscript"/>
                <w:lang w:eastAsia="sr-Latn-RS"/>
              </w:rPr>
              <w:t>2</w:t>
            </w:r>
            <w:r w:rsidRPr="00B03342">
              <w:rPr>
                <w:rFonts w:ascii="Arial" w:hAnsi="Arial" w:cs="Arial"/>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Вода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Хелиј</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Атомски азот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Молекуларни азот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Азотови оксиди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Азотов оксид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Азот диоксид</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Атомски кисеоник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Честица материје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Сумпор</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1.4. Симболи и скраћенице за састав горива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4"/>
        <w:gridCol w:w="1744"/>
        <w:gridCol w:w="701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Одељак 2. (</w:t>
            </w:r>
            <w:r w:rsidRPr="00B03342">
              <w:rPr>
                <w:rFonts w:ascii="Arial" w:hAnsi="Arial" w:cs="Arial"/>
                <w:vertAlign w:val="superscript"/>
                <w:lang w:eastAsia="sr-Latn-RS"/>
              </w:rPr>
              <w:t>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Одељак 3. (</w:t>
            </w:r>
            <w:r w:rsidRPr="00B03342">
              <w:rPr>
                <w:rFonts w:ascii="Arial" w:hAnsi="Arial" w:cs="Arial"/>
                <w:vertAlign w:val="superscript"/>
                <w:lang w:eastAsia="sr-Latn-RS"/>
              </w:rPr>
              <w:t>6</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Варијабла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r w:rsidRPr="00B03342">
              <w:rPr>
                <w:rFonts w:ascii="Arial" w:hAnsi="Arial" w:cs="Arial"/>
                <w:lang w:eastAsia="sr-Latn-RS"/>
              </w:rPr>
              <w:t> (</w:t>
            </w:r>
            <w:r w:rsidRPr="00B03342">
              <w:rPr>
                <w:rFonts w:ascii="Arial" w:hAnsi="Arial" w:cs="Arial"/>
                <w:vertAlign w:val="superscript"/>
                <w:lang w:eastAsia="sr-Latn-RS"/>
              </w:rPr>
              <w:t>8</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r w:rsidRPr="00B03342">
              <w:rPr>
                <w:rFonts w:ascii="Arial" w:hAnsi="Arial" w:cs="Arial"/>
                <w:lang w:eastAsia="sr-Latn-RS"/>
              </w:rPr>
              <w:t> (</w:t>
            </w:r>
            <w:r w:rsidRPr="00B03342">
              <w:rPr>
                <w:rFonts w:ascii="Arial" w:hAnsi="Arial" w:cs="Arial"/>
                <w:vertAlign w:val="superscript"/>
                <w:lang w:eastAsia="sr-Latn-RS"/>
              </w:rPr>
              <w:t>8</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угљеника у гориву, масени удео[g/g]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водоника у гориву, масени удео[g/g]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азота у гориву, масени удео[g/g]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кисеоника у гориву, масени удео[g/g]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сумпора у гориву, масени удео[g/g] или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водоника и угљеника(H/C)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 атомског кисеоника и угљеника(O/C) (</w:t>
            </w:r>
            <w:r w:rsidRPr="00B03342">
              <w:rPr>
                <w:rFonts w:ascii="Arial" w:hAnsi="Arial" w:cs="Arial"/>
                <w:vertAlign w:val="superscript"/>
                <w:lang w:eastAsia="sr-Latn-RS"/>
              </w:rPr>
              <w:t>7</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сумпора и угљеника(С/C)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азота и угљеника(N/C)</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Обрачуни емисија на основу масе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Мерење гасовитих емисија у неразређеном издувном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Испитивање NRSC-а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Ниво емисије гасовитих емисија </w:t>
      </w:r>
      <w:r w:rsidRPr="00B03342">
        <w:rPr>
          <w:rFonts w:ascii="Arial" w:hAnsi="Arial" w:cs="Arial"/>
          <w:i/>
          <w:iCs/>
          <w:color w:val="000000"/>
          <w:lang w:eastAsia="sr-Latn-RS"/>
        </w:rPr>
        <w:t>q</w:t>
      </w:r>
      <w:r w:rsidRPr="00B03342">
        <w:rPr>
          <w:rFonts w:ascii="Arial" w:hAnsi="Arial" w:cs="Arial"/>
          <w:color w:val="000000"/>
          <w:vertAlign w:val="subscript"/>
          <w:lang w:eastAsia="sr-Latn-RS"/>
        </w:rPr>
        <w:t>м</w:t>
      </w:r>
      <w:r w:rsidRPr="00B03342">
        <w:rPr>
          <w:rFonts w:ascii="Arial" w:hAnsi="Arial" w:cs="Arial"/>
          <w:i/>
          <w:iCs/>
          <w:color w:val="000000"/>
          <w:lang w:eastAsia="sr-Latn-RS"/>
        </w:rPr>
        <w:t> </w:t>
      </w:r>
      <w:r w:rsidRPr="00B03342">
        <w:rPr>
          <w:rFonts w:ascii="Arial" w:hAnsi="Arial" w:cs="Arial"/>
          <w:color w:val="000000"/>
          <w:vertAlign w:val="subscript"/>
          <w:lang w:eastAsia="sr-Latn-RS"/>
        </w:rPr>
        <w:t>гас,</w:t>
      </w:r>
      <w:r w:rsidRPr="00B03342">
        <w:rPr>
          <w:rFonts w:ascii="Arial" w:hAnsi="Arial" w:cs="Arial"/>
          <w:color w:val="000000"/>
          <w:lang w:eastAsia="sr-Latn-RS"/>
        </w:rPr>
        <w:t> </w:t>
      </w:r>
      <w:r w:rsidRPr="00B03342">
        <w:rPr>
          <w:rFonts w:ascii="Arial" w:hAnsi="Arial" w:cs="Arial"/>
          <w:color w:val="000000"/>
          <w:vertAlign w:val="subscript"/>
          <w:lang w:eastAsia="sr-Latn-RS"/>
        </w:rPr>
        <w:t>и</w:t>
      </w:r>
      <w:r w:rsidRPr="00B03342">
        <w:rPr>
          <w:rFonts w:ascii="Arial" w:hAnsi="Arial" w:cs="Arial"/>
          <w:i/>
          <w:iCs/>
          <w:color w:val="000000"/>
          <w:lang w:eastAsia="sr-Latn-RS"/>
        </w:rPr>
        <w:t> </w:t>
      </w:r>
      <w:r w:rsidRPr="00B03342">
        <w:rPr>
          <w:rFonts w:ascii="Arial" w:hAnsi="Arial" w:cs="Arial"/>
          <w:color w:val="000000"/>
          <w:lang w:eastAsia="sr-Latn-RS"/>
        </w:rPr>
        <w:t>[г/х] за сваки начин рада </w:t>
      </w:r>
      <w:r w:rsidRPr="00B03342">
        <w:rPr>
          <w:rFonts w:ascii="Arial" w:hAnsi="Arial" w:cs="Arial"/>
          <w:i/>
          <w:iCs/>
          <w:color w:val="000000"/>
          <w:lang w:eastAsia="sr-Latn-RS"/>
        </w:rPr>
        <w:t>i </w:t>
      </w:r>
      <w:r w:rsidRPr="00B03342">
        <w:rPr>
          <w:rFonts w:ascii="Arial" w:hAnsi="Arial" w:cs="Arial"/>
          <w:color w:val="000000"/>
          <w:lang w:eastAsia="sr-Latn-RS"/>
        </w:rPr>
        <w:t>стационарног испитивања обрачунава се множењем концентрације гасовитих емисија с припадајућим протоком, како следи:</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BAD2050" wp14:editId="0BBD4C0C">
            <wp:extent cx="5057140" cy="485140"/>
            <wp:effectExtent l="0" t="0" r="0" b="0"/>
            <wp:docPr id="236" name="Picture 236" descr="A mathematical equation expressing a variable as the product of constants, variables, and a factor of 36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mathematical equation expressing a variable as the product of constants, variables, and a factor of 3600.&#10;&#10;Description generated by 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57140" cy="4851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7"/>
        <w:gridCol w:w="179"/>
        <w:gridCol w:w="970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заc</w:t>
            </w:r>
            <w:r w:rsidRPr="00B03342">
              <w:rPr>
                <w:rFonts w:ascii="Arial" w:hAnsi="Arial" w:cs="Arial"/>
                <w:vertAlign w:val="subscript"/>
                <w:lang w:eastAsia="sr-Latn-RS"/>
              </w:rPr>
              <w:t>gasr,w,i</w:t>
            </w:r>
            <w:r w:rsidRPr="00B03342">
              <w:rPr>
                <w:rFonts w:ascii="Arial" w:hAnsi="Arial" w:cs="Arial"/>
                <w:lang w:eastAsia="sr-Latn-RS"/>
              </w:rPr>
              <w:t> у [ppm] и </w:t>
            </w:r>
            <w:r w:rsidRPr="00B03342">
              <w:rPr>
                <w:rFonts w:ascii="Arial" w:hAnsi="Arial" w:cs="Arial"/>
                <w:i/>
                <w:iCs/>
                <w:lang w:eastAsia="sr-Latn-RS"/>
              </w:rPr>
              <w:t>k</w:t>
            </w:r>
            <w:r w:rsidRPr="00B03342">
              <w:rPr>
                <w:rFonts w:ascii="Arial" w:hAnsi="Arial" w:cs="Arial"/>
                <w:lang w:eastAsia="sr-Latn-RS"/>
              </w:rPr>
              <w:t> = 10 000 за c</w:t>
            </w:r>
            <w:r w:rsidRPr="00B03342">
              <w:rPr>
                <w:rFonts w:ascii="Arial" w:hAnsi="Arial" w:cs="Arial"/>
                <w:vertAlign w:val="subscript"/>
                <w:lang w:eastAsia="sr-Latn-RS"/>
              </w:rPr>
              <w:t>gasr,w,i</w:t>
            </w:r>
            <w:r w:rsidRPr="00B03342">
              <w:rPr>
                <w:rFonts w:ascii="Arial" w:hAnsi="Arial" w:cs="Arial"/>
                <w:lang w:eastAsia="sr-Latn-RS"/>
              </w:rPr>
              <w:t> у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корекцијски фактор NO</w:t>
            </w:r>
            <w:r w:rsidRPr="00B03342">
              <w:rPr>
                <w:rFonts w:ascii="Arial" w:hAnsi="Arial" w:cs="Arial"/>
                <w:vertAlign w:val="subscript"/>
                <w:lang w:eastAsia="sr-Latn-RS"/>
              </w:rPr>
              <w:t>x</w:t>
            </w:r>
            <w:r w:rsidRPr="00B03342">
              <w:rPr>
                <w:rFonts w:ascii="Arial" w:hAnsi="Arial" w:cs="Arial"/>
                <w:lang w:eastAsia="sr-Latn-RS"/>
              </w:rPr>
              <w:t> [–], за обрачун емисије NO</w:t>
            </w:r>
            <w:r w:rsidRPr="00B03342">
              <w:rPr>
                <w:rFonts w:ascii="Arial" w:hAnsi="Arial" w:cs="Arial"/>
                <w:vertAlign w:val="subscript"/>
                <w:lang w:eastAsia="sr-Latn-RS"/>
              </w:rPr>
              <w:t>x</w:t>
            </w:r>
            <w:r w:rsidRPr="00B03342">
              <w:rPr>
                <w:rFonts w:ascii="Arial" w:hAnsi="Arial" w:cs="Arial"/>
                <w:lang w:eastAsia="sr-Latn-RS"/>
              </w:rPr>
              <w:t> (види тачку 2.1.4.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у</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специфичан за поједину компоненту или однос густина гасовите компоненте и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масени проток издувног гаса у начину рада </w:t>
            </w:r>
            <w:r w:rsidRPr="00B03342">
              <w:rPr>
                <w:rFonts w:ascii="Arial" w:hAnsi="Arial" w:cs="Arial"/>
                <w:i/>
                <w:iCs/>
                <w:lang w:eastAsia="sr-Latn-RS"/>
              </w:rPr>
              <w:t>i</w:t>
            </w:r>
            <w:r w:rsidRPr="00B03342">
              <w:rPr>
                <w:rFonts w:ascii="Arial" w:hAnsi="Arial" w:cs="Arial"/>
                <w:lang w:eastAsia="sr-Latn-RS"/>
              </w:rPr>
              <w:t> на влажној основи[kg/s]</w:t>
            </w:r>
          </w:p>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емисије у неразређеном издувном гасу у начину рада </w:t>
            </w:r>
            <w:r w:rsidRPr="00B03342">
              <w:rPr>
                <w:rFonts w:ascii="Arial" w:hAnsi="Arial" w:cs="Arial"/>
                <w:i/>
                <w:iCs/>
                <w:lang w:eastAsia="sr-Latn-RS"/>
              </w:rPr>
              <w:t>i</w:t>
            </w:r>
            <w:r w:rsidRPr="00B03342">
              <w:rPr>
                <w:rFonts w:ascii="Arial" w:hAnsi="Arial" w:cs="Arial"/>
                <w:lang w:eastAsia="sr-Latn-RS"/>
              </w:rPr>
              <w:t> на влажној основи [ppm] или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емисије у неразређеном издувном гасу у начину рада </w:t>
            </w:r>
            <w:r w:rsidRPr="00B03342">
              <w:rPr>
                <w:rFonts w:ascii="Arial" w:hAnsi="Arial" w:cs="Arial"/>
                <w:i/>
                <w:iCs/>
                <w:lang w:eastAsia="sr-Latn-RS"/>
              </w:rPr>
              <w:t>i</w:t>
            </w:r>
            <w:r w:rsidRPr="00B03342">
              <w:rPr>
                <w:rFonts w:ascii="Arial" w:hAnsi="Arial" w:cs="Arial"/>
                <w:lang w:eastAsia="sr-Latn-RS"/>
              </w:rPr>
              <w:t> на влажној основи [ppm] или [ % vol]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2.1.2. Динамички испитни циклуси (NRTC и LSI-NRTC) и RMC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Укупна маса по испитивању гасовитих емисија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обрачунава се множењем временски усклађених тренутних концентрација и протока издувног гаса и интеграције током испитног циклуса помоћу једначине (7-2):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81B1790" wp14:editId="4263D9C9">
            <wp:extent cx="5057140" cy="636270"/>
            <wp:effectExtent l="0" t="0" r="0" b="0"/>
            <wp:docPr id="235" name="Picture 235" descr="A mathematical formula expressing the mass of gas as a function of several variables including a summation term with indices and consta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mathematical formula expressing the mass of gas as a function of several variables including a summation term with indices and constants.&#10;&#10;Description generated by A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57140" cy="63627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2"/>
        <w:gridCol w:w="188"/>
        <w:gridCol w:w="966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ƒ</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корекцијски фактор NO</w:t>
            </w:r>
            <w:r w:rsidRPr="00B03342">
              <w:rPr>
                <w:rFonts w:ascii="Arial" w:hAnsi="Arial" w:cs="Arial"/>
                <w:vertAlign w:val="subscript"/>
                <w:lang w:eastAsia="sr-Latn-RS"/>
              </w:rPr>
              <w:t>x</w:t>
            </w:r>
            <w:r w:rsidRPr="00B03342">
              <w:rPr>
                <w:rFonts w:ascii="Arial" w:hAnsi="Arial" w:cs="Arial"/>
                <w:lang w:eastAsia="sr-Latn-RS"/>
              </w:rPr>
              <w:t> [–], примењује се само за обрачун емисије NO</w:t>
            </w:r>
            <w:r w:rsidRPr="00B03342">
              <w:rPr>
                <w:rFonts w:ascii="Arial" w:hAnsi="Arial" w:cs="Arial"/>
                <w:vertAlign w:val="subscript"/>
                <w:lang w:eastAsia="sr-Latn-RS"/>
              </w:rPr>
              <w:t>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за c</w:t>
            </w:r>
            <w:r w:rsidRPr="00B03342">
              <w:rPr>
                <w:rFonts w:ascii="Arial" w:hAnsi="Arial" w:cs="Arial"/>
                <w:vertAlign w:val="subscript"/>
                <w:lang w:eastAsia="sr-Latn-RS"/>
              </w:rPr>
              <w:t>gasr,w,i</w:t>
            </w:r>
            <w:r w:rsidRPr="00B03342">
              <w:rPr>
                <w:rFonts w:ascii="Arial" w:hAnsi="Arial" w:cs="Arial"/>
                <w:lang w:eastAsia="sr-Latn-RS"/>
              </w:rPr>
              <w:t> у [ppm] и </w:t>
            </w:r>
            <w:r w:rsidRPr="00B03342">
              <w:rPr>
                <w:rFonts w:ascii="Arial" w:hAnsi="Arial" w:cs="Arial"/>
                <w:i/>
                <w:iCs/>
                <w:lang w:eastAsia="sr-Latn-RS"/>
              </w:rPr>
              <w:t>k</w:t>
            </w:r>
            <w:r w:rsidRPr="00B03342">
              <w:rPr>
                <w:rFonts w:ascii="Arial" w:hAnsi="Arial" w:cs="Arial"/>
                <w:lang w:eastAsia="sr-Latn-RS"/>
              </w:rPr>
              <w:t> = 10 000 за c</w:t>
            </w:r>
            <w:r w:rsidRPr="00B03342">
              <w:rPr>
                <w:rFonts w:ascii="Arial" w:hAnsi="Arial" w:cs="Arial"/>
                <w:vertAlign w:val="subscript"/>
                <w:lang w:eastAsia="sr-Latn-RS"/>
              </w:rPr>
              <w:t>gasr,w,i</w:t>
            </w:r>
            <w:r w:rsidRPr="00B03342">
              <w:rPr>
                <w:rFonts w:ascii="Arial" w:hAnsi="Arial" w:cs="Arial"/>
                <w:lang w:eastAsia="sr-Latn-RS"/>
              </w:rPr>
              <w:t> у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у</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специфичан за поједину компоненту [–] (види тачку 2.1.5.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издувног гаса на влажној основи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концентрација емисија у неразређеном издувном гасу на влажној основи [ppm] или [ % vol]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 Конверзија концентрације из сувог у влажно стање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емисије мере на сувој основи, измерену концентрацију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на сувој основи потребно је конвертовати у концентрацију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w</w:t>
      </w:r>
      <w:r w:rsidRPr="00B03342">
        <w:rPr>
          <w:rFonts w:ascii="Arial" w:hAnsi="Arial" w:cs="Arial"/>
          <w:color w:val="000000"/>
          <w:lang w:eastAsia="sr-Latn-RS"/>
        </w:rPr>
        <w:t> на влажној основи применом једначине (7-3):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BA6D235" wp14:editId="19DAFB18">
            <wp:extent cx="5057140" cy="389890"/>
            <wp:effectExtent l="0" t="0" r="0" b="0"/>
            <wp:docPr id="234" name="Picture 234" descr="An equation showing cw equals kw multiplied by cd with the equation number 7-3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n equation showing cw equals kw multiplied by cd with the equation number 7-3 in parentheses.&#10;&#10;Description generated by A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1"/>
        <w:gridCol w:w="331"/>
        <w:gridCol w:w="959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конверзије из сувог у влажно стање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емисија на сувој основи [ppm] или [ % vol]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потпуно сагоревање, фактор конверзије из сувог у влажно стање за неразређени издувни гас бележи се као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w,a</w:t>
      </w:r>
      <w:r w:rsidRPr="00B03342">
        <w:rPr>
          <w:rFonts w:ascii="Arial" w:hAnsi="Arial" w:cs="Arial"/>
          <w:color w:val="000000"/>
          <w:lang w:eastAsia="sr-Latn-RS"/>
        </w:rPr>
        <w:t> [–] те се обрачунава применом једначине(7-4):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0DF9845" wp14:editId="1CE14CA9">
            <wp:extent cx="5057140" cy="787400"/>
            <wp:effectExtent l="0" t="0" r="0" b="0"/>
            <wp:docPr id="233" name="Picture 233" descr="A mathematical formula expressing kw,a as a fraction involving variables H2, Hs, wH, qmad,s, kr, Pb, and constants in a complex algebraic ex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mathematical formula expressing kw,a as a fraction involving variables H2, Hs, wH, qmad,s, kr, Pb, and constants in a complex algebraic expression.&#10;&#10;Description generated by A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57140" cy="7874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22"/>
        <w:gridCol w:w="336"/>
        <w:gridCol w:w="904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Х</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 [gH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горива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ad,</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сувог улазног ваздуха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воде након хладњака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барометарски притисак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водоника у гориву[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додатна запремина сагоревања [m</w:t>
            </w:r>
            <w:r w:rsidRPr="00B03342">
              <w:rPr>
                <w:rFonts w:ascii="Arial" w:hAnsi="Arial" w:cs="Arial"/>
                <w:vertAlign w:val="superscript"/>
                <w:lang w:eastAsia="sr-Latn-RS"/>
              </w:rPr>
              <w:t>3</w:t>
            </w:r>
            <w:r w:rsidRPr="00B03342">
              <w:rPr>
                <w:rFonts w:ascii="Arial" w:hAnsi="Arial" w:cs="Arial"/>
                <w:lang w:eastAsia="sr-Latn-RS"/>
              </w:rPr>
              <w:t>/kg горива]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A46AEB7" wp14:editId="54A94DC0">
            <wp:extent cx="5057140" cy="334010"/>
            <wp:effectExtent l="0" t="0" r="0" b="8890"/>
            <wp:docPr id="232" name="Picture 232" descr="A mathematical formula expressing k subscript f as a sum of products involving constants and variables w subscript H, w subscript N, and w subscript O.&#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mathematical formula expressing k subscript f as a sum of products involving constants and variables w subscript H, w subscript N, and w subscript O.&#10;&#10;Description generated by A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25"/>
        <w:gridCol w:w="510"/>
        <w:gridCol w:w="896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водоника у гориву [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азота у гориву [ % масе]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кисеоника у гориву [ % масе]</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једначини (7-4) може се претпоставити однос </w:t>
      </w:r>
      <w:r w:rsidRPr="00B03342">
        <w:rPr>
          <w:rFonts w:ascii="Arial" w:hAnsi="Arial" w:cs="Arial"/>
          <w:i/>
          <w:iCs/>
          <w:color w:val="000000"/>
          <w:lang w:eastAsia="sr-Latn-RS"/>
        </w:rPr>
        <w:t>p</w:t>
      </w:r>
      <w:r w:rsidRPr="00B03342">
        <w:rPr>
          <w:rFonts w:ascii="Arial" w:hAnsi="Arial" w:cs="Arial"/>
          <w:color w:val="000000"/>
          <w:lang w:eastAsia="sr-Latn-RS"/>
        </w:rPr>
        <w:t> </w:t>
      </w:r>
      <w:r w:rsidRPr="00B03342">
        <w:rPr>
          <w:rFonts w:ascii="Arial" w:hAnsi="Arial" w:cs="Arial"/>
          <w:color w:val="000000"/>
          <w:vertAlign w:val="subscript"/>
          <w:lang w:eastAsia="sr-Latn-RS"/>
        </w:rPr>
        <w:t>r</w:t>
      </w:r>
      <w:r w:rsidRPr="00B03342">
        <w:rPr>
          <w:rFonts w:ascii="Arial" w:hAnsi="Arial" w:cs="Arial"/>
          <w:color w:val="000000"/>
          <w:lang w:eastAsia="sr-Latn-RS"/>
        </w:rPr>
        <w:t>/</w:t>
      </w:r>
      <w:r w:rsidRPr="00B03342">
        <w:rPr>
          <w:rFonts w:ascii="Arial" w:hAnsi="Arial" w:cs="Arial"/>
          <w:i/>
          <w:iCs/>
          <w:color w:val="000000"/>
          <w:lang w:eastAsia="sr-Latn-RS"/>
        </w:rPr>
        <w:t>p</w:t>
      </w:r>
      <w:r w:rsidRPr="00B03342">
        <w:rPr>
          <w:rFonts w:ascii="Arial" w:hAnsi="Arial" w:cs="Arial"/>
          <w:color w:val="000000"/>
          <w:lang w:eastAsia="sr-Latn-RS"/>
        </w:rPr>
        <w:t> </w:t>
      </w:r>
      <w:r w:rsidRPr="00B03342">
        <w:rPr>
          <w:rFonts w:ascii="Arial" w:hAnsi="Arial" w:cs="Arial"/>
          <w:color w:val="000000"/>
          <w:vertAlign w:val="subscript"/>
          <w:lang w:eastAsia="sr-Latn-RS"/>
        </w:rPr>
        <w:t>б</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E18A7D5" wp14:editId="12EBA040">
            <wp:extent cx="5057140" cy="564515"/>
            <wp:effectExtent l="0" t="0" r="0" b="6985"/>
            <wp:docPr id="231" name="Picture 231" descr="A mathematical equation showing a fraction with one minus the ratio of Px over Pb equal to 1.008, labeled as equation 7-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mathematical equation showing a fraction with one minus the ratio of Px over Pb equal to 1.008, labeled as equation 7-6.&#10;&#10;Description generated by A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непотпуно сагоревање (богате смесе), као и за испитивања емисија без директних мерења протока ваздуха, предност се даје другој методи обрачуна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w,a</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46F731D" wp14:editId="72A024C1">
            <wp:extent cx="5057140" cy="620395"/>
            <wp:effectExtent l="0" t="0" r="0" b="0"/>
            <wp:docPr id="230" name="Picture 230" descr="A mathematical formula showing kw,a as a fraction with a numerator containing one plus alpha times 0.005 times the sum of cco2 and cco, minus Kw1, and a denominator with one minus Px over Pb, labeled as equation 7-7.&#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mathematical formula showing kw,a as a fraction with a numerator containing one plus alpha times 0.005 times the sum of cco2 and cco, minus Kw1, and a denominator with one minus Px over Pb, labeled as equation 7-7.&#10;&#10;Description generated by A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57140" cy="62039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5"/>
        <w:gridCol w:w="251"/>
        <w:gridCol w:w="957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CO</w:t>
            </w:r>
            <w:r w:rsidRPr="00B03342">
              <w:rPr>
                <w:rFonts w:ascii="Arial" w:hAnsi="Arial" w:cs="Arial"/>
                <w:vertAlign w:val="subscript"/>
                <w:lang w:eastAsia="sr-Latn-RS"/>
              </w:rPr>
              <w:t>2</w:t>
            </w:r>
            <w:r w:rsidRPr="00B03342">
              <w:rPr>
                <w:rFonts w:ascii="Arial" w:hAnsi="Arial" w:cs="Arial"/>
                <w:lang w:eastAsia="sr-Latn-RS"/>
              </w:rPr>
              <w:t> у неразређеном издувном гасу, на сувој основи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CO у неразређеном издувном гасу, на сувој основи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воде након хладњака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барометарски притисак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угљеника и водоника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влажност улазног ваздуха[–]</w:t>
            </w:r>
          </w:p>
        </w:tc>
      </w:tr>
    </w:tbl>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4AEFED2" wp14:editId="487277C2">
            <wp:extent cx="5057140" cy="620395"/>
            <wp:effectExtent l="0" t="0" r="0" b="0"/>
            <wp:docPr id="229" name="Picture 229" descr="The image shows a mathematical formula for k_w1 expressed as a fraction with 1.608 minus H_a in the numerator and 1000 plus 1.608 times H_a in the denominato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he image shows a mathematical formula for k_w1 expressed as a fraction with 1.608 minus H_a in the numerator and 1000 plus 1.608 times H_a in the denominator.&#10;&#10;Description generated by A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57140" cy="620395"/>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2.1.4. Корекција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за влажност и температуру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Будући да емисије NO</w:t>
      </w:r>
      <w:r w:rsidRPr="00B03342">
        <w:rPr>
          <w:rFonts w:ascii="Arial" w:hAnsi="Arial" w:cs="Arial"/>
          <w:color w:val="000000"/>
          <w:vertAlign w:val="subscript"/>
          <w:lang w:eastAsia="sr-Latn-RS"/>
        </w:rPr>
        <w:t>x</w:t>
      </w:r>
      <w:r w:rsidRPr="00B03342">
        <w:rPr>
          <w:rFonts w:ascii="Arial" w:hAnsi="Arial" w:cs="Arial"/>
          <w:color w:val="000000"/>
          <w:lang w:eastAsia="sr-Latn-RS"/>
        </w:rPr>
        <w:t> зависе о условима околног ваздуха, концентрација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коригује се с обзиром на температуру и влажност околног ваздуха помоћу фактора k</w:t>
      </w:r>
      <w:r w:rsidRPr="00B03342">
        <w:rPr>
          <w:rFonts w:ascii="Arial" w:hAnsi="Arial" w:cs="Arial"/>
          <w:color w:val="000000"/>
          <w:vertAlign w:val="subscript"/>
          <w:lang w:eastAsia="sr-Latn-RS"/>
        </w:rPr>
        <w:t>х,D</w:t>
      </w:r>
      <w:r w:rsidRPr="00B03342">
        <w:rPr>
          <w:rFonts w:ascii="Arial" w:hAnsi="Arial" w:cs="Arial"/>
          <w:color w:val="000000"/>
          <w:lang w:eastAsia="sr-Latn-RS"/>
        </w:rPr>
        <w:t> или k</w:t>
      </w:r>
      <w:r w:rsidRPr="00B03342">
        <w:rPr>
          <w:rFonts w:ascii="Arial" w:hAnsi="Arial" w:cs="Arial"/>
          <w:color w:val="000000"/>
          <w:vertAlign w:val="subscript"/>
          <w:lang w:eastAsia="sr-Latn-RS"/>
        </w:rPr>
        <w:t>х,G</w:t>
      </w:r>
      <w:r w:rsidRPr="00B03342">
        <w:rPr>
          <w:rFonts w:ascii="Arial" w:hAnsi="Arial" w:cs="Arial"/>
          <w:color w:val="000000"/>
          <w:lang w:eastAsia="sr-Latn-RS"/>
        </w:rPr>
        <w:t> [–] наведених у једначинама (7-9) i (7-10). Ти су фактори важећи за распон влажности од 0 до 25 g H</w:t>
      </w:r>
      <w:r w:rsidRPr="00B03342">
        <w:rPr>
          <w:rFonts w:ascii="Arial" w:hAnsi="Arial" w:cs="Arial"/>
          <w:color w:val="000000"/>
          <w:vertAlign w:val="subscript"/>
          <w:lang w:eastAsia="sr-Latn-RS"/>
        </w:rPr>
        <w:t>2</w:t>
      </w:r>
      <w:r w:rsidRPr="00B03342">
        <w:rPr>
          <w:rFonts w:ascii="Arial" w:hAnsi="Arial" w:cs="Arial"/>
          <w:color w:val="000000"/>
          <w:lang w:eastAsia="sr-Latn-RS"/>
        </w:rPr>
        <w:t>O/kg сувог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моторe с компресијским паљењем</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A693387" wp14:editId="60EAAB04">
            <wp:extent cx="5057140" cy="501015"/>
            <wp:effectExtent l="0" t="0" r="0" b="0"/>
            <wp:docPr id="228" name="Picture 228" descr="A mathematical formula expressing k subscript h,1D as the sum of fifteen thousand six hundred ninety-eight times H subscript a divided by one thousand plus zero point eight three two.&#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mathematical formula expressing k subscript h,1D as the sum of fifteen thousand six hundred ninety-eight times H subscript a divided by one thousand plus zero point eight three two.&#10;&#10;Description generated by A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4"/>
        <w:gridCol w:w="8888"/>
        <w:gridCol w:w="105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 моторе с паљењем електричном варницом</w:t>
            </w:r>
          </w:p>
          <w:p w:rsidR="00DA0CD9" w:rsidRPr="00B03342" w:rsidRDefault="00DA0CD9" w:rsidP="00E26D3C">
            <w:pPr>
              <w:rPr>
                <w:rFonts w:ascii="Arial" w:hAnsi="Arial" w:cs="Arial"/>
                <w:lang w:eastAsia="sr-Latn-RS"/>
              </w:rPr>
            </w:pPr>
            <w:r w:rsidRPr="00B03342">
              <w:rPr>
                <w:rFonts w:ascii="Arial" w:hAnsi="Arial" w:cs="Arial"/>
                <w:lang w:eastAsia="sr-Latn-RS"/>
              </w:rPr>
              <w:t>k</w:t>
            </w:r>
            <w:r w:rsidRPr="00B03342">
              <w:rPr>
                <w:rFonts w:ascii="Arial" w:hAnsi="Arial" w:cs="Arial"/>
                <w:vertAlign w:val="subscript"/>
                <w:lang w:eastAsia="sr-Latn-RS"/>
              </w:rPr>
              <w:t>х.G</w:t>
            </w:r>
            <w:r w:rsidRPr="00B03342">
              <w:rPr>
                <w:rFonts w:ascii="Arial" w:hAnsi="Arial" w:cs="Arial"/>
                <w:lang w:eastAsia="sr-Latn-RS"/>
              </w:rPr>
              <w:t> = 0,6272 + 44,030 × 10</w:t>
            </w:r>
            <w:r w:rsidRPr="00B03342">
              <w:rPr>
                <w:rFonts w:ascii="Arial" w:hAnsi="Arial" w:cs="Arial"/>
                <w:vertAlign w:val="superscript"/>
                <w:lang w:eastAsia="sr-Latn-RS"/>
              </w:rPr>
              <w:t>– 3</w:t>
            </w:r>
            <w:r w:rsidRPr="00B03342">
              <w:rPr>
                <w:rFonts w:ascii="Arial" w:hAnsi="Arial" w:cs="Arial"/>
                <w:lang w:eastAsia="sr-Latn-RS"/>
              </w:rPr>
              <w:t> × Х</w:t>
            </w:r>
            <w:r w:rsidRPr="00B03342">
              <w:rPr>
                <w:rFonts w:ascii="Arial" w:hAnsi="Arial" w:cs="Arial"/>
                <w:vertAlign w:val="subscript"/>
                <w:lang w:eastAsia="sr-Latn-RS"/>
              </w:rPr>
              <w:t>a</w:t>
            </w:r>
            <w:r w:rsidRPr="00B03342">
              <w:rPr>
                <w:rFonts w:ascii="Arial" w:hAnsi="Arial" w:cs="Arial"/>
                <w:lang w:eastAsia="sr-Latn-RS"/>
              </w:rPr>
              <w:t> – 0,862 × 10</w:t>
            </w:r>
            <w:r w:rsidRPr="00B03342">
              <w:rPr>
                <w:rFonts w:ascii="Arial" w:hAnsi="Arial" w:cs="Arial"/>
                <w:vertAlign w:val="superscript"/>
                <w:lang w:eastAsia="sr-Latn-RS"/>
              </w:rPr>
              <w:t>– 3</w:t>
            </w:r>
            <w:r w:rsidRPr="00B03342">
              <w:rPr>
                <w:rFonts w:ascii="Arial" w:hAnsi="Arial" w:cs="Arial"/>
                <w:lang w:eastAsia="sr-Latn-RS"/>
              </w:rPr>
              <w:t> × Х</w:t>
            </w:r>
            <w:r w:rsidRPr="00B03342">
              <w:rPr>
                <w:rFonts w:ascii="Arial" w:hAnsi="Arial" w:cs="Arial"/>
                <w:vertAlign w:val="subscript"/>
                <w:lang w:eastAsia="sr-Latn-RS"/>
              </w:rPr>
              <w:t>a</w:t>
            </w:r>
            <w:r w:rsidRPr="00B03342">
              <w:rPr>
                <w:rFonts w:ascii="Arial" w:hAnsi="Arial" w:cs="Arial"/>
                <w:lang w:eastAsia="sr-Latn-RS"/>
              </w:rPr>
              <w:t> </w:t>
            </w:r>
            <w:r w:rsidRPr="00B03342">
              <w:rPr>
                <w:rFonts w:ascii="Arial" w:hAnsi="Arial" w:cs="Arial"/>
                <w:vertAlign w:val="super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5"/>
        <w:gridCol w:w="367"/>
        <w:gridCol w:w="947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Х</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2.1.5. Фактор специфичан за поједину компоненту </w:t>
      </w:r>
      <w:r w:rsidRPr="00B03342">
        <w:rPr>
          <w:rFonts w:ascii="Arial" w:hAnsi="Arial" w:cs="Arial"/>
          <w:i/>
          <w:iCs/>
          <w:color w:val="000000"/>
          <w:lang w:eastAsia="sr-Latn-RS"/>
        </w:rPr>
        <w:t>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У тач. 2.1.5.1. и 2.1.5.2. овог прилога описана су два поступка обрачуна. Поступак из тачке 2.1.5.1. једноставнији је јер се у њему за однос густине компоненти и издувног гаса употребљавају вредности </w:t>
      </w:r>
      <w:r w:rsidRPr="00B03342">
        <w:rPr>
          <w:rFonts w:ascii="Arial" w:hAnsi="Arial" w:cs="Arial"/>
          <w:i/>
          <w:iCs/>
          <w:color w:val="000000"/>
          <w:lang w:eastAsia="sr-Latn-RS"/>
        </w:rPr>
        <w:t>у</w:t>
      </w:r>
      <w:r w:rsidRPr="00B03342">
        <w:rPr>
          <w:rFonts w:ascii="Arial" w:hAnsi="Arial" w:cs="Arial"/>
          <w:color w:val="000000"/>
          <w:lang w:eastAsia="sr-Latn-RS"/>
        </w:rPr>
        <w:t> из табеле. Поступак из тачке 2.1.5.2. овог прилога прецизнији је за својства горива која одступају од спецификација из Прилога 9 ове уредбе, али захтева елементарну анализу састава горива.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2.1.5.1. Вредности из табеле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Уз примену одређених поједностављивања на једначине из тачке 2.1.5.2. овог прилога (претпостављање вредности </w:t>
      </w:r>
      <w:r w:rsidRPr="00B03342">
        <w:rPr>
          <w:rFonts w:ascii="Arial" w:hAnsi="Arial" w:cs="Arial"/>
          <w:i/>
          <w:iCs/>
          <w:color w:val="000000"/>
          <w:lang w:eastAsia="sr-Latn-RS"/>
        </w:rPr>
        <w:t>λ</w:t>
      </w:r>
      <w:r w:rsidRPr="00B03342">
        <w:rPr>
          <w:rFonts w:ascii="Arial" w:hAnsi="Arial" w:cs="Arial"/>
          <w:color w:val="000000"/>
          <w:lang w:eastAsia="sr-Latn-RS"/>
        </w:rPr>
        <w:t> и услова улазног ваздуха као што је приказано у табели 7.1. овог прилога), добијене вредности за </w:t>
      </w:r>
      <w:r w:rsidRPr="00B03342">
        <w:rPr>
          <w:rFonts w:ascii="Arial" w:hAnsi="Arial" w:cs="Arial"/>
          <w:i/>
          <w:iCs/>
          <w:color w:val="000000"/>
          <w:lang w:eastAsia="sr-Latn-RS"/>
        </w:rPr>
        <w:t>u gas </w:t>
      </w:r>
      <w:r w:rsidRPr="00B03342">
        <w:rPr>
          <w:rFonts w:ascii="Arial" w:hAnsi="Arial" w:cs="Arial"/>
          <w:color w:val="000000"/>
          <w:lang w:eastAsia="sr-Latn-RS"/>
        </w:rPr>
        <w:t>наведене су у табели 7.1 овог прилога.</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7.1. Неразређени издувни гас </w:t>
      </w:r>
      <w:r w:rsidRPr="00B03342">
        <w:rPr>
          <w:rFonts w:ascii="Arial" w:hAnsi="Arial" w:cs="Arial"/>
          <w:i/>
          <w:iCs/>
          <w:color w:val="000000"/>
          <w:lang w:eastAsia="sr-Latn-RS"/>
        </w:rPr>
        <w:t>у</w:t>
      </w:r>
      <w:r w:rsidRPr="00B03342">
        <w:rPr>
          <w:rFonts w:ascii="Arial" w:hAnsi="Arial" w:cs="Arial"/>
          <w:color w:val="000000"/>
          <w:lang w:eastAsia="sr-Latn-RS"/>
        </w:rPr>
        <w:t> и густине компоненти (за концентрацију емисија изражену у ppm)</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05"/>
        <w:gridCol w:w="611"/>
        <w:gridCol w:w="811"/>
        <w:gridCol w:w="811"/>
        <w:gridCol w:w="1029"/>
        <w:gridCol w:w="811"/>
        <w:gridCol w:w="811"/>
        <w:gridCol w:w="811"/>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r</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r</w:t>
            </w:r>
            <w:r w:rsidRPr="00B03342">
              <w:rPr>
                <w:rFonts w:ascii="Arial" w:hAnsi="Arial" w:cs="Arial"/>
                <w:vertAlign w:val="subscript"/>
                <w:lang w:eastAsia="sr-Latn-RS"/>
              </w:rPr>
              <w:t>gas</w:t>
            </w:r>
            <w:r w:rsidRPr="00B03342">
              <w:rPr>
                <w:rFonts w:ascii="Arial" w:hAnsi="Arial" w:cs="Arial"/>
                <w:lang w:eastAsia="sr-Latn-RS"/>
              </w:rPr>
              <w:t> [kg/m</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0,716</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U</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perscript"/>
                <w:lang w:eastAsia="sr-Latn-RS"/>
              </w:rPr>
              <w:t>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Дизел (гасно уље за недрумске моторе)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0,000482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за наменске моторе са компресијским паљењем (ED95)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0,000780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Природни гас/биометан (</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0,000528 (</w:t>
            </w:r>
            <w:r w:rsidRPr="00B03342">
              <w:rPr>
                <w:rFonts w:ascii="Arial" w:hAnsi="Arial" w:cs="Arial"/>
                <w:vertAlign w:val="superscript"/>
                <w:lang w:eastAsia="sr-Latn-RS"/>
              </w:rPr>
              <w:t>4</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Пропан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Бутан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UNP (</w:t>
            </w:r>
            <w:r w:rsidRPr="00B03342">
              <w:rPr>
                <w:rFonts w:ascii="Arial" w:hAnsi="Arial" w:cs="Arial"/>
                <w:vertAlign w:val="superscript"/>
                <w:lang w:eastAsia="sr-Latn-RS"/>
              </w:rPr>
              <w:t>5</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Бензин (E10)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0,000499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(E85)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0,000730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2.1.5.2. Обрачунате вредности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Фактор специфичан за поједину компоненту, </w:t>
      </w:r>
      <w:r w:rsidRPr="00B03342">
        <w:rPr>
          <w:rFonts w:ascii="Arial" w:hAnsi="Arial" w:cs="Arial"/>
          <w:i/>
          <w:iCs/>
          <w:color w:val="000000"/>
          <w:lang w:eastAsia="sr-Latn-RS"/>
        </w:rPr>
        <w:t>у</w:t>
      </w:r>
      <w:r w:rsidRPr="00B03342">
        <w:rPr>
          <w:rFonts w:ascii="Arial" w:hAnsi="Arial" w:cs="Arial"/>
          <w:color w:val="000000"/>
          <w:lang w:eastAsia="sr-Latn-RS"/>
        </w:rPr>
        <w:t> </w:t>
      </w:r>
      <w:r w:rsidRPr="00B03342">
        <w:rPr>
          <w:rFonts w:ascii="Arial" w:hAnsi="Arial" w:cs="Arial"/>
          <w:color w:val="000000"/>
          <w:vertAlign w:val="subscript"/>
          <w:lang w:eastAsia="sr-Latn-RS"/>
        </w:rPr>
        <w:t>gas,i</w:t>
      </w:r>
      <w:r w:rsidRPr="00B03342">
        <w:rPr>
          <w:rFonts w:ascii="Arial" w:hAnsi="Arial" w:cs="Arial"/>
          <w:color w:val="000000"/>
          <w:lang w:eastAsia="sr-Latn-RS"/>
        </w:rPr>
        <w:t>, може се обрачунати помоћу односа густина компоненте и издувног гаса или помоћу одговарајућег односа моларних маса [једначине (7-11) или (7-12)]: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5AFA4A7" wp14:editId="5E4C593B">
            <wp:extent cx="5057140" cy="1009650"/>
            <wp:effectExtent l="0" t="0" r="0" b="0"/>
            <wp:docPr id="227" name="Picture 227" descr="Two mathematical formulas are shown for calculating gas volume fraction using mass and density variables with corresponding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wo mathematical formulas are shown for calculating gas volume fraction using mass and density variables with corresponding equation numbers.&#10;&#10;Description generated by A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57140" cy="100965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45"/>
        <w:gridCol w:w="273"/>
        <w:gridCol w:w="948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гасовите компоненте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моларна маса влажног неразређеног издувног гаса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ρ</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густина гасовите компоненте [kg/m</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ρ</w:t>
            </w:r>
            <w:r w:rsidRPr="00B03342">
              <w:rPr>
                <w:rFonts w:ascii="Arial" w:hAnsi="Arial" w:cs="Arial"/>
                <w:vertAlign w:val="subscript"/>
                <w:lang w:eastAsia="sr-Latn-RS"/>
              </w:rPr>
              <w:t>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тренутна густина влажног неразређеног издувног гаса [kg/m</w:t>
            </w:r>
            <w:r w:rsidRPr="00B03342">
              <w:rPr>
                <w:rFonts w:ascii="Arial" w:hAnsi="Arial" w:cs="Arial"/>
                <w:vertAlign w:val="superscript"/>
                <w:lang w:eastAsia="sr-Latn-RS"/>
              </w:rPr>
              <w:t>3</w:t>
            </w:r>
            <w:r w:rsidRPr="00B03342">
              <w:rPr>
                <w:rFonts w:ascii="Arial" w:hAnsi="Arial" w:cs="Arial"/>
                <w:lang w:eastAsia="sr-Latn-RS"/>
              </w:rPr>
              <w:t>]</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Моларна маса издувног гаса,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e,i</w:t>
      </w:r>
      <w:r w:rsidRPr="00B03342">
        <w:rPr>
          <w:rFonts w:ascii="Arial" w:hAnsi="Arial" w:cs="Arial"/>
          <w:color w:val="000000"/>
          <w:lang w:eastAsia="sr-Latn-RS"/>
        </w:rPr>
        <w:t>, изводи се за општи састав горива CH</w:t>
      </w:r>
      <w:r w:rsidRPr="00B03342">
        <w:rPr>
          <w:rFonts w:ascii="Arial" w:hAnsi="Arial" w:cs="Arial"/>
          <w:i/>
          <w:iCs/>
          <w:color w:val="000000"/>
          <w:lang w:eastAsia="sr-Latn-RS"/>
        </w:rPr>
        <w:t> </w:t>
      </w:r>
      <w:r w:rsidRPr="00B03342">
        <w:rPr>
          <w:rFonts w:ascii="Arial" w:hAnsi="Arial" w:cs="Arial"/>
          <w:color w:val="000000"/>
          <w:vertAlign w:val="subscript"/>
          <w:lang w:eastAsia="sr-Latn-RS"/>
        </w:rPr>
        <w:t>α</w:t>
      </w:r>
      <w:r w:rsidRPr="00B03342">
        <w:rPr>
          <w:rFonts w:ascii="Arial" w:hAnsi="Arial" w:cs="Arial"/>
          <w:i/>
          <w:iCs/>
          <w:color w:val="000000"/>
          <w:lang w:eastAsia="sr-Latn-RS"/>
        </w:rPr>
        <w:t> </w:t>
      </w:r>
      <w:r w:rsidRPr="00B03342">
        <w:rPr>
          <w:rFonts w:ascii="Arial" w:hAnsi="Arial" w:cs="Arial"/>
          <w:color w:val="000000"/>
          <w:lang w:eastAsia="sr-Latn-RS"/>
        </w:rPr>
        <w:t>O</w:t>
      </w:r>
      <w:r w:rsidRPr="00B03342">
        <w:rPr>
          <w:rFonts w:ascii="Arial" w:hAnsi="Arial" w:cs="Arial"/>
          <w:i/>
          <w:iCs/>
          <w:color w:val="000000"/>
          <w:lang w:eastAsia="sr-Latn-RS"/>
        </w:rPr>
        <w:t> </w:t>
      </w:r>
      <w:r w:rsidRPr="00B03342">
        <w:rPr>
          <w:rFonts w:ascii="Arial" w:hAnsi="Arial" w:cs="Arial"/>
          <w:color w:val="000000"/>
          <w:vertAlign w:val="subscript"/>
          <w:lang w:eastAsia="sr-Latn-RS"/>
        </w:rPr>
        <w:t>ε</w:t>
      </w:r>
      <w:r w:rsidRPr="00B03342">
        <w:rPr>
          <w:rFonts w:ascii="Arial" w:hAnsi="Arial" w:cs="Arial"/>
          <w:i/>
          <w:iCs/>
          <w:color w:val="000000"/>
          <w:lang w:eastAsia="sr-Latn-RS"/>
        </w:rPr>
        <w:t> </w:t>
      </w:r>
      <w:r w:rsidRPr="00B03342">
        <w:rPr>
          <w:rFonts w:ascii="Arial" w:hAnsi="Arial" w:cs="Arial"/>
          <w:color w:val="000000"/>
          <w:lang w:eastAsia="sr-Latn-RS"/>
        </w:rPr>
        <w:t>N</w:t>
      </w:r>
      <w:r w:rsidRPr="00B03342">
        <w:rPr>
          <w:rFonts w:ascii="Arial" w:hAnsi="Arial" w:cs="Arial"/>
          <w:i/>
          <w:iCs/>
          <w:color w:val="000000"/>
          <w:lang w:eastAsia="sr-Latn-RS"/>
        </w:rPr>
        <w:t> </w:t>
      </w:r>
      <w:r w:rsidRPr="00B03342">
        <w:rPr>
          <w:rFonts w:ascii="Arial" w:hAnsi="Arial" w:cs="Arial"/>
          <w:color w:val="000000"/>
          <w:vertAlign w:val="subscript"/>
          <w:lang w:eastAsia="sr-Latn-RS"/>
        </w:rPr>
        <w:t>δ</w:t>
      </w:r>
      <w:r w:rsidRPr="00B03342">
        <w:rPr>
          <w:rFonts w:ascii="Arial" w:hAnsi="Arial" w:cs="Arial"/>
          <w:i/>
          <w:iCs/>
          <w:color w:val="000000"/>
          <w:lang w:eastAsia="sr-Latn-RS"/>
        </w:rPr>
        <w:t> </w:t>
      </w:r>
      <w:r w:rsidRPr="00B03342">
        <w:rPr>
          <w:rFonts w:ascii="Arial" w:hAnsi="Arial" w:cs="Arial"/>
          <w:color w:val="000000"/>
          <w:lang w:eastAsia="sr-Latn-RS"/>
        </w:rPr>
        <w:t>S</w:t>
      </w:r>
      <w:r w:rsidRPr="00B03342">
        <w:rPr>
          <w:rFonts w:ascii="Arial" w:hAnsi="Arial" w:cs="Arial"/>
          <w:i/>
          <w:iCs/>
          <w:color w:val="000000"/>
          <w:lang w:eastAsia="sr-Latn-RS"/>
        </w:rPr>
        <w:t> </w:t>
      </w:r>
      <w:r w:rsidRPr="00B03342">
        <w:rPr>
          <w:rFonts w:ascii="Arial" w:hAnsi="Arial" w:cs="Arial"/>
          <w:color w:val="000000"/>
          <w:vertAlign w:val="subscript"/>
          <w:lang w:eastAsia="sr-Latn-RS"/>
        </w:rPr>
        <w:t>γ</w:t>
      </w:r>
      <w:r w:rsidRPr="00B03342">
        <w:rPr>
          <w:rFonts w:ascii="Arial" w:hAnsi="Arial" w:cs="Arial"/>
          <w:i/>
          <w:iCs/>
          <w:color w:val="000000"/>
          <w:lang w:eastAsia="sr-Latn-RS"/>
        </w:rPr>
        <w:t> </w:t>
      </w:r>
      <w:r w:rsidRPr="00B03342">
        <w:rPr>
          <w:rFonts w:ascii="Arial" w:hAnsi="Arial" w:cs="Arial"/>
          <w:color w:val="000000"/>
          <w:lang w:eastAsia="sr-Latn-RS"/>
        </w:rPr>
        <w:t>под претпоставком потпуног сагоревања и обрачунава се помоћу једначине (7-13):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32081FF9" wp14:editId="7CBF70BD">
            <wp:extent cx="5057140" cy="731520"/>
            <wp:effectExtent l="0" t="0" r="0" b="0"/>
            <wp:docPr id="226" name="Picture 226" descr="A complex mathematical formula labeled 7-13 involving multiple fractions, variables, and constants related to a parameter M with subscripts and superscrip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complex mathematical formula labeled 7-13 involving multiple fractions, variables, and constants related to a parameter M with subscripts and superscripts.&#10;&#10;Description generated by A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57140" cy="73152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где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3"/>
        <w:gridCol w:w="278"/>
        <w:gridCol w:w="925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горива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улазног ваздуха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угљеника и водоника[–]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азота и водоника[–]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кисеоника и водоника[–]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сумпора и угљеника[–]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сувог улазног ваздуха = 28,965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Тренутна густина неразређеног издувног гасa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[kg/m</w:t>
      </w:r>
      <w:r w:rsidRPr="00B03342">
        <w:rPr>
          <w:rFonts w:ascii="Arial" w:hAnsi="Arial" w:cs="Arial"/>
          <w:color w:val="000000"/>
          <w:vertAlign w:val="superscript"/>
          <w:lang w:eastAsia="sr-Latn-RS"/>
        </w:rPr>
        <w:t>3</w:t>
      </w:r>
      <w:r w:rsidRPr="00B03342">
        <w:rPr>
          <w:rFonts w:ascii="Arial" w:hAnsi="Arial" w:cs="Arial"/>
          <w:color w:val="000000"/>
          <w:lang w:eastAsia="sr-Latn-RS"/>
        </w:rPr>
        <w:t>] обрачунава се помоћу једначине (7-14):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7550855" wp14:editId="742D8083">
            <wp:extent cx="5057140" cy="675640"/>
            <wp:effectExtent l="0" t="0" r="0" b="0"/>
            <wp:docPr id="225" name="Picture 225" descr="The image shows a mathematical formula for calculating the variable rho sub e,i involving constants, variables H sub a, k sub f, and ratios of q sub mf,i to q sub mad,i, with the equation labeled as 7-1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e image shows a mathematical formula for calculating the variable rho sub e,i involving constants, variables H sub a, k sub f, and ratios of q sub mf,i to q sub mad,i, with the equation labeled as 7-14.&#10;&#10;Description generated by A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57140" cy="6756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70"/>
        <w:gridCol w:w="261"/>
        <w:gridCol w:w="936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горива[kg/s]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ad,</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сувог улазног ваздуха[kg/s]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 [g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додатни запремина сагоревања[m</w:t>
            </w:r>
            <w:r w:rsidRPr="00B03342">
              <w:rPr>
                <w:rFonts w:ascii="Arial" w:hAnsi="Arial" w:cs="Arial"/>
                <w:vertAlign w:val="superscript"/>
                <w:lang w:eastAsia="sr-Latn-RS"/>
              </w:rPr>
              <w:t>3</w:t>
            </w:r>
            <w:r w:rsidRPr="00B03342">
              <w:rPr>
                <w:rFonts w:ascii="Arial" w:hAnsi="Arial" w:cs="Arial"/>
                <w:lang w:eastAsia="sr-Latn-RS"/>
              </w:rPr>
              <w:t>/kg горива] [видети једначину (7-5)]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2.1.6. Масени проток издувног гасa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2.1.6.1. Метода мерења ваздуха и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Метода обухвата мерење протока ваздуха и протока горива прикладним мерачима протока. Тренутни проток издувног гаса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ew,</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[kg/s] обрачунава се помоћу једначине (7-15):</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164"/>
        <w:gridCol w:w="233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 </w:t>
            </w: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aw,</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 </w:t>
            </w: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(7-15)</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8"/>
        <w:gridCol w:w="370"/>
        <w:gridCol w:w="885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улазног ваздуха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горива[kg/s]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2.1.6.2. Метода мерења гасом за праћење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Метода обухвата мерење концентрације гаса за праћење у издувном гасу. Тренутни проток издувног гасa </w:t>
      </w:r>
      <w:r w:rsidRPr="00B03342">
        <w:rPr>
          <w:rFonts w:ascii="Arial" w:hAnsi="Arial" w:cs="Arial"/>
          <w:i/>
          <w:iCs/>
          <w:color w:val="000000"/>
          <w:lang w:eastAsia="sr-Latn-RS"/>
        </w:rPr>
        <w:t>q</w:t>
      </w:r>
      <w:r w:rsidRPr="00B03342">
        <w:rPr>
          <w:rFonts w:ascii="Arial" w:hAnsi="Arial" w:cs="Arial"/>
          <w:color w:val="000000"/>
          <w:lang w:eastAsia="sr-Latn-RS"/>
        </w:rPr>
        <w:t> </w:t>
      </w:r>
      <w:r w:rsidRPr="00B03342">
        <w:rPr>
          <w:rFonts w:ascii="Arial" w:hAnsi="Arial" w:cs="Arial"/>
          <w:color w:val="000000"/>
          <w:vertAlign w:val="subscript"/>
          <w:lang w:eastAsia="sr-Latn-RS"/>
        </w:rPr>
        <w:t>mew,i</w:t>
      </w:r>
      <w:r w:rsidRPr="00B03342">
        <w:rPr>
          <w:rFonts w:ascii="Arial" w:hAnsi="Arial" w:cs="Arial"/>
          <w:color w:val="000000"/>
          <w:lang w:eastAsia="sr-Latn-RS"/>
        </w:rPr>
        <w:t> [kg/s] обрачунава се помоћу једначине (7-16):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0A8276A" wp14:editId="1DFCD0DF">
            <wp:extent cx="5057140" cy="564515"/>
            <wp:effectExtent l="0" t="0" r="0" b="6985"/>
            <wp:docPr id="224" name="Picture 224" descr="A mathematical formula expressing q_new,i as the product of Q, v_t, and ρ_e divided by 10 to the negative 6 times the difference between c_mix,i and c_b, labeled as equation 7-1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mathematical formula expressing q_new,i as the product of Q, v_t, and ρ_e divided by 10 to the negative 6 times the difference between c_mix,i and c_b, labeled as equation 7-16.&#10;&#10;Description generated by A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9"/>
        <w:gridCol w:w="287"/>
        <w:gridCol w:w="935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гасa за праћење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mix,</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концентрација гасa за праћење након мешања[ppm]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густина неразређеног издувног гасa [kg/m</w:t>
            </w:r>
            <w:r w:rsidRPr="00B03342">
              <w:rPr>
                <w:rFonts w:ascii="Arial" w:hAnsi="Arial" w:cs="Arial"/>
                <w:vertAlign w:val="superscript"/>
                <w:lang w:eastAsia="sr-Latn-RS"/>
              </w:rPr>
              <w:t>3</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крајња концентрација гасa за праћење у улазном ваздуху [ppm]</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Крајња концентрација гасa за праћење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б</w:t>
      </w:r>
      <w:r w:rsidRPr="00B03342">
        <w:rPr>
          <w:rFonts w:ascii="Arial" w:hAnsi="Arial" w:cs="Arial"/>
          <w:color w:val="000000"/>
          <w:lang w:eastAsia="sr-Latn-RS"/>
        </w:rPr>
        <w:t> може се одредити обрачуном просека крајње концентрације измерене непосредно пре и након испитивања. Ако је крајња концентрација мања од 1 % концентрације гаса за праћење након мешања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mix,</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при максималном протоку издувног гаса, тада се крајња концентрација може занемарити.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2.1.6.3. Метода мерења протока ваздуха и односа ваздуха и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Метода обухвата обрачун масе издувних гасова из протока ваздуха и односа ваздуха и горива. Тренутни масени проток издувног гаса </w:t>
      </w:r>
      <w:r w:rsidRPr="00B03342">
        <w:rPr>
          <w:rFonts w:ascii="Arial" w:hAnsi="Arial" w:cs="Arial"/>
          <w:i/>
          <w:iCs/>
          <w:color w:val="000000"/>
          <w:lang w:eastAsia="sr-Latn-RS"/>
        </w:rPr>
        <w:t>q</w:t>
      </w:r>
      <w:r w:rsidRPr="00B03342">
        <w:rPr>
          <w:rFonts w:ascii="Arial" w:hAnsi="Arial" w:cs="Arial"/>
          <w:color w:val="000000"/>
          <w:lang w:eastAsia="sr-Latn-RS"/>
        </w:rPr>
        <w:t> </w:t>
      </w:r>
      <w:r w:rsidRPr="00B03342">
        <w:rPr>
          <w:rFonts w:ascii="Arial" w:hAnsi="Arial" w:cs="Arial"/>
          <w:color w:val="000000"/>
          <w:vertAlign w:val="subscript"/>
          <w:lang w:eastAsia="sr-Latn-RS"/>
        </w:rPr>
        <w:t>mew,</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[kg/s] обрачунава се помоћу једначине (7-17):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6E5B9CE" wp14:editId="3615CF8E">
            <wp:extent cx="5057140" cy="1685925"/>
            <wp:effectExtent l="0" t="0" r="0" b="0"/>
            <wp:docPr id="223" name="Picture 223" descr="Mathematical formulas and equations related to a variable labeled lambda max and parameters involving constants, fractions, and Greek letters are presented in a technical style with numbered refere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thematical formulas and equations related to a variable labeled lambda max and parameters involving constants, fractions, and Greek letters are presented in a technical style with numbered references.&#10;&#10;Description generated by A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57140" cy="168592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8"/>
        <w:gridCol w:w="239"/>
        <w:gridCol w:w="943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aw,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влажног улазног ваздуха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A/F</w:t>
            </w:r>
            <w:r w:rsidRPr="00B03342">
              <w:rPr>
                <w:rFonts w:ascii="Arial" w:hAnsi="Arial" w:cs="Arial"/>
                <w:lang w:eastAsia="sr-Latn-RS"/>
              </w:rPr>
              <w:t> </w:t>
            </w:r>
            <w:r w:rsidRPr="00B03342">
              <w:rPr>
                <w:rFonts w:ascii="Arial" w:hAnsi="Arial" w:cs="Arial"/>
                <w:vertAlign w:val="subscript"/>
                <w:lang w:eastAsia="sr-Latn-RS"/>
              </w:rPr>
              <w:t>сt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стехиометријски однос ваздуха и горива[–]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l</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однос вишка ваздуха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CO у неразређеном издувном гасу на сувој основи[ppm]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CO</w:t>
            </w:r>
            <w:r w:rsidRPr="00B03342">
              <w:rPr>
                <w:rFonts w:ascii="Arial" w:hAnsi="Arial" w:cs="Arial"/>
                <w:vertAlign w:val="subscript"/>
                <w:lang w:eastAsia="sr-Latn-RS"/>
              </w:rPr>
              <w:t>2</w:t>
            </w:r>
            <w:r w:rsidRPr="00B03342">
              <w:rPr>
                <w:rFonts w:ascii="Arial" w:hAnsi="Arial" w:cs="Arial"/>
                <w:lang w:eastAsia="sr-Latn-RS"/>
              </w:rPr>
              <w:t> у неразређеном издувном гасу на сувој основи[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HCw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HC у неразређеном издувном гасу на влажној основи[ppm C1]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угљеника и водоника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азота и водоника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кисеоника и водоника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сумпора и угљеника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2.1.6.4. Метода биланса угљеника, поступак у једном кораку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Следећа формула у једном кораку наведена у једначини (7-20) може се примењивати за обрачун масеног протока издувног гаса на влажној основи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ew,</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[kg/s]:</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DC84B81" wp14:editId="08059AAA">
            <wp:extent cx="5057140" cy="1065530"/>
            <wp:effectExtent l="0" t="0" r="0" b="0"/>
            <wp:docPr id="222" name="Picture 222" descr="Two mathematical formulas are shown, one involving variables and constants with a fraction and parentheses, and the other defining a variable as a sum of terms with coefficients and vari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wo mathematical formulas are shown, one involving variables and constants with a fraction and parentheses, and the other defining a variable as a sum of terms with coefficients and variables.&#10;&#10;Description generated by A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57140" cy="106553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199"/>
        <w:gridCol w:w="956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горива[kg/s]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садржај угљеника у гориву [% масе] (видети једначину (7-82) из тачке 3.3.3.1. или табелу 7.3.)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 [g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додатна запремина сагоревања на сувој основи[m</w:t>
            </w:r>
            <w:r w:rsidRPr="00B03342">
              <w:rPr>
                <w:rFonts w:ascii="Arial" w:hAnsi="Arial" w:cs="Arial"/>
                <w:vertAlign w:val="superscript"/>
                <w:lang w:eastAsia="sr-Latn-RS"/>
              </w:rPr>
              <w:t>3</w:t>
            </w:r>
            <w:r w:rsidRPr="00B03342">
              <w:rPr>
                <w:rFonts w:ascii="Arial" w:hAnsi="Arial" w:cs="Arial"/>
                <w:lang w:eastAsia="sr-Latn-RS"/>
              </w:rPr>
              <w:t>/kg горива]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сува концентрација CO</w:t>
            </w:r>
            <w:r w:rsidRPr="00B03342">
              <w:rPr>
                <w:rFonts w:ascii="Arial" w:hAnsi="Arial" w:cs="Arial"/>
                <w:vertAlign w:val="subscript"/>
                <w:lang w:eastAsia="sr-Latn-RS"/>
              </w:rPr>
              <w:t>2</w:t>
            </w:r>
            <w:r w:rsidRPr="00B03342">
              <w:rPr>
                <w:rFonts w:ascii="Arial" w:hAnsi="Arial" w:cs="Arial"/>
                <w:lang w:eastAsia="sr-Latn-RS"/>
              </w:rPr>
              <w:t> у неразређеном издувном гасу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сува концентрација CO</w:t>
            </w:r>
            <w:r w:rsidRPr="00B03342">
              <w:rPr>
                <w:rFonts w:ascii="Arial" w:hAnsi="Arial" w:cs="Arial"/>
                <w:vertAlign w:val="subscript"/>
                <w:lang w:eastAsia="sr-Latn-RS"/>
              </w:rPr>
              <w:t>2</w:t>
            </w:r>
            <w:r w:rsidRPr="00B03342">
              <w:rPr>
                <w:rFonts w:ascii="Arial" w:hAnsi="Arial" w:cs="Arial"/>
                <w:lang w:eastAsia="sr-Latn-RS"/>
              </w:rPr>
              <w:t>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CОд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сува концентрација CO у неразређеном издувном гасу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HCw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концентрација HC у неразређеном издувном гасу [ppm]</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 фактор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fd</w:t>
      </w:r>
      <w:r w:rsidRPr="00B03342">
        <w:rPr>
          <w:rFonts w:ascii="Arial" w:hAnsi="Arial" w:cs="Arial"/>
          <w:color w:val="000000"/>
          <w:lang w:eastAsia="sr-Latn-RS"/>
        </w:rPr>
        <w:t> [m</w:t>
      </w:r>
      <w:r w:rsidRPr="00B03342">
        <w:rPr>
          <w:rFonts w:ascii="Arial" w:hAnsi="Arial" w:cs="Arial"/>
          <w:color w:val="000000"/>
          <w:vertAlign w:val="superscript"/>
          <w:lang w:eastAsia="sr-Latn-RS"/>
        </w:rPr>
        <w:t>3</w:t>
      </w:r>
      <w:r w:rsidRPr="00B03342">
        <w:rPr>
          <w:rFonts w:ascii="Arial" w:hAnsi="Arial" w:cs="Arial"/>
          <w:color w:val="000000"/>
          <w:lang w:eastAsia="sr-Latn-RS"/>
        </w:rPr>
        <w:t>/kg горива] који се обрачунава помоћу једначине (7-22) на сувој основи одузимањем воде која настаје при сагоревању од вредности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20"/>
        <w:gridCol w:w="228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fd</w:t>
            </w:r>
            <w:r w:rsidRPr="00B03342">
              <w:rPr>
                <w:rFonts w:ascii="Arial" w:hAnsi="Arial" w:cs="Arial"/>
                <w:lang w:eastAsia="sr-Latn-RS"/>
              </w:rPr>
              <w:t> = </w:t>
            </w: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w:t>
            </w:r>
            <w:r w:rsidRPr="00B03342">
              <w:rPr>
                <w:rFonts w:ascii="Arial" w:hAnsi="Arial" w:cs="Arial"/>
                <w:lang w:eastAsia="sr-Latn-RS"/>
              </w:rPr>
              <w:t> – 0,11118 · </w:t>
            </w: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(7-22)</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9"/>
        <w:gridCol w:w="279"/>
        <w:gridCol w:w="967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за специфично гориво према једначини (7-5) [m</w:t>
            </w:r>
            <w:r w:rsidRPr="00B03342">
              <w:rPr>
                <w:rFonts w:ascii="Arial" w:hAnsi="Arial" w:cs="Arial"/>
                <w:vertAlign w:val="superscript"/>
                <w:lang w:eastAsia="sr-Latn-RS"/>
              </w:rPr>
              <w:t>3</w:t>
            </w:r>
            <w:r w:rsidRPr="00B03342">
              <w:rPr>
                <w:rFonts w:ascii="Arial" w:hAnsi="Arial" w:cs="Arial"/>
                <w:lang w:eastAsia="sr-Latn-RS"/>
              </w:rPr>
              <w:t>/kg горива]: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водоника у гориву [ % масе]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Разређене гасовите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Маса гасовитих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Масени проток издувног гасa мери се применом система за узорковање константног обима (CVS), који може употребљавати волуметричку пумпу(PDP), Вентуријеву цев критичног протока (CFV) или подзвучну Вентуријеву цев (SSV).</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системе с константним масеним протоком (односно с измењивачем температуре), маса загађујућих материја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одређује се једначином(7-23):</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745"/>
        <w:gridCol w:w="17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 </w:t>
            </w: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х</w:t>
            </w:r>
            <w:r w:rsidRPr="00B03342">
              <w:rPr>
                <w:rFonts w:ascii="Arial" w:hAnsi="Arial" w:cs="Arial"/>
                <w:lang w:eastAsia="sr-Latn-RS"/>
              </w:rPr>
              <w:t> · </w:t>
            </w:r>
            <w:r w:rsidRPr="00B03342">
              <w:rPr>
                <w:rFonts w:ascii="Arial" w:hAnsi="Arial" w:cs="Arial"/>
                <w:i/>
                <w:iCs/>
                <w:lang w:eastAsia="sr-Latn-RS"/>
              </w:rPr>
              <w:t>k</w:t>
            </w:r>
            <w:r w:rsidRPr="00B03342">
              <w:rPr>
                <w:rFonts w:ascii="Arial" w:hAnsi="Arial" w:cs="Arial"/>
                <w:lang w:eastAsia="sr-Latn-RS"/>
              </w:rPr>
              <w:t> · </w:t>
            </w:r>
            <w:r w:rsidRPr="00B03342">
              <w:rPr>
                <w:rFonts w:ascii="Arial" w:hAnsi="Arial" w:cs="Arial"/>
                <w:i/>
                <w:iCs/>
                <w:lang w:eastAsia="sr-Latn-RS"/>
              </w:rPr>
              <w:t>u gas </w:t>
            </w:r>
            <w:r w:rsidRPr="00B03342">
              <w:rPr>
                <w:rFonts w:ascii="Arial" w:hAnsi="Arial" w:cs="Arial"/>
                <w:lang w:eastAsia="sr-Latn-RS"/>
              </w:rPr>
              <w:t>· </w:t>
            </w: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(7-23)</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4"/>
        <w:gridCol w:w="166"/>
        <w:gridCol w:w="993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u</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између густине компоненте издувног гасa и густине ваздуха, који је наведен у табели 7.2. или се обрачунава применом једначине (7-34)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концентрација компоненте коригована за позадину на влажној основи [ppm] односно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корекциони фактор за NO</w:t>
            </w:r>
            <w:r w:rsidRPr="00B03342">
              <w:rPr>
                <w:rFonts w:ascii="Arial" w:hAnsi="Arial" w:cs="Arial"/>
                <w:vertAlign w:val="subscript"/>
                <w:lang w:eastAsia="sr-Latn-RS"/>
              </w:rPr>
              <w:t>x</w:t>
            </w:r>
            <w:r w:rsidRPr="00B03342">
              <w:rPr>
                <w:rFonts w:ascii="Arial" w:hAnsi="Arial" w:cs="Arial"/>
                <w:lang w:eastAsia="sr-Latn-RS"/>
              </w:rPr>
              <w:t> [–], примењује се само за обрачун емисије NO</w:t>
            </w:r>
            <w:r w:rsidRPr="00B03342">
              <w:rPr>
                <w:rFonts w:ascii="Arial" w:hAnsi="Arial" w:cs="Arial"/>
                <w:vertAlign w:val="subscript"/>
                <w:lang w:eastAsia="sr-Latn-RS"/>
              </w:rPr>
              <w:t>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за </w:t>
            </w: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gasr,w,</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у [ppm], </w:t>
            </w:r>
            <w:r w:rsidRPr="00B03342">
              <w:rPr>
                <w:rFonts w:ascii="Arial" w:hAnsi="Arial" w:cs="Arial"/>
                <w:i/>
                <w:iCs/>
                <w:lang w:eastAsia="sr-Latn-RS"/>
              </w:rPr>
              <w:t>k</w:t>
            </w:r>
            <w:r w:rsidRPr="00B03342">
              <w:rPr>
                <w:rFonts w:ascii="Arial" w:hAnsi="Arial" w:cs="Arial"/>
                <w:lang w:eastAsia="sr-Latn-RS"/>
              </w:rPr>
              <w:t> = 10 000 за </w:t>
            </w: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gasr,w,</w:t>
            </w:r>
            <w:r w:rsidRPr="00B03342">
              <w:rPr>
                <w:rFonts w:ascii="Arial" w:hAnsi="Arial" w:cs="Arial"/>
                <w:lang w:eastAsia="sr-Latn-RS"/>
              </w:rPr>
              <w:t> </w:t>
            </w:r>
            <w:r w:rsidRPr="00B03342">
              <w:rPr>
                <w:rFonts w:ascii="Arial" w:hAnsi="Arial" w:cs="Arial"/>
                <w:vertAlign w:val="subscript"/>
                <w:lang w:eastAsia="sr-Latn-RS"/>
              </w:rPr>
              <w:t>i </w:t>
            </w:r>
            <w:r w:rsidRPr="00B03342">
              <w:rPr>
                <w:rFonts w:ascii="Arial" w:hAnsi="Arial" w:cs="Arial"/>
                <w:lang w:eastAsia="sr-Latn-RS"/>
              </w:rPr>
              <w:t>у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разређеног издувног гасa за време циклуса, [kg/испитивање]</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системе с компензацијом протока (без измењивача температуре), маса загађујућих материја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одређује се обрачуном тренутне масене вредности емисија, интеграције и корекције за позадину помоћу једначине(7-24):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A0B168A" wp14:editId="766CA178">
            <wp:extent cx="5057140" cy="564515"/>
            <wp:effectExtent l="0" t="0" r="0" b="0"/>
            <wp:docPr id="221" name="Picture 221" descr="A mathematical formula expressing m_gas as a product of k_h, k, and the difference between a summation term involving m_ed, c_e, and u_gas and another term involving m_ed, c_d, D, and u_ga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mathematical formula expressing m_gas as a product of k_h, k, and the difference between a summation term involving m_ed, c_e, and u_gas and another term involving m_ed, c_d, D, and u_gas.&#10;&#10;Description generated by A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1"/>
        <w:gridCol w:w="215"/>
        <w:gridCol w:w="963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c</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емисија у разређеном издувном гасу, на влажној основи[ppm] или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емисија у разређеном ваздуху, на влажној основи[ppm] или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разређеног издувног гасa током временског интервала </w:t>
            </w:r>
            <w:r w:rsidRPr="00B03342">
              <w:rPr>
                <w:rFonts w:ascii="Arial" w:hAnsi="Arial" w:cs="Arial"/>
                <w:i/>
                <w:iCs/>
                <w:lang w:eastAsia="sr-Latn-RS"/>
              </w:rPr>
              <w:t>i</w:t>
            </w:r>
            <w:r w:rsidRPr="00B03342">
              <w:rPr>
                <w:rFonts w:ascii="Arial" w:hAnsi="Arial" w:cs="Arial"/>
                <w:lang w:eastAsia="sr-Latn-RS"/>
              </w:rPr>
              <w:t>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разређеног издувног гасa током циклуса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у</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из табеле 7.2. овог прилога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корекциони фактор за NO</w:t>
            </w:r>
            <w:r w:rsidRPr="00B03342">
              <w:rPr>
                <w:rFonts w:ascii="Arial" w:hAnsi="Arial" w:cs="Arial"/>
                <w:vertAlign w:val="subscript"/>
                <w:lang w:eastAsia="sr-Latn-RS"/>
              </w:rPr>
              <w:t>x</w:t>
            </w:r>
            <w:r w:rsidRPr="00B03342">
              <w:rPr>
                <w:rFonts w:ascii="Arial" w:hAnsi="Arial" w:cs="Arial"/>
                <w:lang w:eastAsia="sr-Latn-RS"/>
              </w:rPr>
              <w:t> [–], примењује се само за обрачун емисије NO</w:t>
            </w:r>
            <w:r w:rsidRPr="00B03342">
              <w:rPr>
                <w:rFonts w:ascii="Arial" w:hAnsi="Arial" w:cs="Arial"/>
                <w:vertAlign w:val="subscript"/>
                <w:lang w:eastAsia="sr-Latn-RS"/>
              </w:rPr>
              <w:t>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 за </w:t>
            </w:r>
            <w:r w:rsidRPr="00B03342">
              <w:rPr>
                <w:rFonts w:ascii="Arial" w:hAnsi="Arial" w:cs="Arial"/>
                <w:i/>
                <w:iCs/>
                <w:lang w:eastAsia="sr-Latn-RS"/>
              </w:rPr>
              <w:t>c</w:t>
            </w:r>
            <w:r w:rsidRPr="00B03342">
              <w:rPr>
                <w:rFonts w:ascii="Arial" w:hAnsi="Arial" w:cs="Arial"/>
                <w:lang w:eastAsia="sr-Latn-RS"/>
              </w:rPr>
              <w:t> у [ppm], </w:t>
            </w:r>
            <w:r w:rsidRPr="00B03342">
              <w:rPr>
                <w:rFonts w:ascii="Arial" w:hAnsi="Arial" w:cs="Arial"/>
                <w:i/>
                <w:iCs/>
                <w:lang w:eastAsia="sr-Latn-RS"/>
              </w:rPr>
              <w:t>k</w:t>
            </w:r>
            <w:r w:rsidRPr="00B03342">
              <w:rPr>
                <w:rFonts w:ascii="Arial" w:hAnsi="Arial" w:cs="Arial"/>
                <w:lang w:eastAsia="sr-Latn-RS"/>
              </w:rPr>
              <w:t> = 10.000 за </w:t>
            </w:r>
            <w:r w:rsidRPr="00B03342">
              <w:rPr>
                <w:rFonts w:ascii="Arial" w:hAnsi="Arial" w:cs="Arial"/>
                <w:i/>
                <w:iCs/>
                <w:lang w:eastAsia="sr-Latn-RS"/>
              </w:rPr>
              <w:t>c</w:t>
            </w:r>
            <w:r w:rsidRPr="00B03342">
              <w:rPr>
                <w:rFonts w:ascii="Arial" w:hAnsi="Arial" w:cs="Arial"/>
                <w:lang w:eastAsia="sr-Latn-RS"/>
              </w:rPr>
              <w:t> у [ % vol]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концентрације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могу се узети вредности измерене у групном узорку (џак, но није допуштено за NO</w:t>
      </w:r>
      <w:r w:rsidRPr="00B03342">
        <w:rPr>
          <w:rFonts w:ascii="Arial" w:hAnsi="Arial" w:cs="Arial"/>
          <w:color w:val="000000"/>
          <w:vertAlign w:val="subscript"/>
          <w:lang w:eastAsia="sr-Latn-RS"/>
        </w:rPr>
        <w:t>x</w:t>
      </w:r>
      <w:r w:rsidRPr="00B03342">
        <w:rPr>
          <w:rFonts w:ascii="Arial" w:hAnsi="Arial" w:cs="Arial"/>
          <w:color w:val="000000"/>
          <w:lang w:eastAsia="sr-Latn-RS"/>
        </w:rPr>
        <w:t> и HC) или просек интеграције континуираних мерења. Исто тако вредност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мора бити упросечена интеграцијом током испитног циклуса.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Следећим једначинама приказује се начин обрачуна потребних количина(</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w:t>
      </w:r>
      <w:r w:rsidRPr="00B03342">
        <w:rPr>
          <w:rFonts w:ascii="Arial" w:hAnsi="Arial" w:cs="Arial"/>
          <w:i/>
          <w:iCs/>
          <w:color w:val="000000"/>
          <w:lang w:eastAsia="sr-Latn-RS"/>
        </w:rPr>
        <w:t>u gas </w:t>
      </w:r>
      <w:r w:rsidRPr="00B03342">
        <w:rPr>
          <w:rFonts w:ascii="Arial" w:hAnsi="Arial" w:cs="Arial"/>
          <w:color w:val="000000"/>
          <w:lang w:eastAsia="sr-Latn-RS"/>
        </w:rPr>
        <w:t>i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 Конверзија концентрације из сувог у влажно стање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Све концентрације из тачке 2.2.1. овог прилога измерене на сувој основи претварају се на вредности за влажну основу помоћу једначине (7-3).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2.2.2.1. 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Суве концентрације претварају се у влажне концентрације применом једне од следеће две једначине [(7-25) или (7-26)]: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07B63AB" wp14:editId="58AB6053">
            <wp:extent cx="5057140" cy="1009650"/>
            <wp:effectExtent l="0" t="0" r="0" b="0"/>
            <wp:docPr id="220" name="Picture 220" descr="Two mathematical formulas are shown expressing kw,e and kw,c with variables including alpha, COO2w, kw2, and constants, formatted in a scientific style with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wo mathematical formulas are shown expressing kw,e and kw,c with variables including alpha, COO2w, kw2, and constants, formatted in a scientific style with equation numbers.&#10;&#10;Description generated by A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57140" cy="100965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3"/>
        <w:gridCol w:w="250"/>
        <w:gridCol w:w="944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водоника и угљеника у гориву[–]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CO</w:t>
            </w:r>
            <w:r w:rsidRPr="00B03342">
              <w:rPr>
                <w:rFonts w:ascii="Arial" w:hAnsi="Arial" w:cs="Arial"/>
                <w:vertAlign w:val="subscript"/>
                <w:lang w:eastAsia="sr-Latn-RS"/>
              </w:rPr>
              <w:t>2</w:t>
            </w:r>
            <w:r w:rsidRPr="00B03342">
              <w:rPr>
                <w:rFonts w:ascii="Arial" w:hAnsi="Arial" w:cs="Arial"/>
                <w:lang w:eastAsia="sr-Latn-RS"/>
              </w:rPr>
              <w:t> у разређеном издувном гасу на влажној основи[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CO</w:t>
            </w:r>
            <w:r w:rsidRPr="00B03342">
              <w:rPr>
                <w:rFonts w:ascii="Arial" w:hAnsi="Arial" w:cs="Arial"/>
                <w:vertAlign w:val="subscript"/>
                <w:lang w:eastAsia="sr-Latn-RS"/>
              </w:rPr>
              <w:t>2</w:t>
            </w:r>
            <w:r w:rsidRPr="00B03342">
              <w:rPr>
                <w:rFonts w:ascii="Arial" w:hAnsi="Arial" w:cs="Arial"/>
                <w:lang w:eastAsia="sr-Latn-RS"/>
              </w:rPr>
              <w:t> у разређеном издувном гасу на сувој основи[ % vol]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Корекциони фактор за прерачунавање из сувог у влажно стање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w2</w:t>
      </w:r>
      <w:r w:rsidRPr="00B03342">
        <w:rPr>
          <w:rFonts w:ascii="Arial" w:hAnsi="Arial" w:cs="Arial"/>
          <w:color w:val="000000"/>
          <w:lang w:eastAsia="sr-Latn-RS"/>
        </w:rPr>
        <w:t> узима у обзир удео воде у улазном ваздуху и ваздуху за разређивање те се обрачунава помоћу једначине (7-27):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19B3BC0" wp14:editId="7B50084B">
            <wp:extent cx="5057140" cy="620395"/>
            <wp:effectExtent l="0" t="0" r="0" b="0"/>
            <wp:docPr id="219" name="Picture 219" descr="A mathematical formula expressing kw2 as a fraction involving constants and variables Hd, Ha, and b with parentheses and expone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mathematical formula expressing kw2 as a fraction involving constants and variables Hd, Ha, and b with parentheses and exponents.&#10;&#10;Description generated by 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57140" cy="62039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0"/>
        <w:gridCol w:w="244"/>
        <w:gridCol w:w="980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улазног ваздуха [g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ваздуха за разређивање [g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2.2.2.2. Фактор разређивања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Фактор разређивања </w:t>
      </w:r>
      <w:r w:rsidRPr="00B03342">
        <w:rPr>
          <w:rFonts w:ascii="Arial" w:hAnsi="Arial" w:cs="Arial"/>
          <w:i/>
          <w:iCs/>
          <w:color w:val="000000"/>
          <w:lang w:eastAsia="sr-Latn-RS"/>
        </w:rPr>
        <w:t>D</w:t>
      </w:r>
      <w:r w:rsidRPr="00B03342">
        <w:rPr>
          <w:rFonts w:ascii="Arial" w:hAnsi="Arial" w:cs="Arial"/>
          <w:color w:val="000000"/>
          <w:lang w:eastAsia="sr-Latn-RS"/>
        </w:rPr>
        <w:t> [–] (који је потребан за корекцију за позадину и обрачун вредности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w2</w:t>
      </w:r>
      <w:r w:rsidRPr="00B03342">
        <w:rPr>
          <w:rFonts w:ascii="Arial" w:hAnsi="Arial" w:cs="Arial"/>
          <w:color w:val="000000"/>
          <w:lang w:eastAsia="sr-Latn-RS"/>
        </w:rPr>
        <w:t>) рачуна се помоћу једначине (7-28):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85B1364" wp14:editId="6903BDC4">
            <wp:extent cx="5057140" cy="564515"/>
            <wp:effectExtent l="0" t="0" r="0" b="6985"/>
            <wp:docPr id="218" name="Picture 218" descr="A mathematical formula expressing D as the ratio of Fs to the product of the sum of cCO2,e, cHIC,e, and cCO,e multiplied by 10 to the power of negative 4, labeled as equation 7-2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mathematical formula expressing D as the ratio of Fs to the product of the sum of cCO2,e, cHIC,e, and cCO,e multiplied by 10 to the power of negative 4, labeled as equation 7-28.&#10;&#10;Description generated by A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92"/>
        <w:gridCol w:w="241"/>
        <w:gridCol w:w="946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стехиометријски фактор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CO</w:t>
            </w:r>
            <w:r w:rsidRPr="00B03342">
              <w:rPr>
                <w:rFonts w:ascii="Arial" w:hAnsi="Arial" w:cs="Arial"/>
                <w:vertAlign w:val="subscript"/>
                <w:lang w:eastAsia="sr-Latn-RS"/>
              </w:rPr>
              <w:t>2</w:t>
            </w:r>
            <w:r w:rsidRPr="00B03342">
              <w:rPr>
                <w:rFonts w:ascii="Arial" w:hAnsi="Arial" w:cs="Arial"/>
                <w:lang w:eastAsia="sr-Latn-RS"/>
              </w:rPr>
              <w:t> у разређеног издувног гаса на влажној основи [ %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HC,e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HC у разређеном издувном гасу на влажној основи [ppm C1]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CO у разређеном издувном гасу на влажној основи [ppm]</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Стехиометријски фактор рачуна се помоћу једначине (7-29):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F93EB42" wp14:editId="78B521C2">
            <wp:extent cx="5057140" cy="564515"/>
            <wp:effectExtent l="0" t="0" r="0" b="6985"/>
            <wp:docPr id="217" name="Picture 217" descr="The image shows a mathematical formula for Fs involving a fraction with 100 in the numerator and a denominator containing one plus a variable divided by two plus a constant multiplied by one minus the variable divided by fou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e image shows a mathematical formula for Fs involving a fraction with 100 in the numerator and a denominator containing one plus a variable divided by two plus a constant multiplied by one minus the variable divided by four.&#10;&#10;Description generated by A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2"/>
        <w:gridCol w:w="389"/>
        <w:gridCol w:w="972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однос водоника и угљеника у гориву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Алтернативно, ако није познат састав горива, могу се употребљавати следећи стехиометријски фактори: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w:t>
      </w:r>
      <w:r w:rsidRPr="00B03342">
        <w:rPr>
          <w:rFonts w:ascii="Arial" w:hAnsi="Arial" w:cs="Arial"/>
          <w:color w:val="000000"/>
          <w:vertAlign w:val="subscript"/>
          <w:lang w:eastAsia="sr-Latn-RS"/>
        </w:rPr>
        <w:t>S</w:t>
      </w:r>
      <w:r w:rsidRPr="00B03342">
        <w:rPr>
          <w:rFonts w:ascii="Arial" w:hAnsi="Arial" w:cs="Arial"/>
          <w:color w:val="000000"/>
          <w:lang w:eastAsia="sr-Latn-RS"/>
        </w:rPr>
        <w:t> (дизел) = 13,4</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w:t>
      </w:r>
      <w:r w:rsidRPr="00B03342">
        <w:rPr>
          <w:rFonts w:ascii="Arial" w:hAnsi="Arial" w:cs="Arial"/>
          <w:color w:val="000000"/>
          <w:vertAlign w:val="subscript"/>
          <w:lang w:eastAsia="sr-Latn-RS"/>
        </w:rPr>
        <w:t>S</w:t>
      </w:r>
      <w:r w:rsidRPr="00B03342">
        <w:rPr>
          <w:rFonts w:ascii="Arial" w:hAnsi="Arial" w:cs="Arial"/>
          <w:color w:val="000000"/>
          <w:lang w:eastAsia="sr-Latn-RS"/>
        </w:rPr>
        <w:t> (UNP) = 11,6</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w:t>
      </w:r>
      <w:r w:rsidRPr="00B03342">
        <w:rPr>
          <w:rFonts w:ascii="Arial" w:hAnsi="Arial" w:cs="Arial"/>
          <w:color w:val="000000"/>
          <w:vertAlign w:val="subscript"/>
          <w:lang w:eastAsia="sr-Latn-RS"/>
        </w:rPr>
        <w:t>S</w:t>
      </w:r>
      <w:r w:rsidRPr="00B03342">
        <w:rPr>
          <w:rFonts w:ascii="Arial" w:hAnsi="Arial" w:cs="Arial"/>
          <w:color w:val="000000"/>
          <w:lang w:eastAsia="sr-Latn-RS"/>
        </w:rPr>
        <w:t> (PP) = 9,5</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w:t>
      </w:r>
      <w:r w:rsidRPr="00B03342">
        <w:rPr>
          <w:rFonts w:ascii="Arial" w:hAnsi="Arial" w:cs="Arial"/>
          <w:color w:val="000000"/>
          <w:vertAlign w:val="subscript"/>
          <w:lang w:eastAsia="sr-Latn-RS"/>
        </w:rPr>
        <w:t>S</w:t>
      </w:r>
      <w:r w:rsidRPr="00B03342">
        <w:rPr>
          <w:rFonts w:ascii="Arial" w:hAnsi="Arial" w:cs="Arial"/>
          <w:color w:val="000000"/>
          <w:lang w:eastAsia="sr-Latn-RS"/>
        </w:rPr>
        <w:t> (E10) = 13,3</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F</w:t>
      </w:r>
      <w:r w:rsidRPr="00B03342">
        <w:rPr>
          <w:rFonts w:ascii="Arial" w:hAnsi="Arial" w:cs="Arial"/>
          <w:color w:val="000000"/>
          <w:vertAlign w:val="subscript"/>
          <w:lang w:eastAsia="sr-Latn-RS"/>
        </w:rPr>
        <w:t>S</w:t>
      </w:r>
      <w:r w:rsidRPr="00B03342">
        <w:rPr>
          <w:rFonts w:ascii="Arial" w:hAnsi="Arial" w:cs="Arial"/>
          <w:color w:val="000000"/>
          <w:lang w:eastAsia="sr-Latn-RS"/>
        </w:rPr>
        <w:t> (E85) = 11,5</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проток издувног гасa директно мери, фактор разређивања </w:t>
      </w:r>
      <w:r w:rsidRPr="00B03342">
        <w:rPr>
          <w:rFonts w:ascii="Arial" w:hAnsi="Arial" w:cs="Arial"/>
          <w:i/>
          <w:iCs/>
          <w:color w:val="000000"/>
          <w:lang w:eastAsia="sr-Latn-RS"/>
        </w:rPr>
        <w:t>D</w:t>
      </w:r>
      <w:r w:rsidRPr="00B03342">
        <w:rPr>
          <w:rFonts w:ascii="Arial" w:hAnsi="Arial" w:cs="Arial"/>
          <w:color w:val="000000"/>
          <w:lang w:eastAsia="sr-Latn-RS"/>
        </w:rPr>
        <w:t> [–] може се обрачунати помоћу једначине (7-30):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7DD0710" wp14:editId="5564C6C1">
            <wp:extent cx="5057140" cy="501015"/>
            <wp:effectExtent l="0" t="0" r="0" b="0"/>
            <wp:docPr id="216" name="Picture 216" descr="The image shows a mathematical formula defining D as the ratio of qv CVS to qv EW with a reference number 7-30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e image shows a mathematical formula defining D as the ratio of qv CVS to qv EW with a reference number 7-30 in parentheses.&#10;&#10;Description generated by A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q</w:t>
      </w:r>
      <w:r w:rsidRPr="00B03342">
        <w:rPr>
          <w:rFonts w:ascii="Arial" w:hAnsi="Arial" w:cs="Arial"/>
          <w:color w:val="000000"/>
          <w:vertAlign w:val="subscript"/>
          <w:lang w:eastAsia="sr-Latn-RS"/>
        </w:rPr>
        <w:t>V</w:t>
      </w:r>
      <w:r w:rsidRPr="00B03342">
        <w:rPr>
          <w:rFonts w:ascii="Arial" w:hAnsi="Arial" w:cs="Arial"/>
          <w:color w:val="000000"/>
          <w:lang w:eastAsia="sr-Latn-RS"/>
        </w:rPr>
        <w:t> </w:t>
      </w:r>
      <w:r w:rsidRPr="00B03342">
        <w:rPr>
          <w:rFonts w:ascii="Arial" w:hAnsi="Arial" w:cs="Arial"/>
          <w:color w:val="000000"/>
          <w:vertAlign w:val="subscript"/>
          <w:lang w:eastAsia="sr-Latn-RS"/>
        </w:rPr>
        <w:t>CVS</w:t>
      </w:r>
      <w:r w:rsidRPr="00B03342">
        <w:rPr>
          <w:rFonts w:ascii="Arial" w:hAnsi="Arial" w:cs="Arial"/>
          <w:color w:val="000000"/>
          <w:lang w:eastAsia="sr-Latn-RS"/>
        </w:rPr>
        <w:t> запремински проток разређеног издувног гасa [m</w:t>
      </w:r>
      <w:r w:rsidRPr="00B03342">
        <w:rPr>
          <w:rFonts w:ascii="Arial" w:hAnsi="Arial" w:cs="Arial"/>
          <w:color w:val="000000"/>
          <w:vertAlign w:val="superscript"/>
          <w:lang w:eastAsia="sr-Latn-RS"/>
        </w:rPr>
        <w:t>3</w:t>
      </w:r>
      <w:r w:rsidRPr="00B03342">
        <w:rPr>
          <w:rFonts w:ascii="Arial" w:hAnsi="Arial" w:cs="Arial"/>
          <w:color w:val="000000"/>
          <w:lang w:eastAsia="sr-Latn-RS"/>
        </w:rPr>
        <w:t>/s]</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qV ew запремински проток неразређеног издувног гасa [m</w:t>
      </w:r>
      <w:r w:rsidRPr="00B03342">
        <w:rPr>
          <w:rFonts w:ascii="Arial" w:hAnsi="Arial" w:cs="Arial"/>
          <w:color w:val="000000"/>
          <w:vertAlign w:val="superscript"/>
          <w:lang w:eastAsia="sr-Latn-RS"/>
        </w:rPr>
        <w:t>3</w:t>
      </w:r>
      <w:r w:rsidRPr="00B03342">
        <w:rPr>
          <w:rFonts w:ascii="Arial" w:hAnsi="Arial" w:cs="Arial"/>
          <w:color w:val="000000"/>
          <w:lang w:eastAsia="sr-Latn-RS"/>
        </w:rPr>
        <w:t>/s]</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2.2.2.3. Ваздух за разређивање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80"/>
        <w:gridCol w:w="242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w,d</w:t>
            </w:r>
            <w:r w:rsidRPr="00B03342">
              <w:rPr>
                <w:rFonts w:ascii="Arial" w:hAnsi="Arial" w:cs="Arial"/>
                <w:lang w:eastAsia="sr-Latn-RS"/>
              </w:rPr>
              <w:t> = (1 – </w:t>
            </w: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w3</w:t>
            </w:r>
            <w:r w:rsidRPr="00B03342">
              <w:rPr>
                <w:rFonts w:ascii="Arial" w:hAnsi="Arial" w:cs="Arial"/>
                <w:lang w:eastAsia="sr-Latn-RS"/>
              </w:rPr>
              <w:t>) 1,008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(7-31)</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629C111" wp14:editId="5AE072AE">
            <wp:extent cx="5057140" cy="389890"/>
            <wp:effectExtent l="0" t="0" r="0" b="0"/>
            <wp:docPr id="215" name="Picture 215" descr="The image shows a mathematical formula expressing k_w,3 as the fraction of 1.608 times H_d over 1000 plus 1.608 times H_d, labeled as equation 7-3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e image shows a mathematical formula expressing k_w,3 as the fraction of 1.608 times H_d over 1000 plus 1.608 times H_d, labeled as equation 7-32.&#10;&#10;Description generated by A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3"/>
        <w:gridCol w:w="315"/>
        <w:gridCol w:w="960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H</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влажност ваздуха за разређивање [g H</w:t>
            </w:r>
            <w:r w:rsidRPr="00B03342">
              <w:rPr>
                <w:rFonts w:ascii="Arial" w:hAnsi="Arial" w:cs="Arial"/>
                <w:vertAlign w:val="subscript"/>
                <w:lang w:eastAsia="sr-Latn-RS"/>
              </w:rPr>
              <w:t>2</w:t>
            </w:r>
            <w:r w:rsidRPr="00B03342">
              <w:rPr>
                <w:rFonts w:ascii="Arial" w:hAnsi="Arial" w:cs="Arial"/>
                <w:lang w:eastAsia="sr-Latn-RS"/>
              </w:rPr>
              <w:t>O/kg сувог ваздуха]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2.2.2.4. Одређивање концентрације кориговане за позадину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Просечна крајња концентрација гасовитих загађујућих материја у ваздуху за разређивање одузима се од измерених концентрација како би се добиле нето концентрације загађујућих материја. Просечне вредности позадинских концентрација могу се одредити методом вреће за узорковање или континуираним мерењем с интеграцијом. Примењује се једначина (7-33):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F9C5E51" wp14:editId="5CDB32D9">
            <wp:extent cx="5057140" cy="445135"/>
            <wp:effectExtent l="0" t="0" r="0" b="0"/>
            <wp:docPr id="214" name="Picture 214" descr="The image shows a mathematical equation expressing C_3x3 as C_3x3,∞ minus C_d multiplied by the quantity one minus the reciprocal of D, labeled as equation 7.3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e image shows a mathematical equation expressing C_3x3 as C_3x3,∞ minus C_d multiplied by the quantity one minus the reciprocal of D, labeled as equation 7.33.&#10;&#10;Description generated by A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32"/>
        <w:gridCol w:w="212"/>
        <w:gridCol w:w="965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нето концентрација гасoвитих загађујућих материја [ppm]или[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gas,e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емисија у разређеном издувном гасу, на влажној основи [ppm] или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емисија у разређеном ваздуху, на влажној основи [ppm] или [ % vol]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2.2.3. Фактор специфичан за поједину компоненту </w:t>
      </w:r>
      <w:r w:rsidRPr="00B03342">
        <w:rPr>
          <w:rFonts w:ascii="Arial" w:hAnsi="Arial" w:cs="Arial"/>
          <w:i/>
          <w:iCs/>
          <w:color w:val="000000"/>
          <w:lang w:eastAsia="sr-Latn-RS"/>
        </w:rPr>
        <w:t>u</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Фактор специфичан за поједину компоненту </w:t>
      </w:r>
      <w:r w:rsidRPr="00B03342">
        <w:rPr>
          <w:rFonts w:ascii="Arial" w:hAnsi="Arial" w:cs="Arial"/>
          <w:i/>
          <w:iCs/>
          <w:color w:val="000000"/>
          <w:lang w:eastAsia="sr-Latn-RS"/>
        </w:rPr>
        <w:t>u</w:t>
      </w:r>
      <w:r w:rsidRPr="00B03342">
        <w:rPr>
          <w:rFonts w:ascii="Arial" w:hAnsi="Arial" w:cs="Arial"/>
          <w:color w:val="000000"/>
          <w:vertAlign w:val="subscript"/>
          <w:lang w:eastAsia="sr-Latn-RS"/>
        </w:rPr>
        <w:t>gas</w:t>
      </w:r>
      <w:r w:rsidRPr="00B03342">
        <w:rPr>
          <w:rFonts w:ascii="Arial" w:hAnsi="Arial" w:cs="Arial"/>
          <w:i/>
          <w:iCs/>
          <w:color w:val="000000"/>
          <w:lang w:eastAsia="sr-Latn-RS"/>
        </w:rPr>
        <w:t> </w:t>
      </w:r>
      <w:r w:rsidRPr="00B03342">
        <w:rPr>
          <w:rFonts w:ascii="Arial" w:hAnsi="Arial" w:cs="Arial"/>
          <w:color w:val="000000"/>
          <w:lang w:eastAsia="sr-Latn-RS"/>
        </w:rPr>
        <w:t>разређеног гаса може се обрачунати применом једначине (7-34) или пронаћи у табели 7.2. овог прилога; у табели 7.2. овог прилога претпоставља се да је густина разређеног издувног гаса једнака густини ваздуха.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03A9E8C" wp14:editId="43E15A65">
            <wp:extent cx="5057140" cy="564515"/>
            <wp:effectExtent l="0" t="0" r="0" b="6985"/>
            <wp:docPr id="213" name="Picture 213" descr="An equation expressing u as the ratio of M_gas to M_d,w times 1000, further expanded to show M_gas divided by a sum involving M_d,w, M_r,w, and a fraction with b, all multiplied by 10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n equation expressing u as the ratio of M_gas to M_d,w times 1000, further expanded to show M_gas divided by a sum involving M_d,w, M_r,w, and a fraction with b, all multiplied by 1000.&#10;&#10;Description generated by AI"/>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2"/>
        <w:gridCol w:w="214"/>
        <w:gridCol w:w="962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гасoвите компоненте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разређеног издувног гасa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da,w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ваздуха за разређивање [g/mol] (видети једначину (7-144) из тачке 3.9.3.)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r,w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неразређеног издувног гаса [g/mol] (видети тачку 5. Додатка 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bl>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7.2. Вредности </w:t>
      </w:r>
      <w:r w:rsidRPr="00B03342">
        <w:rPr>
          <w:rFonts w:ascii="Arial" w:hAnsi="Arial" w:cs="Arial"/>
          <w:i/>
          <w:iCs/>
          <w:color w:val="000000"/>
          <w:lang w:eastAsia="sr-Latn-RS"/>
        </w:rPr>
        <w:t>u</w:t>
      </w:r>
      <w:r w:rsidRPr="00B03342">
        <w:rPr>
          <w:rFonts w:ascii="Arial" w:hAnsi="Arial" w:cs="Arial"/>
          <w:color w:val="000000"/>
          <w:lang w:eastAsia="sr-Latn-RS"/>
        </w:rPr>
        <w:t> за разређени издувни гас (за концентрацију емисија изражену у ppm) и густине компоненти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50"/>
        <w:gridCol w:w="611"/>
        <w:gridCol w:w="811"/>
        <w:gridCol w:w="811"/>
        <w:gridCol w:w="1084"/>
        <w:gridCol w:w="811"/>
        <w:gridCol w:w="811"/>
        <w:gridCol w:w="811"/>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r</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Гас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4</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r</w:t>
            </w:r>
            <w:r w:rsidRPr="00B03342">
              <w:rPr>
                <w:rFonts w:ascii="Arial" w:hAnsi="Arial" w:cs="Arial"/>
                <w:vertAlign w:val="subscript"/>
                <w:lang w:eastAsia="sr-Latn-RS"/>
              </w:rPr>
              <w:t>gas</w:t>
            </w:r>
            <w:r w:rsidRPr="00B03342">
              <w:rPr>
                <w:rFonts w:ascii="Arial" w:hAnsi="Arial" w:cs="Arial"/>
                <w:lang w:eastAsia="sr-Latn-RS"/>
              </w:rPr>
              <w:t> [kg/m</w:t>
            </w:r>
            <w:r w:rsidRPr="00B03342">
              <w:rPr>
                <w:rFonts w:ascii="Arial" w:hAnsi="Arial" w:cs="Arial"/>
                <w:vertAlign w:val="superscript"/>
                <w:lang w:eastAsia="sr-Latn-RS"/>
              </w:rPr>
              <w:t>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t>
            </w:r>
            <w:r w:rsidRPr="00B03342">
              <w:rPr>
                <w:rFonts w:ascii="Arial" w:hAnsi="Arial" w:cs="Arial"/>
                <w:vertAlign w:val="superscript"/>
                <w:lang w:eastAsia="sr-Latn-RS"/>
              </w:rPr>
              <w:t>9</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1,9636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0,716</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perscript"/>
                <w:lang w:eastAsia="sr-Latn-RS"/>
              </w:rPr>
              <w:t>10</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Дизел (гасно уље за недрумску употребу)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0,001586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0,000482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за наменске моторе са компресијским паљењем (ED95)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0,000780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0,000561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Природни гас/биометан (</w:t>
            </w:r>
            <w:r w:rsidRPr="00B03342">
              <w:rPr>
                <w:rFonts w:ascii="Arial" w:hAnsi="Arial" w:cs="Arial"/>
                <w:vertAlign w:val="superscript"/>
                <w:lang w:eastAsia="sr-Latn-RS"/>
              </w:rPr>
              <w:t>11</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0,000528 (</w:t>
            </w:r>
            <w:r w:rsidRPr="00B03342">
              <w:rPr>
                <w:rFonts w:ascii="Arial" w:hAnsi="Arial" w:cs="Arial"/>
                <w:vertAlign w:val="superscript"/>
                <w:lang w:eastAsia="sr-Latn-RS"/>
              </w:rPr>
              <w:t>12</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0,001551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Пропан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Бутан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UNP (</w:t>
            </w:r>
            <w:r w:rsidRPr="00B03342">
              <w:rPr>
                <w:rFonts w:ascii="Arial" w:hAnsi="Arial" w:cs="Arial"/>
                <w:vertAlign w:val="superscript"/>
                <w:lang w:eastAsia="sr-Latn-RS"/>
              </w:rPr>
              <w:t>13</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1,2811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Бензин (E10)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1,2931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0,001587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0,000966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0,000499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(E85)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0,001604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0,000977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0,000730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0,001534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0,001116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0,000559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2.2.4. обрачун масеног протокa издувног гасa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2.2.4.1. PDP-CVS систем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Маса разређеног издувног гасa [kg/испитивање] током циклуса рачуна се помоћу једначине (7-35) ако се температура разређеног издувног гаса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одржава унутар ±6 K током циклуса применом измењивача температуре: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7559FFF" wp14:editId="6AE7C22A">
            <wp:extent cx="5057140" cy="501015"/>
            <wp:effectExtent l="0" t="0" r="0" b="0"/>
            <wp:docPr id="212" name="Picture 212" descr="A mathematical formula expressing m_cd as a function of V_0, n_p, P_p, T, and consta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mathematical formula expressing m_cd as a function of V_0, n_p, P_p, T, and constants.&#10;&#10;Description generated by AI"/>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71"/>
        <w:gridCol w:w="224"/>
        <w:gridCol w:w="890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гаса испумпаног по обртају у условима испитивања[m</w:t>
            </w:r>
            <w:r w:rsidRPr="00B03342">
              <w:rPr>
                <w:rFonts w:ascii="Arial" w:hAnsi="Arial" w:cs="Arial"/>
                <w:vertAlign w:val="superscript"/>
                <w:lang w:eastAsia="sr-Latn-RS"/>
              </w:rPr>
              <w:t>3</w:t>
            </w:r>
            <w:r w:rsidRPr="00B03342">
              <w:rPr>
                <w:rFonts w:ascii="Arial" w:hAnsi="Arial" w:cs="Arial"/>
                <w:lang w:eastAsia="sr-Latn-RS"/>
              </w:rPr>
              <w:t>/обр]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број обртаја пумпе по испитивању [обр/испитивање]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пумпе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5810BEDE" wp14:editId="15771CFF">
                  <wp:extent cx="198755" cy="286385"/>
                  <wp:effectExtent l="0" t="0" r="0" b="0"/>
                  <wp:docPr id="211" name="Picture 211" descr="A black uppercase letter T in a serif fon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black uppercase letter T in a serif font on a white background.&#10;&#10;Description generated by AI"/>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8755" cy="2863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температура разређеног издувног гасa на улазном отвору пумпе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примењује систем с компензацијом протокa (односно без измењивача температуре), маса разређеног издувног гасa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 током временског интервала рачуна се помоћу једначине (7-36):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5A02E04" wp14:editId="3D121EF4">
            <wp:extent cx="5057140" cy="437515"/>
            <wp:effectExtent l="0" t="0" r="0" b="635"/>
            <wp:docPr id="210" name="Picture 210" descr="An equation showing the relationship between pressure, temperature, and volume with constants and variables in a boxed format labeled as equation 7-3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n equation showing the relationship between pressure, temperature, and volume with constants and variables in a boxed format labeled as equation 7-36.&#10;&#10;Description generated by AI"/>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57140" cy="437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71"/>
        <w:gridCol w:w="224"/>
        <w:gridCol w:w="890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запремина гасa испумпаног по обртају у условима испитивања [m</w:t>
            </w:r>
            <w:r w:rsidRPr="00B03342">
              <w:rPr>
                <w:rFonts w:ascii="Arial" w:hAnsi="Arial" w:cs="Arial"/>
                <w:vertAlign w:val="superscript"/>
                <w:lang w:eastAsia="sr-Latn-RS"/>
              </w:rPr>
              <w:t>3</w:t>
            </w:r>
            <w:r w:rsidRPr="00B03342">
              <w:rPr>
                <w:rFonts w:ascii="Arial" w:hAnsi="Arial" w:cs="Arial"/>
                <w:lang w:eastAsia="sr-Latn-RS"/>
              </w:rPr>
              <w:t>/обр]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пумпе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P,</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укупни број обртаја пумпе у временском интервалу </w:t>
            </w:r>
            <w:r w:rsidRPr="00B03342">
              <w:rPr>
                <w:rFonts w:ascii="Arial" w:hAnsi="Arial" w:cs="Arial"/>
                <w:i/>
                <w:iCs/>
                <w:lang w:eastAsia="sr-Latn-RS"/>
              </w:rPr>
              <w:t>i</w:t>
            </w:r>
            <w:r w:rsidRPr="00B03342">
              <w:rPr>
                <w:rFonts w:ascii="Arial" w:hAnsi="Arial" w:cs="Arial"/>
                <w:lang w:eastAsia="sr-Latn-RS"/>
              </w:rPr>
              <w:t> [rev/Δ</w:t>
            </w:r>
            <w:r w:rsidRPr="00B03342">
              <w:rPr>
                <w:rFonts w:ascii="Arial" w:hAnsi="Arial" w:cs="Arial"/>
                <w:i/>
                <w:iCs/>
                <w:lang w:eastAsia="sr-Latn-RS"/>
              </w:rPr>
              <w:t>t</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B3A45C3" wp14:editId="059342DA">
                  <wp:extent cx="151130" cy="230505"/>
                  <wp:effectExtent l="0" t="0" r="1270" b="0"/>
                  <wp:docPr id="209" name="Picture 209" descr="A large, bold, black capital letter T with a horizontal bar extending slightly beyond the vertical stem on both sid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large, bold, black capital letter T with a horizontal bar extending slightly beyond the vertical stem on both sides.&#10;&#10;Description generated by A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113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температура разређеног издувног гасa на улазном отвору пумпе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2.2.4.2. Систем CFV-CVS</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Масени проток током циклуса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[g/испитивање] рачуна се помоћу једначине (7-37) ако се температура разређеног издувног гасa одржава унутар ±11 K током циклуса употребом измењивача температуре: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D786628" wp14:editId="0EF3F8E2">
            <wp:extent cx="5057140" cy="501015"/>
            <wp:effectExtent l="0" t="0" r="0" b="0"/>
            <wp:docPr id="208" name="Picture 208" descr="The formula shows the calculation of I_med as the product of 1.293, time t, K_v, and P_p divided by the square root of temperature T raised to the power of 0.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e formula shows the calculation of I_med as the product of 1.293, time t, K_v, and P_p divided by the square root of temperature T raised to the power of 0.5.&#10;&#10;Description generated by A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85"/>
        <w:gridCol w:w="209"/>
        <w:gridCol w:w="900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трајање циклуса [с]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умерени коефицијент Вентуријеве цеви критичног протока у стандардним условима</w:t>
            </w:r>
          </w:p>
          <w:p w:rsidR="00DA0CD9" w:rsidRPr="00B03342" w:rsidRDefault="00DA0CD9" w:rsidP="00E26D3C">
            <w:pPr>
              <w:rPr>
                <w:rFonts w:ascii="Arial" w:hAnsi="Arial" w:cs="Arial"/>
                <w:lang w:eastAsia="sr-Latn-RS"/>
              </w:rPr>
            </w:pPr>
            <w:r w:rsidRPr="00B03342">
              <w:rPr>
                <w:rFonts w:ascii="Arial" w:hAnsi="Arial" w:cs="Arial"/>
                <w:lang w:val="en-US"/>
              </w:rPr>
              <w:drawing>
                <wp:inline distT="0" distB="0" distL="0" distR="0" wp14:anchorId="409F9C64" wp14:editId="463F7B33">
                  <wp:extent cx="1916430" cy="278130"/>
                  <wp:effectExtent l="0" t="0" r="7620" b="7620"/>
                  <wp:docPr id="207" name="Picture 207" descr="A mathematical expression showing the square root of K multiplied by meters to the fourth power and seconds, all divided by kilogra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mathematical expression showing the square root of K multiplied by meters to the fourth power and seconds, all divided by kilograms.&#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16430" cy="278130"/>
                          </a:xfrm>
                          <a:prstGeom prst="rect">
                            <a:avLst/>
                          </a:prstGeom>
                          <a:noFill/>
                          <a:ln>
                            <a:noFill/>
                          </a:ln>
                        </pic:spPr>
                      </pic:pic>
                    </a:graphicData>
                  </a:graphic>
                </wp:inline>
              </w:drawing>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Вентуријеве цеви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температура на улазном отвору Вентуријеве цеви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Ако се примењује систем с компензацијом протока (односно без измењивача температуре), маса разређеног издувног гасa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 током временског интервала рачуна се помоћу једначине (7-38):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C662953" wp14:editId="464C07CE">
            <wp:extent cx="5057140" cy="445135"/>
            <wp:effectExtent l="0" t="0" r="0" b="0"/>
            <wp:docPr id="206" name="Picture 206" descr="A mathematical formula showing Med,i as a fraction with 1,293 times delta t sub i times K sub V times P sub P in the numerator and T to the power of 0.5 in the denominator, labeled as equation 7-3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mathematical formula showing Med,i as a fraction with 1,293 times delta t sub i times K sub V times P sub P in the numerator and T to the power of 0.5 in the denominator, labeled as equation 7-38.&#10;&#10;Description generated by A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85"/>
        <w:gridCol w:w="209"/>
        <w:gridCol w:w="900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Dt</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временски интервал испитивања [s]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умерени коефицијент Вентуријеве цеви критичног протокa у стандардним условима</w:t>
            </w:r>
          </w:p>
          <w:p w:rsidR="00DA0CD9" w:rsidRPr="00B03342" w:rsidRDefault="00DA0CD9" w:rsidP="00E26D3C">
            <w:pPr>
              <w:rPr>
                <w:rFonts w:ascii="Arial" w:hAnsi="Arial" w:cs="Arial"/>
                <w:lang w:eastAsia="sr-Latn-RS"/>
              </w:rPr>
            </w:pPr>
            <w:r w:rsidRPr="00B03342">
              <w:rPr>
                <w:rFonts w:ascii="Arial" w:hAnsi="Arial" w:cs="Arial"/>
                <w:lang w:val="en-US"/>
              </w:rPr>
              <w:drawing>
                <wp:inline distT="0" distB="0" distL="0" distR="0" wp14:anchorId="6DD43B95" wp14:editId="01FEA37E">
                  <wp:extent cx="1916430" cy="278130"/>
                  <wp:effectExtent l="0" t="0" r="7620" b="7620"/>
                  <wp:docPr id="205" name="Picture 205" descr="A mathematical expression showing the square root of K multiplied by meters to the fourth power and seconds, all divided by kilograms, enclosed in square bracke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mathematical expression showing the square root of K multiplied by meters to the fourth power and seconds, all divided by kilograms, enclosed in square brackets.&#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16430" cy="278130"/>
                          </a:xfrm>
                          <a:prstGeom prst="rect">
                            <a:avLst/>
                          </a:prstGeom>
                          <a:noFill/>
                          <a:ln>
                            <a:noFill/>
                          </a:ln>
                        </pic:spPr>
                      </pic:pic>
                    </a:graphicData>
                  </a:graphic>
                </wp:inline>
              </w:drawing>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Вентуријеве цеви[kPa]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температура на улазном отвору Вентуријеве цеви[K]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2.2.4.3. Систем SSV-CVS</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Маса разређеног издувног гасa током циклуса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[kg/испитивање] рачуна се помоћу једначине (7-39) ако се температура разређеног издувног гасa одржава унутар ±11 K током циклуса употребом измењивача температуре: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16"/>
        <w:gridCol w:w="21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r w:rsidRPr="00B03342">
              <w:rPr>
                <w:rFonts w:ascii="Arial" w:hAnsi="Arial" w:cs="Arial"/>
                <w:lang w:eastAsia="sr-Latn-RS"/>
              </w:rPr>
              <w:t> = 1,293 · </w:t>
            </w: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r w:rsidRPr="00B03342">
              <w:rPr>
                <w:rFonts w:ascii="Arial" w:hAnsi="Arial" w:cs="Arial"/>
                <w:lang w:eastAsia="sr-Latn-RS"/>
              </w:rPr>
              <w:t> · Δ</w:t>
            </w: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(7-39)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48"/>
        <w:gridCol w:w="236"/>
        <w:gridCol w:w="881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трајање циклуса [s]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ваздуха при стандардним условима (101,325 kPa, 273,15 K) [m</w:t>
            </w:r>
            <w:r w:rsidRPr="00B03342">
              <w:rPr>
                <w:rFonts w:ascii="Arial" w:hAnsi="Arial" w:cs="Arial"/>
                <w:vertAlign w:val="superscript"/>
                <w:lang w:eastAsia="sr-Latn-RS"/>
              </w:rPr>
              <w:t>3</w:t>
            </w:r>
            <w:r w:rsidRPr="00B03342">
              <w:rPr>
                <w:rFonts w:ascii="Arial" w:hAnsi="Arial" w:cs="Arial"/>
                <w:lang w:eastAsia="sr-Latn-RS"/>
              </w:rPr>
              <w:t>/s]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0D2BCAB" wp14:editId="4F9C9FD3">
            <wp:extent cx="5057140" cy="501015"/>
            <wp:effectExtent l="0" t="0" r="0" b="0"/>
            <wp:docPr id="204" name="Picture 204" descr="A mathematical equation labeled 7-40 showing a complex formula involving variables A0, d, Cd, Pp, T, r, and rD with exponents and fra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mathematical equation labeled 7-40 showing a complex formula involving variables A0, d, Cd, Pp, T, r, and rD with exponents and fractions.&#10;&#10;Description generated by A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0"/>
        <w:gridCol w:w="207"/>
        <w:gridCol w:w="99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скуп константи и конверзија мерних јединица= 0,0056940 </w:t>
            </w:r>
            <w:r w:rsidRPr="00B03342">
              <w:rPr>
                <w:rFonts w:ascii="Arial" w:hAnsi="Arial" w:cs="Arial"/>
                <w:lang w:val="en-US"/>
              </w:rPr>
              <w:drawing>
                <wp:inline distT="0" distB="0" distL="0" distR="0" wp14:anchorId="46AC38DE" wp14:editId="580E86F8">
                  <wp:extent cx="1932305" cy="501015"/>
                  <wp:effectExtent l="0" t="0" r="0" b="0"/>
                  <wp:docPr id="203" name="Picture 203" descr="A mathematical expression showing the product of cubic meters per minute, kilopascals to the one-half power, and one over square millimeters inside square bracke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mathematical expression showing the product of cubic meters per minute, kilopascals to the one-half power, and one over square millimeters inside square brackets.&#10;&#10;Description generated by A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32305" cy="501015"/>
                          </a:xfrm>
                          <a:prstGeom prst="rect">
                            <a:avLst/>
                          </a:prstGeom>
                          <a:noFill/>
                          <a:ln>
                            <a:noFill/>
                          </a:ln>
                        </pic:spPr>
                      </pic:pic>
                    </a:graphicData>
                  </a:graphic>
                </wp:inline>
              </w:drawing>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пречник сужења SSV-a [mm]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SSV-a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Вентуријеве цеви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на улазном отвору Вентуријеве цеви[K]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сужења SSV-a у односу на апсолутни статички притисак на улазном отвору,</w:t>
            </w:r>
          </w:p>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05CCEA1" wp14:editId="436FDDF7">
                  <wp:extent cx="1057275" cy="238760"/>
                  <wp:effectExtent l="0" t="0" r="9525" b="8890"/>
                  <wp:docPr id="202" name="Picture 202" descr="A mathematical expression showing one minus the fraction of delta P over P sub a enclosed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mathematical expression showing one minus the fraction of delta P over P sub a enclosed in parentheses.&#10;&#10;Description generated by A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57275" cy="238760"/>
                          </a:xfrm>
                          <a:prstGeom prst="rect">
                            <a:avLst/>
                          </a:prstGeom>
                          <a:noFill/>
                          <a:ln>
                            <a:noFill/>
                          </a:ln>
                        </pic:spPr>
                      </pic:pic>
                    </a:graphicData>
                  </a:graphic>
                </wp:inline>
              </w:drawing>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пречника сужења SSV-у односу на унутрашњи пречник улазне цеви </w:t>
            </w:r>
            <w:r w:rsidRPr="00B03342">
              <w:rPr>
                <w:rFonts w:ascii="Arial" w:hAnsi="Arial" w:cs="Arial"/>
                <w:lang w:val="en-US"/>
              </w:rPr>
              <w:drawing>
                <wp:inline distT="0" distB="0" distL="0" distR="0" wp14:anchorId="35A320A7" wp14:editId="4E286AED">
                  <wp:extent cx="207010" cy="222885"/>
                  <wp:effectExtent l="0" t="0" r="2540" b="5715"/>
                  <wp:docPr id="201" name="Picture 201" descr="A mathematical fraction with a lowercase letter &quot;d&quot; as the numerator and an uppercase letter &quot;D&quot; as the denominato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mathematical fraction with a lowercase letter &quot;d&quot; as the numerator and an uppercase letter &quot;D&quot; as the denominator.&#10;&#10;Description generated by A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7010" cy="222885"/>
                          </a:xfrm>
                          <a:prstGeom prst="rect">
                            <a:avLst/>
                          </a:prstGeom>
                          <a:noFill/>
                          <a:ln>
                            <a:noFill/>
                          </a:ln>
                        </pic:spPr>
                      </pic:pic>
                    </a:graphicData>
                  </a:graphic>
                </wp:inline>
              </w:drawing>
            </w:r>
            <w:r w:rsidRPr="00B03342">
              <w:rPr>
                <w:rFonts w:ascii="Arial" w:hAnsi="Arial" w:cs="Arial"/>
                <w:lang w:eastAsia="sr-Latn-RS"/>
              </w:rPr>
              <w:t> [–]</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Ако се примењује систем с компензацијом протока (односно без измењивача температуре), маса разређеног издувног гаса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[kg] током временског интервалa рачуна се помоћу једначине (7-41):</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63"/>
        <w:gridCol w:w="203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 1,293 · </w:t>
            </w: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r w:rsidRPr="00B03342">
              <w:rPr>
                <w:rFonts w:ascii="Arial" w:hAnsi="Arial" w:cs="Arial"/>
                <w:lang w:eastAsia="sr-Latn-RS"/>
              </w:rPr>
              <w:t> · Δ</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(7-41)</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74"/>
        <w:gridCol w:w="355"/>
        <w:gridCol w:w="797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1,293 kg/m</w:t>
            </w:r>
            <w:r w:rsidRPr="00B03342">
              <w:rPr>
                <w:rFonts w:ascii="Arial" w:hAnsi="Arial" w:cs="Arial"/>
                <w:vertAlign w:val="superscript"/>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густина ваздуха при 273,15 K и 101,325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D</w:t>
            </w:r>
            <w:r w:rsidRPr="00B03342">
              <w:rPr>
                <w:rFonts w:ascii="Arial" w:hAnsi="Arial" w:cs="Arial"/>
                <w:i/>
                <w:iCs/>
                <w:lang w:eastAsia="sr-Latn-RS"/>
              </w:rPr>
              <w:t>t</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запремински проток SSV-a [m</w:t>
            </w:r>
            <w:r w:rsidRPr="00B03342">
              <w:rPr>
                <w:rFonts w:ascii="Arial" w:hAnsi="Arial" w:cs="Arial"/>
                <w:vertAlign w:val="superscript"/>
                <w:lang w:eastAsia="sr-Latn-RS"/>
              </w:rPr>
              <w:t>3</w:t>
            </w:r>
            <w:r w:rsidRPr="00B03342">
              <w:rPr>
                <w:rFonts w:ascii="Arial" w:hAnsi="Arial" w:cs="Arial"/>
                <w:lang w:eastAsia="sr-Latn-RS"/>
              </w:rPr>
              <w:t>/s]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обрачун мисије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Динамички испитни циклуси (NRTC и LCI-NRTC) и RMC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Маса честица прорачунава се после корекције масе узорка честица за узгон у складу с тачком 8.1.13.2.5.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2.3.1.1. Систем за разређивање делимичног протокa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2.3.1.1.1. Обрачун на основу односа узорка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Емисија честица током циклуса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 рачуна се применом једначине (7-42):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F9AF224" wp14:editId="76484C6E">
            <wp:extent cx="5057140" cy="445135"/>
            <wp:effectExtent l="0" t="0" r="0" b="0"/>
            <wp:docPr id="200" name="Picture 200" descr="The image shows a mathematical formula expressing mPM as the ratio of mf to the product of rs and 1000, labeled as equation 7-4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he image shows a mathematical formula expressing mPM as the ratio of mf to the product of rs and 1000, labeled as equation 7-42.&#10;&#10;Description generated by AI"/>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2"/>
        <w:gridCol w:w="368"/>
        <w:gridCol w:w="948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узоркована током циклуса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просечни однос узорка током испитног циклуса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EA913D1" wp14:editId="476A1C81">
            <wp:extent cx="5057140" cy="445135"/>
            <wp:effectExtent l="0" t="0" r="0" b="0"/>
            <wp:docPr id="199" name="Picture 199" descr="The image shows a mathematical formula expressing r subscript s as the product of m subscript se and m subscript sep divided by the product of m subscript ew and m subscript sed, labeled as equation 7-4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e image shows a mathematical formula expressing r subscript s as the product of m subscript se and m subscript sep divided by the product of m subscript ew and m subscript sed, labeled as equation 7-43.&#10;&#10;Description generated by A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6"/>
        <w:gridCol w:w="222"/>
        <w:gridCol w:w="967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неразређеног издувног гасa током циклуса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неразређеног издувног гасa током циклуса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филтре за прикупљање честица[kg]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тунел за разређивање [kg]</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система с потпуним узорковањем,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sep</w:t>
      </w:r>
      <w:r w:rsidRPr="00B03342">
        <w:rPr>
          <w:rFonts w:ascii="Arial" w:hAnsi="Arial" w:cs="Arial"/>
          <w:color w:val="000000"/>
          <w:lang w:eastAsia="sr-Latn-RS"/>
        </w:rPr>
        <w:t> и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сеd</w:t>
      </w:r>
      <w:r w:rsidRPr="00B03342">
        <w:rPr>
          <w:rFonts w:ascii="Arial" w:hAnsi="Arial" w:cs="Arial"/>
          <w:color w:val="000000"/>
          <w:lang w:eastAsia="sr-Latn-RS"/>
        </w:rPr>
        <w:t> су једнаки.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2.3.1.1.2. Обрачун на основу односa разређивања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Емисија честица током циклуса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 рачуна се применом једначине (7-44):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CD46A10" wp14:editId="0BF5C28E">
            <wp:extent cx="5057140" cy="445135"/>
            <wp:effectExtent l="0" t="0" r="0" b="0"/>
            <wp:docPr id="198" name="Picture 198" descr="A mathematical formula showing mPM as the product of the ratio of mf to msep and the ratio of medf to 1000, labeled as equation 7-4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 mathematical formula showing mPM as the product of the ratio of mf to msep and the ratio of medf to 1000, labeled as equation 7-44.&#10;&#10;Description generated by A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3"/>
        <w:gridCol w:w="220"/>
        <w:gridCol w:w="967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узоркована током циклуса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филтре за прикупљање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еквивалентног разређеног издувног гасa током циклуса [kg]</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Укупна маса еквивалентне масе разређених издувних гасoва током циклуса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edf</w:t>
      </w:r>
      <w:r w:rsidRPr="00B03342">
        <w:rPr>
          <w:rFonts w:ascii="Arial" w:hAnsi="Arial" w:cs="Arial"/>
          <w:color w:val="000000"/>
          <w:lang w:eastAsia="sr-Latn-RS"/>
        </w:rPr>
        <w:t> [kg] одређује се помоћу једначине (7-45):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E3573C9" wp14:editId="13A7DAB0">
            <wp:extent cx="5057140" cy="1200785"/>
            <wp:effectExtent l="0" t="0" r="0" b="0"/>
            <wp:docPr id="197" name="Picture 197" descr="Mathematical formulas defining the effective mass as a sum involving charge and distance terms with corresponding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athematical formulas defining the effective mass as a sum involving charge and distance terms with corresponding equation numbers.&#10;&#10;Description generated by AI"/>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57140" cy="120078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где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6"/>
        <w:gridCol w:w="245"/>
        <w:gridCol w:w="930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edf,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еквивалентни масени проток разређеног издувног гасa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издувног гасa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однос разређивања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dew,</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разређеног издувног гасa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dw,i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масени проток ваздуха за разређивање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2.3.1.2. Систем за разређивање пуног протокa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Масене емисије рачунаjу се помоћу једначине (7-48):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97D3E5F" wp14:editId="44CE9156">
            <wp:extent cx="5057140" cy="445135"/>
            <wp:effectExtent l="0" t="0" r="0" b="0"/>
            <wp:docPr id="196" name="Picture 196" descr="A mathematical formula showing m subscript pM equals the fraction of m subscript f minus m subscript od over m subscript sep multiplied by one thousa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 mathematical formula showing m subscript pM equals the fraction of m subscript f minus m subscript od over m subscript sep multiplied by one thousand.&#10;&#10;Description generated by A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
        <w:gridCol w:w="218"/>
        <w:gridCol w:w="968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узоркована током циклуса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филтере за прикупљање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разређених издувних гасoва током циклуса [kg]</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854"/>
        <w:gridCol w:w="264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сеt</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ссd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(7-49)</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5"/>
        <w:gridCol w:w="266"/>
        <w:gridCol w:w="951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сеt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двоструко разређеног издувног гасa кроз филтер за честице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ссd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секундарног ваздуха за разређивање [kg]</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2.3.1.2.1. Корекција за позадину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Маса честица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PM,c</w:t>
      </w:r>
      <w:r w:rsidRPr="00B03342">
        <w:rPr>
          <w:rFonts w:ascii="Arial" w:hAnsi="Arial" w:cs="Arial"/>
          <w:color w:val="000000"/>
          <w:lang w:eastAsia="sr-Latn-RS"/>
        </w:rPr>
        <w:t> [g] може се кориговати за позадину помоћу једначине (7-50):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3AA6D61" wp14:editId="7C32F39B">
            <wp:extent cx="5057140" cy="564515"/>
            <wp:effectExtent l="0" t="0" r="0" b="6985"/>
            <wp:docPr id="195" name="Picture 195" descr="A mathematical formula expressing mPM,c as a function involving mf, msep, mb, msd, D, med, and a division by 10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mathematical formula expressing mPM,c as a function involving mf, msep, mb, msd, D, med, and a division by 1000.&#10;&#10;Description generated by AI"/>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6"/>
        <w:gridCol w:w="207"/>
        <w:gridCol w:w="972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узоркована током циклуса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филтере за прикупљање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ваздуха за разређивање узоркованог справом за узорковање позадинских честица[kg]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прикупљених позадинских честица ваздуха за разређивање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током циклуса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 обрачун за NRSC с дискретним начинима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2.3.2.1. Систем за разређивање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Сви обрачуни морају се заснивати на просечним вредностима појединачних начина рада и током периода узорковања.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разређивање делимичног протокa, еквивалентни масени проток разређеног издувног гасa одређује се применом једначине (7-51) и система с мерењем протока приказаног на слици 9.2. овог прилога: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9B88B8D" wp14:editId="47CE7F02">
            <wp:extent cx="5057140" cy="675640"/>
            <wp:effectExtent l="0" t="0" r="0" b="0"/>
            <wp:docPr id="194" name="Picture 194" descr="Two mathematical equations showing q_medf as a product of q_mew and r_d, and r_d as a fraction involving A_mdw, q_mdew, and q_mdw, each labeled with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wo mathematical equations showing q_medf as a product of q_mew and r_d, and r_d as a fraction involving A_mdw, q_mdew, and q_mdw, each labeled with equation numbers.&#10;&#10;Description generated by AI"/>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57140" cy="6756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9"/>
        <w:gridCol w:w="281"/>
        <w:gridCol w:w="932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еквивалентан масени проток разређеног издувног гасa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издувног гасa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разређивања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разређеног издувног гасa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влажног ваздуха за разређивање [kg/s]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Код система за разређивање пуног протокa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dew</w:t>
      </w:r>
      <w:r w:rsidRPr="00B03342">
        <w:rPr>
          <w:rFonts w:ascii="Arial" w:hAnsi="Arial" w:cs="Arial"/>
          <w:color w:val="000000"/>
          <w:lang w:eastAsia="sr-Latn-RS"/>
        </w:rPr>
        <w:t> употребљава се као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edf</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 Обрачун масеног протокa честица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Масени проток емитованих честица током циклуса </w:t>
      </w:r>
      <w:r w:rsidRPr="00B03342">
        <w:rPr>
          <w:rFonts w:ascii="Arial" w:hAnsi="Arial" w:cs="Arial"/>
          <w:i/>
          <w:iCs/>
          <w:color w:val="000000"/>
          <w:lang w:eastAsia="sr-Latn-RS"/>
        </w:rPr>
        <w:t>q</w:t>
      </w:r>
      <w:r w:rsidRPr="00B03342">
        <w:rPr>
          <w:rFonts w:ascii="Arial" w:hAnsi="Arial" w:cs="Arial"/>
          <w:color w:val="000000"/>
          <w:lang w:eastAsia="sr-Latn-RS"/>
        </w:rPr>
        <w:t> </w:t>
      </w:r>
      <w:r w:rsidRPr="00B03342">
        <w:rPr>
          <w:rFonts w:ascii="Arial" w:hAnsi="Arial" w:cs="Arial"/>
          <w:color w:val="000000"/>
          <w:vertAlign w:val="subscript"/>
          <w:lang w:eastAsia="sr-Latn-RS"/>
        </w:rPr>
        <w:t>mPM</w:t>
      </w:r>
      <w:r w:rsidRPr="00B03342">
        <w:rPr>
          <w:rFonts w:ascii="Arial" w:hAnsi="Arial" w:cs="Arial"/>
          <w:color w:val="000000"/>
          <w:lang w:eastAsia="sr-Latn-RS"/>
        </w:rPr>
        <w:t> [g/h] рачуна се помоћу једначина (7-53), (7-56), (7-57) или (7-58):</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једнофилтерску методу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7EB40F3" wp14:editId="77278038">
            <wp:extent cx="5017135" cy="1009650"/>
            <wp:effectExtent l="0" t="0" r="0" b="0"/>
            <wp:docPr id="193" name="Picture 193" descr="The image shows three mathematical equations related to mass flow rate, weighted flow, and average mass flow with corresponding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he image shows three mathematical equations related to mass flow rate, weighted flow, and average mass flow with corresponding equation numbers.&#10;&#10;Description generated by AI"/>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17135" cy="100965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0"/>
        <w:gridCol w:w="166"/>
        <w:gridCol w:w="907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честица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узоркована током циклуса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16ECB4C" wp14:editId="5279EC43">
                  <wp:extent cx="755650" cy="262255"/>
                  <wp:effectExtent l="0" t="0" r="6350" b="4445"/>
                  <wp:docPr id="192" name="Picture 192" descr="A close-up of a mathematical expression showing the variable q followed by the letters medf under a horizontal lin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 close-up of a mathematical expression showing the variable q followed by the letters medf under a horizontal line.&#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55650" cy="26225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просечан еквивалентни масени проток разређеног издувног гасa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edf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еквивалентни масени проток разређеног издувног гасa на влажној основи начину рада </w:t>
            </w:r>
            <w:r w:rsidRPr="00B03342">
              <w:rPr>
                <w:rFonts w:ascii="Arial" w:hAnsi="Arial" w:cs="Arial"/>
                <w:i/>
                <w:iCs/>
                <w:lang w:eastAsia="sr-Latn-RS"/>
              </w:rPr>
              <w:t>i</w:t>
            </w:r>
            <w:r w:rsidRPr="00B03342">
              <w:rPr>
                <w:rFonts w:ascii="Arial" w:hAnsi="Arial" w:cs="Arial"/>
                <w:lang w:eastAsia="sr-Latn-RS"/>
              </w:rPr>
              <w:t>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w:t>
            </w:r>
            <w:r w:rsidRPr="00B03342">
              <w:rPr>
                <w:rFonts w:ascii="Arial" w:hAnsi="Arial" w:cs="Arial"/>
                <w:i/>
                <w:iCs/>
                <w:lang w:eastAsia="sr-Latn-RS"/>
              </w:rPr>
              <w:t> 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разређеног издувног гасa који пролази кроз филтере за прикупљање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sep</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 за узорковање честица у начину рада </w:t>
            </w:r>
            <w:r w:rsidRPr="00B03342">
              <w:rPr>
                <w:rFonts w:ascii="Arial" w:hAnsi="Arial" w:cs="Arial"/>
                <w:i/>
                <w:iCs/>
                <w:lang w:eastAsia="sr-Latn-RS"/>
              </w:rPr>
              <w:t>i</w:t>
            </w:r>
            <w:r w:rsidRPr="00B03342">
              <w:rPr>
                <w:rFonts w:ascii="Arial" w:hAnsi="Arial" w:cs="Arial"/>
                <w:lang w:eastAsia="sr-Latn-RS"/>
              </w:rPr>
              <w:t>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вишефилтерски метод</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A69B563" wp14:editId="346051C9">
            <wp:extent cx="5057140" cy="501015"/>
            <wp:effectExtent l="0" t="0" r="0" b="0"/>
            <wp:docPr id="191" name="Picture 191" descr="A mathematical formula showing the calculation of qlPMI as the product of the ratio of mfi to mexp1 and qmedfi multiplied by 3600 divided by 10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A mathematical formula showing the calculation of qlPMI as the product of the ratio of mfi to mexp1 and qmedfi multiplied by 3600 divided by 1000.&#10;&#10;Description generated by AI"/>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
        <w:gridCol w:w="174"/>
        <w:gridCol w:w="97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масени проток честица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честица прикупљених у начину рада </w:t>
            </w:r>
            <w:r w:rsidRPr="00B03342">
              <w:rPr>
                <w:rFonts w:ascii="Arial" w:hAnsi="Arial" w:cs="Arial"/>
                <w:i/>
                <w:iCs/>
                <w:lang w:eastAsia="sr-Latn-RS"/>
              </w:rPr>
              <w:t>i</w:t>
            </w:r>
            <w:r w:rsidRPr="00B03342">
              <w:rPr>
                <w:rFonts w:ascii="Arial" w:hAnsi="Arial" w:cs="Arial"/>
                <w:lang w:eastAsia="sr-Latn-RS"/>
              </w:rPr>
              <w:t>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edf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еквивалентни масени проток разређеног издувног гасa на влажној основи начину рада </w:t>
            </w:r>
            <w:r w:rsidRPr="00B03342">
              <w:rPr>
                <w:rFonts w:ascii="Arial" w:hAnsi="Arial" w:cs="Arial"/>
                <w:i/>
                <w:iCs/>
                <w:lang w:eastAsia="sr-Latn-RS"/>
              </w:rPr>
              <w:t>i</w:t>
            </w:r>
            <w:r w:rsidRPr="00B03342">
              <w:rPr>
                <w:rFonts w:ascii="Arial" w:hAnsi="Arial" w:cs="Arial"/>
                <w:lang w:eastAsia="sr-Latn-RS"/>
              </w:rPr>
              <w:t>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 за узорковање честица у начину рада </w:t>
            </w:r>
            <w:r w:rsidRPr="00B03342">
              <w:rPr>
                <w:rFonts w:ascii="Arial" w:hAnsi="Arial" w:cs="Arial"/>
                <w:i/>
                <w:iCs/>
                <w:lang w:eastAsia="sr-Latn-RS"/>
              </w:rPr>
              <w:t>i</w:t>
            </w:r>
            <w:r w:rsidRPr="00B03342">
              <w:rPr>
                <w:rFonts w:ascii="Arial" w:hAnsi="Arial" w:cs="Arial"/>
                <w:lang w:eastAsia="sr-Latn-RS"/>
              </w:rPr>
              <w:t> [kg]</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Маса честичних материја одређује се током испитног циклуса сабирањем просечних вредности појединачних начина рада </w:t>
      </w:r>
      <w:r w:rsidRPr="00B03342">
        <w:rPr>
          <w:rFonts w:ascii="Arial" w:hAnsi="Arial" w:cs="Arial"/>
          <w:i/>
          <w:iCs/>
          <w:color w:val="000000"/>
          <w:lang w:eastAsia="sr-Latn-RS"/>
        </w:rPr>
        <w:t>i</w:t>
      </w:r>
      <w:r w:rsidRPr="00B03342">
        <w:rPr>
          <w:rFonts w:ascii="Arial" w:hAnsi="Arial" w:cs="Arial"/>
          <w:color w:val="000000"/>
          <w:lang w:eastAsia="sr-Latn-RS"/>
        </w:rPr>
        <w:t> током периода узорковања.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Масени проток честица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[g/h] или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[g/h] може се кориговати за позадину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једнофилтерску методу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E2E560C" wp14:editId="02A7F5E3">
            <wp:extent cx="5057140" cy="564515"/>
            <wp:effectExtent l="0" t="0" r="0" b="6985"/>
            <wp:docPr id="190" name="Picture 190" descr="A mathematical formula expressing q_pm as a function involving mass flow rates, a summation term with a weighting factor, and a ratio of consta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 mathematical formula expressing q_pm as a function involving mass flow rates, a summation term with a weighting factor, and a ratio of constants.&#10;&#10;Description generated by A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06"/>
        <w:gridCol w:w="185"/>
        <w:gridCol w:w="890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честица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прикупљених честица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 за узорковање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прикупљених честица из ваздуха за разређивање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ваздуха за разређивање који je прошао кроз филтере за узорковање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разређивања у начину рада </w:t>
            </w:r>
            <w:r w:rsidRPr="00B03342">
              <w:rPr>
                <w:rFonts w:ascii="Arial" w:hAnsi="Arial" w:cs="Arial"/>
                <w:i/>
                <w:iCs/>
                <w:lang w:eastAsia="sr-Latn-RS"/>
              </w:rPr>
              <w:t>i</w:t>
            </w:r>
            <w:r w:rsidRPr="00B03342">
              <w:rPr>
                <w:rFonts w:ascii="Arial" w:hAnsi="Arial" w:cs="Arial"/>
                <w:lang w:eastAsia="sr-Latn-RS"/>
              </w:rPr>
              <w:t> (видети једначину (7-28) у тачки 2.2.2.2.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0090ABC2" wp14:editId="4919DDFC">
                  <wp:extent cx="755650" cy="262255"/>
                  <wp:effectExtent l="0" t="0" r="6350" b="4445"/>
                  <wp:docPr id="189" name="Picture 189" descr="A close-up of a handwritten lowercase letter q followed by the letters m, e, d, and f in a serif font styl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 close-up of a handwritten lowercase letter q followed by the letters m, e, d, and f in a serif font style.&#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55650" cy="26225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просечан еквивалентни масени проток разређеног издувног гасa на влажној основи [kg/s]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За вишефилтерску методу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065F957" wp14:editId="631B3B72">
            <wp:extent cx="5057140" cy="501015"/>
            <wp:effectExtent l="0" t="0" r="0" b="0"/>
            <wp:docPr id="188" name="Picture 188" descr="A mathematical formula involving variables m, q, D, and constants, with fractions and parentheses, labeled as equation 7-5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 mathematical formula involving variables m, q, D, and constants, with fractions and parentheses, labeled as equation 7-58.&#10;&#10;Description generated by AI"/>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
        <w:gridCol w:w="174"/>
        <w:gridCol w:w="97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масени проток честица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честица прикупљених у начину рада </w:t>
            </w:r>
            <w:r w:rsidRPr="00B03342">
              <w:rPr>
                <w:rFonts w:ascii="Arial" w:hAnsi="Arial" w:cs="Arial"/>
                <w:i/>
                <w:iCs/>
                <w:lang w:eastAsia="sr-Latn-RS"/>
              </w:rPr>
              <w:t>i</w:t>
            </w:r>
            <w:r w:rsidRPr="00B03342">
              <w:rPr>
                <w:rFonts w:ascii="Arial" w:hAnsi="Arial" w:cs="Arial"/>
                <w:lang w:eastAsia="sr-Latn-RS"/>
              </w:rPr>
              <w:t>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sep</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 за узорковање честица у начину рада </w:t>
            </w:r>
            <w:r w:rsidRPr="00B03342">
              <w:rPr>
                <w:rFonts w:ascii="Arial" w:hAnsi="Arial" w:cs="Arial"/>
                <w:i/>
                <w:iCs/>
                <w:lang w:eastAsia="sr-Latn-RS"/>
              </w:rPr>
              <w:t>i</w:t>
            </w:r>
            <w:r w:rsidRPr="00B03342">
              <w:rPr>
                <w:rFonts w:ascii="Arial" w:hAnsi="Arial" w:cs="Arial"/>
                <w:lang w:eastAsia="sr-Latn-RS"/>
              </w:rPr>
              <w:t>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f,d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прикупљених честица из ваздуха за разређивање [mg]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ваздуха за разређивање који je прошао кроз филтере за узорковање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разређивања (видети једначину (7-28) у тачки 2.2.2.2. овог прилога)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lang w:eastAsia="sr-Latn-RS"/>
              </w:rPr>
              <w:t> </w:t>
            </w:r>
            <w:r w:rsidRPr="00B03342">
              <w:rPr>
                <w:rFonts w:ascii="Arial" w:hAnsi="Arial" w:cs="Arial"/>
                <w:vertAlign w:val="subscript"/>
                <w:lang w:eastAsia="sr-Latn-RS"/>
              </w:rPr>
              <w:t>medf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еквивалентан масени проток разређеног издувног гасa на влажној основи начину рада </w:t>
            </w:r>
            <w:r w:rsidRPr="00B03342">
              <w:rPr>
                <w:rFonts w:ascii="Arial" w:hAnsi="Arial" w:cs="Arial"/>
                <w:i/>
                <w:iCs/>
                <w:lang w:eastAsia="sr-Latn-RS"/>
              </w:rPr>
              <w:t>i</w:t>
            </w:r>
            <w:r w:rsidRPr="00B03342">
              <w:rPr>
                <w:rFonts w:ascii="Arial" w:hAnsi="Arial" w:cs="Arial"/>
                <w:lang w:eastAsia="sr-Latn-RS"/>
              </w:rPr>
              <w:t> [kg/s]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oбaвља више од једног мерења, тада се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f,d</w:t>
      </w:r>
      <w:r w:rsidRPr="00B03342">
        <w:rPr>
          <w:rFonts w:ascii="Arial" w:hAnsi="Arial" w:cs="Arial"/>
          <w:color w:val="000000"/>
          <w:lang w:eastAsia="sr-Latn-RS"/>
        </w:rPr>
        <w:t>/</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замењује с </w:t>
      </w:r>
      <w:r w:rsidRPr="00B03342">
        <w:rPr>
          <w:rFonts w:ascii="Arial" w:hAnsi="Arial" w:cs="Arial"/>
          <w:color w:val="000000"/>
          <w:lang w:val="en-US"/>
        </w:rPr>
        <w:drawing>
          <wp:inline distT="0" distB="0" distL="0" distR="0" wp14:anchorId="26C47123" wp14:editId="59352314">
            <wp:extent cx="954405" cy="262255"/>
            <wp:effectExtent l="0" t="0" r="0" b="4445"/>
            <wp:docPr id="187" name="Picture 187" descr="The image shows a mathematical expression with the fraction m sub f comma d over m sub 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he image shows a mathematical expression with the fraction m sub f comma d over m sub d.&#10;&#10;Description generated by AI"/>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54405" cy="262255"/>
                    </a:xfrm>
                    <a:prstGeom prst="rect">
                      <a:avLst/>
                    </a:prstGeom>
                    <a:noFill/>
                    <a:ln>
                      <a:noFill/>
                    </a:ln>
                  </pic:spPr>
                </pic:pic>
              </a:graphicData>
            </a:graphic>
          </wp:inline>
        </w:drawing>
      </w:r>
      <w:r w:rsidRPr="00B03342">
        <w:rPr>
          <w:rFonts w:ascii="Arial" w:hAnsi="Arial" w:cs="Arial"/>
          <w:color w:val="000000"/>
          <w:lang w:eastAsia="sr-Latn-RS"/>
        </w:rPr>
        <w:t>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Циклусни рад и специфичне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 Гасoвите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2.4.1.1. Динамички испитни циклуси (NRTC и LSI-NRTC) и RMC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Упућује се на тачке 2.1. и 2.2. за неразређени односно разређени издувни гас. вредности резултата за снагу </w:t>
      </w:r>
      <w:r w:rsidRPr="00B03342">
        <w:rPr>
          <w:rFonts w:ascii="Arial" w:hAnsi="Arial" w:cs="Arial"/>
          <w:i/>
          <w:iCs/>
          <w:color w:val="000000"/>
          <w:lang w:eastAsia="sr-Latn-RS"/>
        </w:rPr>
        <w:t>P</w:t>
      </w:r>
      <w:r w:rsidRPr="00B03342">
        <w:rPr>
          <w:rFonts w:ascii="Arial" w:hAnsi="Arial" w:cs="Arial"/>
          <w:color w:val="000000"/>
          <w:lang w:eastAsia="sr-Latn-RS"/>
        </w:rPr>
        <w:t> [kW] интегришу се током интервалa испитивања. Укупни рад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act</w:t>
      </w:r>
      <w:r w:rsidRPr="00B03342">
        <w:rPr>
          <w:rFonts w:ascii="Arial" w:hAnsi="Arial" w:cs="Arial"/>
          <w:color w:val="000000"/>
          <w:lang w:eastAsia="sr-Latn-RS"/>
        </w:rPr>
        <w:t> [kWh] рачуна се помоћу једначине (7-59):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68FAE86" wp14:editId="312738FA">
            <wp:extent cx="5057140" cy="445135"/>
            <wp:effectExtent l="0" t="0" r="0" b="0"/>
            <wp:docPr id="186" name="Picture 186" descr="The image shows a mathematical formula for calculating work involving summations, constants, and variables related to power, time intervals, and rotational spe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The image shows a mathematical formula for calculating work involving summations, constants, and variables related to power, time intervals, and rotational speed.&#10;&#10;Description generated by AI"/>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60"/>
        <w:gridCol w:w="438"/>
        <w:gridCol w:w="890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снага мотора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брзина мотора [o/min]</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T</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закретни момент мотора [Nm]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мерни интервал [s]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су помоћни уређаји уграђени у складу с Додатком 2. Прилога 8 ове уредбе, не прилагођава се тренутни закретни момент мотора у једначини (7-59). Ако нису уграђени потребни помоћни уређаји који су требали бити уграђени за потребе испитивања односно ако су уграђени помоћни уређаји који су требали бити уклоњени за потребе испитивања, у складу с тачком 6.3.2. овог прилога, односно тачком 6.3.3. Прилога 8 ове уредбе, вредност </w:t>
      </w:r>
      <w:r w:rsidRPr="00B03342">
        <w:rPr>
          <w:rFonts w:ascii="Arial" w:hAnsi="Arial" w:cs="Arial"/>
          <w:i/>
          <w:iCs/>
          <w:color w:val="000000"/>
          <w:lang w:eastAsia="sr-Latn-RS"/>
        </w:rPr>
        <w:t>T</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koja се употребљава у једначини (7-59) прилагођава се помоћу једначине (7-60):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07"/>
        <w:gridCol w:w="24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w:t>
            </w:r>
            <w:r w:rsidRPr="00B03342">
              <w:rPr>
                <w:rFonts w:ascii="Arial" w:hAnsi="Arial" w:cs="Arial"/>
                <w:vertAlign w:val="subscript"/>
                <w:lang w:eastAsia="sr-Latn-RS"/>
              </w:rPr>
              <w:t>,meaс</w:t>
            </w:r>
            <w:r w:rsidRPr="00B03342">
              <w:rPr>
                <w:rFonts w:ascii="Arial" w:hAnsi="Arial" w:cs="Arial"/>
                <w:lang w:eastAsia="sr-Latn-RS"/>
              </w:rPr>
              <w:t> +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(7-60)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4"/>
        <w:gridCol w:w="166"/>
        <w:gridCol w:w="976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,meaс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вредност тренутног закретног момента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одговарајућа вредност обртног момента потребног за погон помоћних уређаја утврђена у складу с једначином (6-18) Прилога 8 ове уредбе.</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рачунаjу се на следећи начин зависно о врсти испитног циклуса.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8C190AF" wp14:editId="44D85673">
            <wp:extent cx="5057140" cy="389890"/>
            <wp:effectExtent l="0" t="0" r="0" b="0"/>
            <wp:docPr id="185" name="Picture 185" descr="A mathematical formula showing efficiency as the ratio of mass of gas to the mass of water, labeled as equation 7-6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 mathematical formula showing efficiency as the ratio of mass of gas to the mass of water, labeled as equation 7-61.&#10;&#10;Description generated by A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81"/>
        <w:gridCol w:w="469"/>
        <w:gridCol w:w="875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емисије [g/испитивање]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циклусни рад [kWh]</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NRTC циклуса, за гасoвите емисије које нису CO</w:t>
      </w:r>
      <w:r w:rsidRPr="00B03342">
        <w:rPr>
          <w:rFonts w:ascii="Arial" w:hAnsi="Arial" w:cs="Arial"/>
          <w:color w:val="000000"/>
          <w:vertAlign w:val="subscript"/>
          <w:lang w:eastAsia="sr-Latn-RS"/>
        </w:rPr>
        <w:t>2</w:t>
      </w:r>
      <w:r w:rsidRPr="00B03342">
        <w:rPr>
          <w:rFonts w:ascii="Arial" w:hAnsi="Arial" w:cs="Arial"/>
          <w:color w:val="000000"/>
          <w:lang w:eastAsia="sr-Latn-RS"/>
        </w:rPr>
        <w:t>, коначни резултат испитивања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је пондерисани просек испитивања с хладним покретањем и испитивања с топлим покретањем помоћу једначине (7-62):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A79618E" wp14:editId="5DA04E04">
            <wp:extent cx="5057140" cy="445135"/>
            <wp:effectExtent l="0" t="0" r="0" b="0"/>
            <wp:docPr id="184" name="Picture 184" descr="A mathematical formula expressing e_gas as a fraction with weighted sums of m_cold, m_hot, W_act,cold, and W_act,hot in the numerator and denominator respectivel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mathematical formula expressing e_gas as a fraction with weighted sums of m_cold, m_hot, W_act,cold, and W_act,hot in the numerator and denominator respectively.&#10;&#10;Description generated by A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7"/>
        <w:gridCol w:w="93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масена емисија гасoва NRTC циклуса с хладним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хладним покретањем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масена емисија гасoва NRTC циклуса с хладним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топлим покретањем [kWh]</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NRTC циклуса, за CO</w:t>
      </w:r>
      <w:r w:rsidRPr="00B03342">
        <w:rPr>
          <w:rFonts w:ascii="Arial" w:hAnsi="Arial" w:cs="Arial"/>
          <w:color w:val="000000"/>
          <w:vertAlign w:val="subscript"/>
          <w:lang w:eastAsia="sr-Latn-RS"/>
        </w:rPr>
        <w:t>2</w:t>
      </w:r>
      <w:r w:rsidRPr="00B03342">
        <w:rPr>
          <w:rFonts w:ascii="Arial" w:hAnsi="Arial" w:cs="Arial"/>
          <w:color w:val="000000"/>
          <w:lang w:eastAsia="sr-Latn-RS"/>
        </w:rPr>
        <w:t> коначни резултат испитивања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[g/kWh] рачуна се из испитивања с топлим покретањем помоћу једначине (7-63):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9DDC997" wp14:editId="7C8B9366">
            <wp:extent cx="5104765" cy="389890"/>
            <wp:effectExtent l="0" t="0" r="635" b="0"/>
            <wp:docPr id="183" name="Picture 183" descr="The equation shows the ratio of mCO2,hot to Wact,hot labeled as eCO2,hot with the equation number 7-6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The equation shows the ratio of mCO2,hot to Wact,hot labeled as eCO2,hot with the equation number 7-63.&#10;&#10;Description generated by AI"/>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04765"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09"/>
        <w:gridCol w:w="929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масене емисије CO</w:t>
            </w:r>
            <w:r w:rsidRPr="00B03342">
              <w:rPr>
                <w:rFonts w:ascii="Arial" w:hAnsi="Arial" w:cs="Arial"/>
                <w:vertAlign w:val="subscript"/>
                <w:lang w:eastAsia="sr-Latn-RS"/>
              </w:rPr>
              <w:t>2</w:t>
            </w:r>
            <w:r w:rsidRPr="00B03342">
              <w:rPr>
                <w:rFonts w:ascii="Arial" w:hAnsi="Arial" w:cs="Arial"/>
                <w:lang w:eastAsia="sr-Latn-RS"/>
              </w:rPr>
              <w:t> током NRTC циклуса с топлим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топлим покретањем [kWh]</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2.4.1.2. NRSC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рачунаjу се помоћу једначине (7-64):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1A29F54" wp14:editId="26C702F4">
            <wp:extent cx="5057140" cy="564515"/>
            <wp:effectExtent l="0" t="0" r="0" b="6985"/>
            <wp:docPr id="182" name="Picture 182" descr="A mathematical formula expressing e_gas as the ratio of the sum of the product of q_mgas_i and WF_i over all modes to the sum of the product of P_i and WF_i over all modes, labeled as equation 7-6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 mathematical formula expressing e_gas as the ratio of the sum of the product of q_mgas_i and WF_i over all modes to the sum of the product of P_i and WF_i over all modes, labeled as equation 7-64.&#10;&#10;Description generated by AI"/>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1"/>
        <w:gridCol w:w="166"/>
        <w:gridCol w:w="96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просечни масени проток емисија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мотора за начин рада i [кW] прорачуната сабирањем измерене снаге Pmeas [кW] и снаге потребне за погон помоћних уређаја PAUX [кW], утврђене у складу с једначином (6-8) из Прилога 8 ове уредбе (Pi = Pmeas + PAUX)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Nmode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у примењивом NRSC-у с дискретним начинима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 Емисије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2.4.2.1. Динамички испитни циклуси (NRTC и LSI-NRTC) и RMC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честица рачунаjу се помоћу једначине (7-61) где се вредности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и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замењују вредностима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[g/kWh] односно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[g/испитивање]: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BC90F47" wp14:editId="2B5BD8F5">
            <wp:extent cx="5057140" cy="389890"/>
            <wp:effectExtent l="0" t="0" r="0" b="0"/>
            <wp:docPr id="181" name="Picture 181" descr="A mathematical formula showing e sub PM equals m sub PM divided by W sub act with the equation number 7-6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 mathematical formula showing e sub PM equals m sub PM divided by W sub act with the equation number 7-65.&#10;&#10;Description generated by AI"/>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0"/>
        <w:gridCol w:w="178"/>
        <w:gridCol w:w="985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емисије честица обрачуната према тачки 2.3.1.1. или тачки 2.3.1.2. овог прилога [g/испитивање]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циклусни рад [kWh]</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Емисије композитног динамичког циклуса (односно NRTC циклуса с хладним покретањем и NRTC циклуса с топлим покретањем) рачунаjу се на начин приказан у тачки 2.4.1.1.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2.4.2.2. NRSC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Специфична емисија честица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[g/kWh] рачуна се помоћу једначине (7-66) или (7-67):</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једнофилтерску методу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D9EF163" wp14:editId="559F609E">
            <wp:extent cx="5057140" cy="445135"/>
            <wp:effectExtent l="0" t="0" r="0" b="0"/>
            <wp:docPr id="180" name="Picture 180" descr="The image shows a mathematical formula for q subscript m PM divided by the sum from i equals 1 to N mode of P subscript i times WF subscript i, labeled as equation 7-6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The image shows a mathematical formula for q subscript m PM divided by the sum from i equals 1 to N mode of P subscript i times WF subscript i, labeled as equation 7-66.&#10;&#10;Description generated by AI"/>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1"/>
        <w:gridCol w:w="166"/>
        <w:gridCol w:w="96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мотора за начин рада i [кW] прорачуната сабирањем измерене снаге Pmeas [кW] и снаге потребне за погон помоћних уређаја P</w:t>
            </w:r>
            <w:r w:rsidRPr="00B03342">
              <w:rPr>
                <w:rFonts w:ascii="Arial" w:hAnsi="Arial" w:cs="Arial"/>
                <w:vertAlign w:val="subscript"/>
                <w:lang w:eastAsia="sr-Latn-RS"/>
              </w:rPr>
              <w:t>AUX</w:t>
            </w:r>
            <w:r w:rsidRPr="00B03342">
              <w:rPr>
                <w:rFonts w:ascii="Arial" w:hAnsi="Arial" w:cs="Arial"/>
                <w:lang w:eastAsia="sr-Latn-RS"/>
              </w:rPr>
              <w:t> [кW], утврђене у складу с једначином (6-8) из Прилога 8 ове уредбе (Pi = Pmeas + P</w:t>
            </w:r>
            <w:r w:rsidRPr="00B03342">
              <w:rPr>
                <w:rFonts w:ascii="Arial" w:hAnsi="Arial" w:cs="Arial"/>
                <w:vertAlign w:val="subscript"/>
                <w:lang w:eastAsia="sr-Latn-RS"/>
              </w:rPr>
              <w:t>AUX</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честица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Nmode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у примењивом NRSC-у с дискретним начинима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вишефилтерску методу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E4A7EC3" wp14:editId="6AEDF839">
            <wp:extent cx="5057140" cy="501015"/>
            <wp:effectExtent l="0" t="0" r="0" b="0"/>
            <wp:docPr id="179" name="Picture 179" descr="A mathematical formula showing ePM as the ratio of the sum of the product of qnPMi and WFi over the sum of the product of Pi and WFi.&#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 mathematical formula showing ePM as the ratio of the sum of the product of qnPMi and WFi over the sum of the product of Pi and WFi.&#10;&#10;Description generated by AI"/>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1"/>
        <w:gridCol w:w="166"/>
        <w:gridCol w:w="96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снага мотора за начин рада i [кW] прорачуната сабирањем измерене снаге Pmeas [кW] и снаге потребне за погон помоћних уређаја PAUX [кW], утврђене у складу с једначином (6-8) из Прилога 8 ове уредбе (Pi = Pmeas + PAUX)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PM</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масени проток честица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Nmode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у примењивом NRSC-у с дискретним начинима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једнофилтерску методу, ефективни фактор пондерисања, </w:t>
      </w:r>
      <w:r w:rsidRPr="00B03342">
        <w:rPr>
          <w:rFonts w:ascii="Arial" w:hAnsi="Arial" w:cs="Arial"/>
          <w:i/>
          <w:iCs/>
          <w:color w:val="000000"/>
          <w:lang w:eastAsia="sr-Latn-RS"/>
        </w:rPr>
        <w:t>WF</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color w:val="000000"/>
          <w:lang w:eastAsia="sr-Latn-RS"/>
        </w:rPr>
        <w:t>, за сваки се начин радa рачуна помоћу једначине (7-68):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6588670" wp14:editId="4D2A4789">
            <wp:extent cx="5057140" cy="445135"/>
            <wp:effectExtent l="0" t="0" r="0" b="0"/>
            <wp:docPr id="178" name="Picture 178" descr="A mathematical formula showing WF_ei as the ratio of the product of m_sepi and Q_medf to the product of m_sep and Q_mmsdfi, labeled as equation 7-6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 mathematical formula showing WF_ei as the ratio of the product of m_sepi and Q_medf to the product of m_sep and Q_mmsdfi, labeled as equation 7-68.&#10;&#10;Description generated by AI"/>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0"/>
        <w:gridCol w:w="166"/>
        <w:gridCol w:w="907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филтере за узорковање честица у начину рада </w:t>
            </w:r>
            <w:r w:rsidRPr="00B03342">
              <w:rPr>
                <w:rFonts w:ascii="Arial" w:hAnsi="Arial" w:cs="Arial"/>
                <w:i/>
                <w:iCs/>
                <w:lang w:eastAsia="sr-Latn-RS"/>
              </w:rPr>
              <w:t>i</w:t>
            </w:r>
            <w:r w:rsidRPr="00B03342">
              <w:rPr>
                <w:rFonts w:ascii="Arial" w:hAnsi="Arial" w:cs="Arial"/>
                <w:lang w:eastAsia="sr-Latn-RS"/>
              </w:rPr>
              <w:t>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A072C3B" wp14:editId="3038CEFE">
                  <wp:extent cx="755650" cy="262255"/>
                  <wp:effectExtent l="0" t="0" r="6350" b="4445"/>
                  <wp:docPr id="177" name="Picture 177" descr="A close-up of a mathematical expression showing the variable q followed by the letters medf under a horizontal lin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 close-up of a mathematical expression showing the variable q followed by the letters medf under a horizontal line.&#10;&#10;Description generated by AI"/>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55650" cy="26225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просечан еквивалентни масени проток разређеног издувног гасa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edf</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еквивалентан масени проток разређеног издувног гасa у начину рада </w:t>
            </w:r>
            <w:r w:rsidRPr="00B03342">
              <w:rPr>
                <w:rFonts w:ascii="Arial" w:hAnsi="Arial" w:cs="Arial"/>
                <w:i/>
                <w:iCs/>
                <w:lang w:eastAsia="sr-Latn-RS"/>
              </w:rPr>
              <w:t>i</w:t>
            </w:r>
            <w:r w:rsidRPr="00B03342">
              <w:rPr>
                <w:rFonts w:ascii="Arial" w:hAnsi="Arial" w:cs="Arial"/>
                <w:lang w:eastAsia="sr-Latn-RS"/>
              </w:rPr>
              <w:t>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sep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разређеног дима који je прошао кроз филтере за узорковање честица [kg]</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 ефективних фактора пондерисања мора бити унутар ± 0,005 (апсолутна вредност) факторa пондерисања наведених у Додатку 1. Прилога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2.4.3. Прилагођавање за системе за контролу емисије с неучесталом (периодичном) регенерацијом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У случају мотора, осим оних који припадају категорији RLL, опремљених системима за накнадну обраду издувних гасова с неучесталом (периодичном) регенерацијом (види тачку 6.6.2. Прилога 8 ове уредбе), специфичне емисије гасовитих и крутих загађујућих материја обрачунате у складу с тач. 2.4.1. и 2.4.2. овог прилога коригују се примењивим мултипликативним фактором прилагођавања или примењивим адитивним фактором прилагођавања. Ако током испитивања није спроведена </w:t>
      </w:r>
      <w:r w:rsidRPr="00B03342">
        <w:rPr>
          <w:rFonts w:ascii="Arial" w:hAnsi="Arial" w:cs="Arial"/>
          <w:color w:val="000000"/>
          <w:lang w:eastAsia="sr-Latn-RS"/>
        </w:rPr>
        <w:lastRenderedPageBreak/>
        <w:t>неучестала регенерација, примењује се фактор прилагођавања на већу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rу,m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rу,a</w:t>
      </w:r>
      <w:r w:rsidRPr="00B03342">
        <w:rPr>
          <w:rFonts w:ascii="Arial" w:hAnsi="Arial" w:cs="Arial"/>
          <w:color w:val="000000"/>
          <w:lang w:eastAsia="sr-Latn-RS"/>
        </w:rPr>
        <w:t>). Ако je током испитивања спроведена неучестала регенерација, примењује се фактор прилагођавања на мању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rd,a</w:t>
      </w:r>
      <w:r w:rsidRPr="00B03342">
        <w:rPr>
          <w:rFonts w:ascii="Arial" w:hAnsi="Arial" w:cs="Arial"/>
          <w:color w:val="000000"/>
          <w:lang w:eastAsia="sr-Latn-RS"/>
        </w:rPr>
        <w:t>). У случају NRSC-а с дискретним начинима, када су фактори прилагођавања одређени за сваки начин рада, примењују се за сваки начин рада током обрачуна резултата пондерисане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2.4.4. Прилагођавање за фактор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Специфичне емисије гасовитих и чврстих загађујућих материја обрачунате у складу с тач. 2.4.1. и 2.4.2. овог прилога, укључујући и фактор прилагођавања за неучестале регенерације у складу с тачком 2.4.3. овог прилога, ако је примењиво, потребно је прилагодити примењивим мултипликативним или адитивним фактором погоршања утврђенима у складу са захтевима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 Умеравање протокa разређених издувних гасoва (систем CVS) и повезани обрачуни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CVS умерава се помоћу тачног мерача протока и регулатора протока. Проток кроз систем мери се с различитим поставкама регулатора те се мере контролни параметри система и повезују с протоком.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Могу се примењивати различити типови мерача протока, нпр. умерена Вентуријева цев, умерени ламинарни мерач протока, умерени мерач турбине.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2.5.1. Волуметричка пумпа (PDP)</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Сви параметри који се односе на пумпу мере се истовремено с параметрима који се односе на умерну Вентуријеву цев која је серијски спојена с пумпом. Обрачунати проток (у m</w:t>
      </w:r>
      <w:r w:rsidRPr="00B03342">
        <w:rPr>
          <w:rFonts w:ascii="Arial" w:hAnsi="Arial" w:cs="Arial"/>
          <w:color w:val="000000"/>
          <w:vertAlign w:val="superscript"/>
          <w:lang w:eastAsia="sr-Latn-RS"/>
        </w:rPr>
        <w:t>3</w:t>
      </w:r>
      <w:r w:rsidRPr="00B03342">
        <w:rPr>
          <w:rFonts w:ascii="Arial" w:hAnsi="Arial" w:cs="Arial"/>
          <w:color w:val="000000"/>
          <w:lang w:eastAsia="sr-Latn-RS"/>
        </w:rPr>
        <w:t>/s на улазном отвору пумпе, при апсолутном притиску и температури) уцртава се у графикон у односу на корелацијску функцију која одговара специфичној комбинацији параметара пумпе. Одређује се линеарна једначина којом се повезују проток пумпе и корелацијска функција. Ако CVS има погон с више различитих брзина обртања, умеравање се спроводи за сваки употребљени распон.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време умеравања температура се мора одржавати стабилном.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Цурење на свим спојевима и цевоводима између умерне Вентуријеве цеви и пумпе CVS-a требa одржавати нижим од 0,3 % најниже тачке протока (најстрожа поставка регулатора и најнижа брзина волуметричке пумпе).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Проток ваздуха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CVS</w:t>
      </w:r>
      <w:r w:rsidRPr="00B03342">
        <w:rPr>
          <w:rFonts w:ascii="Arial" w:hAnsi="Arial" w:cs="Arial"/>
          <w:color w:val="000000"/>
          <w:lang w:eastAsia="sr-Latn-RS"/>
        </w:rPr>
        <w:t>) на свакој поставци регулатора (минимално 6 поставки) рачуна се у стандардним m</w:t>
      </w:r>
      <w:r w:rsidRPr="00B03342">
        <w:rPr>
          <w:rFonts w:ascii="Arial" w:hAnsi="Arial" w:cs="Arial"/>
          <w:color w:val="000000"/>
          <w:vertAlign w:val="superscript"/>
          <w:lang w:eastAsia="sr-Latn-RS"/>
        </w:rPr>
        <w:t>3</w:t>
      </w:r>
      <w:r w:rsidRPr="00B03342">
        <w:rPr>
          <w:rFonts w:ascii="Arial" w:hAnsi="Arial" w:cs="Arial"/>
          <w:color w:val="000000"/>
          <w:lang w:eastAsia="sr-Latn-RS"/>
        </w:rPr>
        <w:t>/s из података с мерача протока користећи се произвођачевом прописаном методом. Проток ваздуха затим се претвара у проток пумпе (</w:t>
      </w:r>
      <w:r w:rsidRPr="00B03342">
        <w:rPr>
          <w:rFonts w:ascii="Arial" w:hAnsi="Arial" w:cs="Arial"/>
          <w:i/>
          <w:iCs/>
          <w:color w:val="000000"/>
          <w:lang w:eastAsia="sr-Latn-RS"/>
        </w:rPr>
        <w:t>V</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у m</w:t>
      </w:r>
      <w:r w:rsidRPr="00B03342">
        <w:rPr>
          <w:rFonts w:ascii="Arial" w:hAnsi="Arial" w:cs="Arial"/>
          <w:color w:val="000000"/>
          <w:vertAlign w:val="superscript"/>
          <w:lang w:eastAsia="sr-Latn-RS"/>
        </w:rPr>
        <w:t>3</w:t>
      </w:r>
      <w:r w:rsidRPr="00B03342">
        <w:rPr>
          <w:rFonts w:ascii="Arial" w:hAnsi="Arial" w:cs="Arial"/>
          <w:color w:val="000000"/>
          <w:lang w:eastAsia="sr-Latn-RS"/>
        </w:rPr>
        <w:t>/обртај при апсолутној температури и притиску на улазном отвору пумпе, помоћу једначине (7-69):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E69ADE9" wp14:editId="074169A3">
            <wp:extent cx="5057140" cy="501015"/>
            <wp:effectExtent l="0" t="0" r="0" b="0"/>
            <wp:docPr id="176" name="Picture 176" descr="A mathematical formula expressing V0 as a function of q, v, c, vS, n, T, and pP with constants and variables arranged in a fraction and multiplication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 mathematical formula expressing V0 as a function of q, v, c, vS, n, T, and pP with constants and variables arranged in a fraction and multiplication format.&#10;&#10;Description generated by AI"/>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17"/>
        <w:gridCol w:w="252"/>
        <w:gridCol w:w="94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CVS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ваздуха при стандардним условима (101,325 kPa, 273,15 K)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на улазном отвору пумпе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пумпе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пумпе [обр/s]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Да би се узеле у обзир интеракције промена притисака на пумпи те степен губитка пумпе, корелацијска функција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[s/обр] између брзине пумпе, разлике притисака од улазног до излазног отвора пумпе и апсолутног притисака на излазу пумпе рачуна се помоћу једначине (7-70):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37E4936" wp14:editId="4ECB82E5">
            <wp:extent cx="5057140" cy="445135"/>
            <wp:effectExtent l="0" t="0" r="0" b="0"/>
            <wp:docPr id="175" name="Picture 175" descr="The formula shows x sub zero equals one over n times the square root of delta p sub p over p sub p.&#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he formula shows x sub zero equals one over n times the square root of delta p sub p over p sub p.&#10;&#10;Description generated by AI"/>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2"/>
        <w:gridCol w:w="299"/>
        <w:gridCol w:w="946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разлика притисакa од улазног до излазног отворa пумпе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излазном отвору пумпе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пумпе [обр/s]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добијање умеравања употребљава се линеарна апроксимација методом најмањих квадрата помоћу једначине (7-71):</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41"/>
        <w:gridCol w:w="285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r w:rsidRPr="00B03342">
              <w:rPr>
                <w:rFonts w:ascii="Arial" w:hAnsi="Arial" w:cs="Arial"/>
                <w:lang w:eastAsia="sr-Latn-RS"/>
              </w:rPr>
              <w:t> </w:t>
            </w:r>
            <w:r w:rsidRPr="00B03342">
              <w:rPr>
                <w:rFonts w:ascii="Arial" w:hAnsi="Arial" w:cs="Arial"/>
                <w:vertAlign w:val="subscript"/>
                <w:lang w:eastAsia="sr-Latn-RS"/>
              </w:rPr>
              <w:t>0</w:t>
            </w:r>
            <w:r w:rsidRPr="00B03342">
              <w:rPr>
                <w:rFonts w:ascii="Arial" w:hAnsi="Arial" w:cs="Arial"/>
                <w:lang w:eastAsia="sr-Latn-RS"/>
              </w:rPr>
              <w:t> = </w:t>
            </w: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0</w:t>
            </w:r>
            <w:r w:rsidRPr="00B03342">
              <w:rPr>
                <w:rFonts w:ascii="Arial" w:hAnsi="Arial" w:cs="Arial"/>
                <w:lang w:eastAsia="sr-Latn-RS"/>
              </w:rPr>
              <w:t> –</w:t>
            </w:r>
            <w:r w:rsidRPr="00B03342">
              <w:rPr>
                <w:rFonts w:ascii="Arial" w:hAnsi="Arial" w:cs="Arial"/>
                <w:i/>
                <w:iCs/>
                <w:lang w:eastAsia="sr-Latn-RS"/>
              </w:rPr>
              <w:t>m</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(7-71)</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 чему </w:t>
      </w:r>
      <w:r w:rsidRPr="00B03342">
        <w:rPr>
          <w:rFonts w:ascii="Arial" w:hAnsi="Arial" w:cs="Arial"/>
          <w:i/>
          <w:iCs/>
          <w:color w:val="000000"/>
          <w:lang w:eastAsia="sr-Latn-RS"/>
        </w:rPr>
        <w:t>D</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[m</w:t>
      </w:r>
      <w:r w:rsidRPr="00B03342">
        <w:rPr>
          <w:rFonts w:ascii="Arial" w:hAnsi="Arial" w:cs="Arial"/>
          <w:color w:val="000000"/>
          <w:vertAlign w:val="superscript"/>
          <w:lang w:eastAsia="sr-Latn-RS"/>
        </w:rPr>
        <w:t>3</w:t>
      </w:r>
      <w:r w:rsidRPr="00B03342">
        <w:rPr>
          <w:rFonts w:ascii="Arial" w:hAnsi="Arial" w:cs="Arial"/>
          <w:color w:val="000000"/>
          <w:lang w:eastAsia="sr-Latn-RS"/>
        </w:rPr>
        <w:t>/обр] и </w:t>
      </w:r>
      <w:r w:rsidRPr="00B03342">
        <w:rPr>
          <w:rFonts w:ascii="Arial" w:hAnsi="Arial" w:cs="Arial"/>
          <w:i/>
          <w:iCs/>
          <w:color w:val="000000"/>
          <w:lang w:eastAsia="sr-Latn-RS"/>
        </w:rPr>
        <w:t>m</w:t>
      </w:r>
      <w:r w:rsidRPr="00B03342">
        <w:rPr>
          <w:rFonts w:ascii="Arial" w:hAnsi="Arial" w:cs="Arial"/>
          <w:color w:val="000000"/>
          <w:lang w:eastAsia="sr-Latn-RS"/>
        </w:rPr>
        <w:t> [m</w:t>
      </w:r>
      <w:r w:rsidRPr="00B03342">
        <w:rPr>
          <w:rFonts w:ascii="Arial" w:hAnsi="Arial" w:cs="Arial"/>
          <w:color w:val="000000"/>
          <w:vertAlign w:val="superscript"/>
          <w:lang w:eastAsia="sr-Latn-RS"/>
        </w:rPr>
        <w:t>3</w:t>
      </w:r>
      <w:r w:rsidRPr="00B03342">
        <w:rPr>
          <w:rFonts w:ascii="Arial" w:hAnsi="Arial" w:cs="Arial"/>
          <w:color w:val="000000"/>
          <w:lang w:eastAsia="sr-Latn-RS"/>
        </w:rPr>
        <w:t>/s], одсечак односно нагиб, описују регресијски правац.</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За систем CVS с вишеструким брзинама, криве умеравања добијене за различите распоне протока пумпе морају бити приближно паралелне, а вредности одсечка (</w:t>
      </w:r>
      <w:r w:rsidRPr="00B03342">
        <w:rPr>
          <w:rFonts w:ascii="Arial" w:hAnsi="Arial" w:cs="Arial"/>
          <w:i/>
          <w:iCs/>
          <w:color w:val="000000"/>
          <w:lang w:eastAsia="sr-Latn-RS"/>
        </w:rPr>
        <w:t>D</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морају се повећавати како се смањује распон протока пумпе.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Вредности добијене једначином морају бити унутар ±0,5 % обрачунате вредности </w:t>
      </w:r>
      <w:r w:rsidRPr="00B03342">
        <w:rPr>
          <w:rFonts w:ascii="Arial" w:hAnsi="Arial" w:cs="Arial"/>
          <w:i/>
          <w:iCs/>
          <w:color w:val="000000"/>
          <w:lang w:eastAsia="sr-Latn-RS"/>
        </w:rPr>
        <w:t>V</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Вредности </w:t>
      </w:r>
      <w:r w:rsidRPr="00B03342">
        <w:rPr>
          <w:rFonts w:ascii="Arial" w:hAnsi="Arial" w:cs="Arial"/>
          <w:i/>
          <w:iCs/>
          <w:color w:val="000000"/>
          <w:lang w:eastAsia="sr-Latn-RS"/>
        </w:rPr>
        <w:t>m</w:t>
      </w:r>
      <w:r w:rsidRPr="00B03342">
        <w:rPr>
          <w:rFonts w:ascii="Arial" w:hAnsi="Arial" w:cs="Arial"/>
          <w:color w:val="000000"/>
          <w:lang w:eastAsia="sr-Latn-RS"/>
        </w:rPr>
        <w:t> биће различите од пумпе до пумпе. Доток честица с временом доводи до смањења губитка пумпе, што се огледа у мањим вредностима </w:t>
      </w:r>
      <w:r w:rsidRPr="00B03342">
        <w:rPr>
          <w:rFonts w:ascii="Arial" w:hAnsi="Arial" w:cs="Arial"/>
          <w:i/>
          <w:iCs/>
          <w:color w:val="000000"/>
          <w:lang w:eastAsia="sr-Latn-RS"/>
        </w:rPr>
        <w:t>m</w:t>
      </w:r>
      <w:r w:rsidRPr="00B03342">
        <w:rPr>
          <w:rFonts w:ascii="Arial" w:hAnsi="Arial" w:cs="Arial"/>
          <w:color w:val="000000"/>
          <w:lang w:eastAsia="sr-Latn-RS"/>
        </w:rPr>
        <w:t>. Стога се умеравање спроводи при покретању пумпе, након већег одржавања и ако укупна верификација система указује на промену степена губитка пумпе.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2.5.2. Вентуријева цев критичног протока (CFV)</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Умеравање CFV-a базира се на једначини протокa за Вентуријеву цев критичног протокa. Проток гасa функција је притисака и температуре на улазу у Вентуријеву цев.</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Да би се одредио распон критичног протока,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w:t>
      </w:r>
      <w:r w:rsidRPr="00B03342">
        <w:rPr>
          <w:rFonts w:ascii="Arial" w:hAnsi="Arial" w:cs="Arial"/>
          <w:color w:val="000000"/>
          <w:lang w:eastAsia="sr-Latn-RS"/>
        </w:rPr>
        <w:t> се уцртава у графикон као функција притисака на улазном отвору Вентуријеве цеви. При критичном (загушеном) протоку,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w:t>
      </w:r>
      <w:r w:rsidRPr="00B03342">
        <w:rPr>
          <w:rFonts w:ascii="Arial" w:hAnsi="Arial" w:cs="Arial"/>
          <w:color w:val="000000"/>
          <w:lang w:eastAsia="sr-Latn-RS"/>
        </w:rPr>
        <w:t> има релативно константну вредност. Како се притисак смањује (вакуум се повећава), Вентуријева цев више није загушена 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w:t>
      </w:r>
      <w:r w:rsidRPr="00B03342">
        <w:rPr>
          <w:rFonts w:ascii="Arial" w:hAnsi="Arial" w:cs="Arial"/>
          <w:color w:val="000000"/>
          <w:lang w:eastAsia="sr-Latn-RS"/>
        </w:rPr>
        <w:t> се смањује, што указује на то да CFV ради изван допуштеног распона. Проток ваздуха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CVS</w:t>
      </w:r>
      <w:r w:rsidRPr="00B03342">
        <w:rPr>
          <w:rFonts w:ascii="Arial" w:hAnsi="Arial" w:cs="Arial"/>
          <w:color w:val="000000"/>
          <w:lang w:eastAsia="sr-Latn-RS"/>
        </w:rPr>
        <w:t>) на свакој поставци регулатора (минимално 8 поставки) рачуна се у стандардним m</w:t>
      </w:r>
      <w:r w:rsidRPr="00B03342">
        <w:rPr>
          <w:rFonts w:ascii="Arial" w:hAnsi="Arial" w:cs="Arial"/>
          <w:color w:val="000000"/>
          <w:vertAlign w:val="superscript"/>
          <w:lang w:eastAsia="sr-Latn-RS"/>
        </w:rPr>
        <w:t>3</w:t>
      </w:r>
      <w:r w:rsidRPr="00B03342">
        <w:rPr>
          <w:rFonts w:ascii="Arial" w:hAnsi="Arial" w:cs="Arial"/>
          <w:color w:val="000000"/>
          <w:lang w:eastAsia="sr-Latn-RS"/>
        </w:rPr>
        <w:t>/s из података с мерача протока користећи се произвођачевом прописаном методом. Умерени коефицијент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 </w:t>
      </w:r>
      <w:r w:rsidRPr="00B03342">
        <w:rPr>
          <w:rFonts w:ascii="Arial" w:hAnsi="Arial" w:cs="Arial"/>
          <w:color w:val="000000"/>
          <w:lang w:val="en-US"/>
        </w:rPr>
        <w:drawing>
          <wp:inline distT="0" distB="0" distL="0" distR="0" wp14:anchorId="706962C8" wp14:editId="15FF7976">
            <wp:extent cx="1359535" cy="230505"/>
            <wp:effectExtent l="0" t="0" r="0" b="0"/>
            <wp:docPr id="174" name="Picture 174" descr="Square brackets enclose a fraction with the numerator containing the square root of K multiplied by meters to the fourth power and seconds, and the denominator containing kilogra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quare brackets enclose a fraction with the numerator containing the square root of K multiplied by meters to the fourth power and seconds, and the denominator containing kilograms.&#10;&#10;Description generated by AI"/>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59535" cy="230505"/>
                    </a:xfrm>
                    <a:prstGeom prst="rect">
                      <a:avLst/>
                    </a:prstGeom>
                    <a:noFill/>
                    <a:ln>
                      <a:noFill/>
                    </a:ln>
                  </pic:spPr>
                </pic:pic>
              </a:graphicData>
            </a:graphic>
          </wp:inline>
        </w:drawing>
      </w:r>
      <w:r w:rsidRPr="00B03342">
        <w:rPr>
          <w:rFonts w:ascii="Arial" w:hAnsi="Arial" w:cs="Arial"/>
          <w:color w:val="000000"/>
          <w:lang w:eastAsia="sr-Latn-RS"/>
        </w:rPr>
        <w:t> рачуна се из података о умеравању за сваку поставку помоћу једначине (7-72):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4E35F70" wp14:editId="21D10EAD">
            <wp:extent cx="5057140" cy="501015"/>
            <wp:effectExtent l="0" t="0" r="0" b="0"/>
            <wp:docPr id="173" name="Picture 173" descr="The image shows a mathematical formula expressing Kv as the product of q, v, c, v, s, and the square root of T divided by Pp, labeled as equation 7-7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The image shows a mathematical formula expressing Kv as the product of q, v, c, v, s, and the square root of T divided by Pp, labeled as equation 7-72.&#10;&#10;Description generated by AI"/>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2"/>
        <w:gridCol w:w="251"/>
        <w:gridCol w:w="944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ваздуха при стандардним условима (101,325 kPa, 273,15 K),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на улазном отвору Вентуријеве цеви[K]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притисак на улазном отвору Вентуријеве цеви[kPa]</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Рачунаjу се просек вредности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w:t>
      </w:r>
      <w:r w:rsidRPr="00B03342">
        <w:rPr>
          <w:rFonts w:ascii="Arial" w:hAnsi="Arial" w:cs="Arial"/>
          <w:color w:val="000000"/>
          <w:lang w:eastAsia="sr-Latn-RS"/>
        </w:rPr>
        <w:t> и стандардна девијација. Стандардна девијација не сме прелазити ±0,3 % од просекa вредности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V</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2.5.3. Подзвучна Вентуријева цев (SSV)</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Умеравање SSV-a базира се на једначини протока за подзвучну Вентуријеву цев. Проток гасa функција je притисакa и температуре на улазном отвору, пада притисака између улазног отвора и сужења SSV-a, како је приказано у једначини (7-40).</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Проток ваздуха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при свакоj поставци регулатора (минимално 16 поставки) рачуна се у стандардним m</w:t>
      </w:r>
      <w:r w:rsidRPr="00B03342">
        <w:rPr>
          <w:rFonts w:ascii="Arial" w:hAnsi="Arial" w:cs="Arial"/>
          <w:color w:val="000000"/>
          <w:vertAlign w:val="superscript"/>
          <w:lang w:eastAsia="sr-Latn-RS"/>
        </w:rPr>
        <w:t>3</w:t>
      </w:r>
      <w:r w:rsidRPr="00B03342">
        <w:rPr>
          <w:rFonts w:ascii="Arial" w:hAnsi="Arial" w:cs="Arial"/>
          <w:color w:val="000000"/>
          <w:lang w:eastAsia="sr-Latn-RS"/>
        </w:rPr>
        <w:t>/s из података с мерача протока користећи се произвођачевом прописаном методом. Коефицијент протока рачуна се из података умеравања за сваку поставку помоћу једначине (7-73):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C2CC528" wp14:editId="0C948639">
            <wp:extent cx="5057140" cy="620395"/>
            <wp:effectExtent l="0" t="0" r="0" b="8255"/>
            <wp:docPr id="172" name="Picture 172" descr="A mathematical formula expressing the coefficient of drag as a function of various parameters including velocity, density, and pressure ter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mathematical formula expressing the coefficient of drag as a function of various parameters including velocity, density, and pressure terms.&#10;&#10;Description generated by AI"/>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57140" cy="62039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6"/>
        <w:gridCol w:w="196"/>
        <w:gridCol w:w="967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скуп константи и конверзије мерних јединица= 0,0056940</w:t>
            </w:r>
          </w:p>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8EDE165" wp14:editId="18ECAB5F">
                  <wp:extent cx="3609975" cy="341630"/>
                  <wp:effectExtent l="0" t="0" r="9525" b="1270"/>
                  <wp:docPr id="171" name="Picture 171" descr="A mathematical expression showing a constant multiplied by a bracketed unit fraction involving cubic meters per minute, kilopascals to the three-halves power, and inverse square millimet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 mathematical expression showing a constant multiplied by a bracketed unit fraction involving cubic meters per minute, kilopascals to the three-halves power, and inverse square millimeters.&#10;&#10;Description generated by AI"/>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09975" cy="341630"/>
                          </a:xfrm>
                          <a:prstGeom prst="rect">
                            <a:avLst/>
                          </a:prstGeom>
                          <a:noFill/>
                          <a:ln>
                            <a:noFill/>
                          </a:ln>
                        </pic:spPr>
                      </pic:pic>
                    </a:graphicData>
                  </a:graphic>
                </wp:inline>
              </w:drawing>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ваздуха при стандардним условима (101,325 kPa, 273,15 K),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на улазном отвору Вентуријеве цеви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пречник сужења SSV-a [mm]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 сужења SSV-a у односу на апсолутни статички притисак на улазном отвору = 1 – Δ</w:t>
            </w:r>
            <w:r w:rsidRPr="00B03342">
              <w:rPr>
                <w:rFonts w:ascii="Arial" w:hAnsi="Arial" w:cs="Arial"/>
                <w:i/>
                <w:iCs/>
                <w:lang w:eastAsia="sr-Latn-RS"/>
              </w:rPr>
              <w:t>p</w:t>
            </w:r>
            <w:r w:rsidRPr="00B03342">
              <w:rPr>
                <w:rFonts w:ascii="Arial" w:hAnsi="Arial" w:cs="Arial"/>
                <w:lang w:eastAsia="sr-Latn-RS"/>
              </w:rPr>
              <w:t>/</w:t>
            </w: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p</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 пречникa сужења SSV-a, </w:t>
            </w: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V</w:t>
            </w:r>
            <w:r w:rsidRPr="00B03342">
              <w:rPr>
                <w:rFonts w:ascii="Arial" w:hAnsi="Arial" w:cs="Arial"/>
                <w:lang w:eastAsia="sr-Latn-RS"/>
              </w:rPr>
              <w:t> у односу на унутрашњи пречник улазне цеви </w:t>
            </w:r>
            <w:r w:rsidRPr="00B03342">
              <w:rPr>
                <w:rFonts w:ascii="Arial" w:hAnsi="Arial" w:cs="Arial"/>
                <w:i/>
                <w:iCs/>
                <w:lang w:eastAsia="sr-Latn-RS"/>
              </w:rPr>
              <w:t>D</w:t>
            </w:r>
            <w:r w:rsidRPr="00B03342">
              <w:rPr>
                <w:rFonts w:ascii="Arial" w:hAnsi="Arial" w:cs="Arial"/>
                <w:lang w:eastAsia="sr-Latn-RS"/>
              </w:rPr>
              <w:t>]</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Како би се одредио распон подзвучног протока, вредност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уцртава се у графикон као функција Рејнолдсовог бројa Re на сужењу SSV-a. </w:t>
      </w:r>
      <w:r w:rsidRPr="00B03342">
        <w:rPr>
          <w:rFonts w:ascii="Arial" w:hAnsi="Arial" w:cs="Arial"/>
          <w:i/>
          <w:iCs/>
          <w:color w:val="000000"/>
          <w:lang w:eastAsia="sr-Latn-RS"/>
        </w:rPr>
        <w:t>Re</w:t>
      </w:r>
      <w:r w:rsidRPr="00B03342">
        <w:rPr>
          <w:rFonts w:ascii="Arial" w:hAnsi="Arial" w:cs="Arial"/>
          <w:color w:val="000000"/>
          <w:lang w:eastAsia="sr-Latn-RS"/>
        </w:rPr>
        <w:t> на сужењу SSV-a рачуна се помоћу једначине (7-74):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A772085" wp14:editId="57277352">
            <wp:extent cx="5057140" cy="890270"/>
            <wp:effectExtent l="0" t="0" r="0" b="5080"/>
            <wp:docPr id="170" name="Picture 170" descr="Two mathematical formulas are shown, one for Reynolds number and another for dynamic viscosity, both with variables and constants in a tabular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wo mathematical formulas are shown, one for Reynolds number and another for dynamic viscosity, both with variables and constants in a tabular format.&#10;&#10;Description generated by AI"/>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057140" cy="89027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2"/>
        <w:gridCol w:w="251"/>
        <w:gridCol w:w="944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A</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скуп константи и конверзије мерних јединица= 27,43831</w:t>
            </w:r>
          </w:p>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1F7FE4F0" wp14:editId="087E7DFE">
                  <wp:extent cx="1971675" cy="334010"/>
                  <wp:effectExtent l="0" t="0" r="9525" b="8890"/>
                  <wp:docPr id="169" name="Picture 169" descr="A mathematical expression showing units of kilograms per cubic meter multiplied by minutes per second and millimeters per met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 mathematical expression showing units of kilograms per cubic meter multiplied by minutes per second and millimeters per meter.&#10;&#10;Description generated by AI"/>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71675" cy="334010"/>
                          </a:xfrm>
                          <a:prstGeom prst="rect">
                            <a:avLst/>
                          </a:prstGeom>
                          <a:noFill/>
                          <a:ln>
                            <a:noFill/>
                          </a:ln>
                        </pic:spPr>
                      </pic:pic>
                    </a:graphicData>
                  </a:graphic>
                </wp:inline>
              </w:drawing>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V</w:t>
            </w:r>
            <w:r w:rsidRPr="00B03342">
              <w:rPr>
                <w:rFonts w:ascii="Arial" w:hAnsi="Arial" w:cs="Arial"/>
                <w:i/>
                <w:iCs/>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проток ваздуха при стандардним условима (101,325 kPa, 273,15 K),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пречник сужења SSV-a [mm]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или динамичка вискозност гасa [kg/(m 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1,458 × 10</w:t>
            </w:r>
            <w:r w:rsidRPr="00B03342">
              <w:rPr>
                <w:rFonts w:ascii="Arial" w:hAnsi="Arial" w:cs="Arial"/>
                <w:vertAlign w:val="superscript"/>
                <w:lang w:eastAsia="sr-Latn-RS"/>
              </w:rPr>
              <w:t>6</w:t>
            </w:r>
            <w:r w:rsidRPr="00B03342">
              <w:rPr>
                <w:rFonts w:ascii="Arial" w:hAnsi="Arial" w:cs="Arial"/>
                <w:lang w:eastAsia="sr-Latn-RS"/>
              </w:rPr>
              <w:t> (емпиријска константа) [kg/(m s K</w:t>
            </w:r>
            <w:r w:rsidRPr="00B03342">
              <w:rPr>
                <w:rFonts w:ascii="Arial" w:hAnsi="Arial" w:cs="Arial"/>
                <w:vertAlign w:val="superscript"/>
                <w:lang w:eastAsia="sr-Latn-RS"/>
              </w:rPr>
              <w:t>0,5</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110,4 (емпиријска константа) [K]</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Будући да је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улазни податак за једначину </w:t>
      </w:r>
      <w:r w:rsidRPr="00B03342">
        <w:rPr>
          <w:rFonts w:ascii="Arial" w:hAnsi="Arial" w:cs="Arial"/>
          <w:i/>
          <w:iCs/>
          <w:color w:val="000000"/>
          <w:lang w:eastAsia="sr-Latn-RS"/>
        </w:rPr>
        <w:t>Re</w:t>
      </w:r>
      <w:r w:rsidRPr="00B03342">
        <w:rPr>
          <w:rFonts w:ascii="Arial" w:hAnsi="Arial" w:cs="Arial"/>
          <w:color w:val="000000"/>
          <w:lang w:eastAsia="sr-Latn-RS"/>
        </w:rPr>
        <w:t>, обрачуни морају започети с иницијалном претпоставком за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или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умерене Вентуријеве цеви и понављати се све док се </w:t>
      </w:r>
      <w:r w:rsidRPr="00B03342">
        <w:rPr>
          <w:rFonts w:ascii="Arial" w:hAnsi="Arial" w:cs="Arial"/>
          <w:i/>
          <w:iCs/>
          <w:color w:val="000000"/>
          <w:lang w:eastAsia="sr-Latn-RS"/>
        </w:rPr>
        <w:t>q</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не конвергира. Метода конвергенције у једној тачки мора бити тачности до 0,1 % или тачнија.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најмање шеснаест тачака подручја подзвучног протока обрачунате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које произлазе из једначине криве умеравања морају бити унутар ±0,5 % измерене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за сваку тачку умеравања.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 Корекција за померање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2.6.1. Oпшти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Обрачуни у овоме одељку извршавају се како би се одредило поништава ли померање анализатора гасa резултатe испитних интервалa. Ако померање не поништава резултате испитног интервала, одзиви анализатора гаса испитног интервала морају се кориговати за померање у складу с тачком 2.6.2. овог прилога. Одзиви анализатора гаса кориговани за померање примењују се у сваком следећем обрачуну емисија. Прихватљива гранична вредност померања анализатора гаса током испитног интервала одређена je у тачки 8.2.2.2. Прилога 8 ове уредбе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Oпшти испитни поступак следи одредбе наведене у Додатку 1. овог прилога уз концентрације </w:t>
      </w:r>
      <w:r w:rsidRPr="00B03342">
        <w:rPr>
          <w:rFonts w:ascii="Arial" w:hAnsi="Arial" w:cs="Arial"/>
          <w:i/>
          <w:iCs/>
          <w:color w:val="000000"/>
          <w:lang w:eastAsia="sr-Latn-RS"/>
        </w:rPr>
        <w:t>x</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или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val="en-US"/>
        </w:rPr>
        <w:drawing>
          <wp:inline distT="0" distB="0" distL="0" distR="0" wp14:anchorId="77B43297" wp14:editId="5705C955">
            <wp:extent cx="142875" cy="174625"/>
            <wp:effectExtent l="0" t="0" r="9525" b="0"/>
            <wp:docPr id="168" name="Picture 168" descr="A mathematical notation showing the mean of variable X with a horizontal bar above the letter X.&#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 mathematical notation showing the mean of variable X with a horizontal bar above the letter X.&#10;&#10;Description generated by AI"/>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B03342">
        <w:rPr>
          <w:rFonts w:ascii="Arial" w:hAnsi="Arial" w:cs="Arial"/>
          <w:color w:val="000000"/>
          <w:lang w:eastAsia="sr-Latn-RS"/>
        </w:rPr>
        <w:t> које се замењују концентрацијама </w:t>
      </w:r>
      <w:r w:rsidRPr="00B03342">
        <w:rPr>
          <w:rFonts w:ascii="Arial" w:hAnsi="Arial" w:cs="Arial"/>
          <w:i/>
          <w:iCs/>
          <w:color w:val="000000"/>
          <w:lang w:eastAsia="sr-Latn-RS"/>
        </w:rPr>
        <w:t>c</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или </w:t>
      </w:r>
      <w:r w:rsidRPr="00B03342">
        <w:rPr>
          <w:rFonts w:ascii="Arial" w:hAnsi="Arial" w:cs="Arial"/>
          <w:color w:val="000000"/>
          <w:lang w:val="en-US"/>
        </w:rPr>
        <w:drawing>
          <wp:inline distT="0" distB="0" distL="0" distR="0" wp14:anchorId="1409B319" wp14:editId="53288B2A">
            <wp:extent cx="142875" cy="191135"/>
            <wp:effectExtent l="0" t="0" r="9525" b="0"/>
            <wp:docPr id="167" name="Picture 167" descr="A mathematical notation showing the letter C with a horizontal bar above i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 mathematical notation showing the letter C with a horizontal bar above it.&#10;&#10;Description generated by AI"/>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2875" cy="191135"/>
                    </a:xfrm>
                    <a:prstGeom prst="rect">
                      <a:avLst/>
                    </a:prstGeom>
                    <a:noFill/>
                    <a:ln>
                      <a:noFill/>
                    </a:ln>
                  </pic:spPr>
                </pic:pic>
              </a:graphicData>
            </a:graphic>
          </wp:inline>
        </w:drawing>
      </w:r>
      <w:r w:rsidRPr="00B03342">
        <w:rPr>
          <w:rFonts w:ascii="Arial" w:hAnsi="Arial" w:cs="Arial"/>
          <w:color w:val="000000"/>
          <w:lang w:eastAsia="sr-Latn-RS"/>
        </w:rPr>
        <w:t>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2.6.2. Поступак обрачуна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Корекција за померање рачуна се помоћу једначине (7-76):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56FB63A" wp14:editId="39AEC575">
            <wp:extent cx="5057140" cy="564515"/>
            <wp:effectExtent l="0" t="0" r="0" b="6985"/>
            <wp:docPr id="166" name="Picture 166" descr="A mathematical formula expressing cidriftcor as a function of crefzero, crefspan, crefzerp, cprezero, cpostzero, cprespan, and cpostspan variables with a fraction and subtraction oper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 mathematical formula expressing cidriftcor as a function of crefzero, crefspan, crefzerp, cprezero, cpostzero, cprespan, and cpostspan variables with a fraction and subtraction operations.&#10;&#10;Description generated by AI"/>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8"/>
        <w:gridCol w:w="166"/>
        <w:gridCol w:w="964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driftcor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коригована за померање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refzero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концентрација нултог гасa која обично износи 0, осим ако није позната нека друга вредност исте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refсpan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концентрација распонског гасa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prespan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гаса на концентрацију распонског гаса у интервалу пре испитивања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postspan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гаса на концентрацију распонског гаса у интервалу након испитивања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или</w:t>
            </w:r>
          </w:p>
          <w:p w:rsidR="00DA0CD9" w:rsidRPr="00B03342" w:rsidRDefault="00DA0CD9" w:rsidP="00E26D3C">
            <w:pPr>
              <w:spacing w:after="150"/>
              <w:rPr>
                <w:rFonts w:ascii="Arial" w:hAnsi="Arial" w:cs="Arial"/>
                <w:lang w:eastAsia="sr-Latn-RS"/>
              </w:rPr>
            </w:pPr>
            <w:r w:rsidRPr="00B03342">
              <w:rPr>
                <w:rFonts w:ascii="Arial" w:hAnsi="Arial" w:cs="Arial"/>
                <w:lang w:val="en-US"/>
              </w:rPr>
              <w:lastRenderedPageBreak/>
              <w:drawing>
                <wp:inline distT="0" distB="0" distL="0" distR="0" wp14:anchorId="00D9F30C" wp14:editId="444DC928">
                  <wp:extent cx="127000" cy="158750"/>
                  <wp:effectExtent l="0" t="0" r="6350" b="0"/>
                  <wp:docPr id="165" name="Picture 165" descr="A mathematical notation showing the letter C with a horizontal bar above i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 mathematical notation showing the letter C with a horizontal bar above it.&#10;&#10;Description generated by AI"/>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7000" cy="1587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забележена, односно измерена, концентрација током испитивања, пре корекције за померање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c</w:t>
            </w:r>
            <w:r w:rsidRPr="00B03342">
              <w:rPr>
                <w:rFonts w:ascii="Arial" w:hAnsi="Arial" w:cs="Arial"/>
                <w:lang w:eastAsia="sr-Latn-RS"/>
              </w:rPr>
              <w:t> </w:t>
            </w:r>
            <w:r w:rsidRPr="00B03342">
              <w:rPr>
                <w:rFonts w:ascii="Arial" w:hAnsi="Arial" w:cs="Arial"/>
                <w:vertAlign w:val="subscript"/>
                <w:lang w:eastAsia="sr-Latn-RS"/>
              </w:rPr>
              <w:t>prezero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нултог гасa у интервалу пре испитивања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postzero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нултог гасa у интервалу након испитивања [ppm]</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Обрачуни емисија на основу моларне масе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Индекси</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23"/>
        <w:gridCol w:w="927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color w:val="000000"/>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Величина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abs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air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Ваздух, суви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atmos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Атмосферски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bkgnd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Позадина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Угљеник</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Умерна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CFV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Вентуријева цев критичног протока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Коригована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Ваздух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Разређени издувни гас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Сува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Сирови издувни гас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exp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Очекивана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eq</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Еквивалентна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Тренутно мерење (нпр.: 1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Појединачни елемент серије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idle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Стање мировања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init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Почетна количина, обично пре испитивања емисија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max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Максимална (вршна) вредност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Минимална вредност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out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Излазна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part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Делимична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PDP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Волуметричка пумпа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raw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Неразређени издувни гас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rev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Обртај</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Стање засићења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slip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Губитак волуметричке пумпе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smpl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Узорковање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Распонска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Подзвучна Вентуријева цев</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test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total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uncor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Некоригована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vac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 вакууму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weight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Умерена тежина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wet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количина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Нулта количина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 Симболи за хемијску равнотежу</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 количина гаса за разређивање или вишак ваздуха по молу издувног гаса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 количина воде у издувном гасу по молу издувног гаса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Ccombdry</w:t>
      </w:r>
      <w:r w:rsidRPr="00B03342">
        <w:rPr>
          <w:rFonts w:ascii="Arial" w:hAnsi="Arial" w:cs="Arial"/>
          <w:color w:val="000000"/>
          <w:lang w:eastAsia="sr-Latn-RS"/>
        </w:rPr>
        <w:t> = количина угљеника из горива у издувном гасу по молу сувог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H2Oexhdry</w:t>
      </w:r>
      <w:r w:rsidRPr="00B03342">
        <w:rPr>
          <w:rFonts w:ascii="Arial" w:hAnsi="Arial" w:cs="Arial"/>
          <w:color w:val="000000"/>
          <w:lang w:eastAsia="sr-Latn-RS"/>
        </w:rPr>
        <w:t> = количина воде у диму по сувом молу сувог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prod/intdry</w:t>
      </w:r>
      <w:r w:rsidRPr="00B03342">
        <w:rPr>
          <w:rFonts w:ascii="Arial" w:hAnsi="Arial" w:cs="Arial"/>
          <w:color w:val="000000"/>
          <w:lang w:eastAsia="sr-Latn-RS"/>
        </w:rPr>
        <w:t> = количина сувих стехиометријских продуката по молу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dil/exhdry</w:t>
      </w:r>
      <w:r w:rsidRPr="00B03342">
        <w:rPr>
          <w:rFonts w:ascii="Arial" w:hAnsi="Arial" w:cs="Arial"/>
          <w:color w:val="000000"/>
          <w:lang w:eastAsia="sr-Latn-RS"/>
        </w:rPr>
        <w:t> = количина гаса за разређивање и/или вишак ваздуха по молу сувог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int/exhdry</w:t>
      </w:r>
      <w:r w:rsidRPr="00B03342">
        <w:rPr>
          <w:rFonts w:ascii="Arial" w:hAnsi="Arial" w:cs="Arial"/>
          <w:color w:val="000000"/>
          <w:lang w:eastAsia="sr-Latn-RS"/>
        </w:rPr>
        <w:t> = количина улазног ваздуха потребног за производњу стварних продуката горења по молу сувог (неразређеног или разређеног)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raw/exhdry</w:t>
      </w:r>
      <w:r w:rsidRPr="00B03342">
        <w:rPr>
          <w:rFonts w:ascii="Arial" w:hAnsi="Arial" w:cs="Arial"/>
          <w:color w:val="000000"/>
          <w:lang w:eastAsia="sr-Latn-RS"/>
        </w:rPr>
        <w:t> = количина неразређеног издувног гасa, без вишка ваздуха, по молу сувог (неразређеног или разређеног)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O2intdry</w:t>
      </w:r>
      <w:r w:rsidRPr="00B03342">
        <w:rPr>
          <w:rFonts w:ascii="Arial" w:hAnsi="Arial" w:cs="Arial"/>
          <w:color w:val="000000"/>
          <w:lang w:eastAsia="sr-Latn-RS"/>
        </w:rPr>
        <w:t> = количина O</w:t>
      </w:r>
      <w:r w:rsidRPr="00B03342">
        <w:rPr>
          <w:rFonts w:ascii="Arial" w:hAnsi="Arial" w:cs="Arial"/>
          <w:color w:val="000000"/>
          <w:vertAlign w:val="subscript"/>
          <w:lang w:eastAsia="sr-Latn-RS"/>
        </w:rPr>
        <w:t>2</w:t>
      </w:r>
      <w:r w:rsidRPr="00B03342">
        <w:rPr>
          <w:rFonts w:ascii="Arial" w:hAnsi="Arial" w:cs="Arial"/>
          <w:color w:val="000000"/>
          <w:lang w:eastAsia="sr-Latn-RS"/>
        </w:rPr>
        <w:t> у улазном ваздуху по молу сувог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CO2intdry</w:t>
      </w:r>
      <w:r w:rsidRPr="00B03342">
        <w:rPr>
          <w:rFonts w:ascii="Arial" w:hAnsi="Arial" w:cs="Arial"/>
          <w:color w:val="000000"/>
          <w:lang w:eastAsia="sr-Latn-RS"/>
        </w:rPr>
        <w:t> = количина CO</w:t>
      </w:r>
      <w:r w:rsidRPr="00B03342">
        <w:rPr>
          <w:rFonts w:ascii="Arial" w:hAnsi="Arial" w:cs="Arial"/>
          <w:color w:val="000000"/>
          <w:vertAlign w:val="subscript"/>
          <w:lang w:eastAsia="sr-Latn-RS"/>
        </w:rPr>
        <w:t>2</w:t>
      </w:r>
      <w:r w:rsidRPr="00B03342">
        <w:rPr>
          <w:rFonts w:ascii="Arial" w:hAnsi="Arial" w:cs="Arial"/>
          <w:color w:val="000000"/>
          <w:lang w:eastAsia="sr-Latn-RS"/>
        </w:rPr>
        <w:t> у улазном ваздуху по молу сувог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H2Ointdry</w:t>
      </w:r>
      <w:r w:rsidRPr="00B03342">
        <w:rPr>
          <w:rFonts w:ascii="Arial" w:hAnsi="Arial" w:cs="Arial"/>
          <w:color w:val="000000"/>
          <w:lang w:eastAsia="sr-Latn-RS"/>
        </w:rPr>
        <w:t> = количина H</w:t>
      </w:r>
      <w:r w:rsidRPr="00B03342">
        <w:rPr>
          <w:rFonts w:ascii="Arial" w:hAnsi="Arial" w:cs="Arial"/>
          <w:color w:val="000000"/>
          <w:vertAlign w:val="subscript"/>
          <w:lang w:eastAsia="sr-Latn-RS"/>
        </w:rPr>
        <w:t>2</w:t>
      </w:r>
      <w:r w:rsidRPr="00B03342">
        <w:rPr>
          <w:rFonts w:ascii="Arial" w:hAnsi="Arial" w:cs="Arial"/>
          <w:color w:val="000000"/>
          <w:lang w:eastAsia="sr-Latn-RS"/>
        </w:rPr>
        <w:t>O у улазном ваздуху по молу сувог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CO2int</w:t>
      </w:r>
      <w:r w:rsidRPr="00B03342">
        <w:rPr>
          <w:rFonts w:ascii="Arial" w:hAnsi="Arial" w:cs="Arial"/>
          <w:color w:val="000000"/>
          <w:lang w:eastAsia="sr-Latn-RS"/>
        </w:rPr>
        <w:t> = количина CO</w:t>
      </w:r>
      <w:r w:rsidRPr="00B03342">
        <w:rPr>
          <w:rFonts w:ascii="Arial" w:hAnsi="Arial" w:cs="Arial"/>
          <w:color w:val="000000"/>
          <w:vertAlign w:val="subscript"/>
          <w:lang w:eastAsia="sr-Latn-RS"/>
        </w:rPr>
        <w:t>2</w:t>
      </w:r>
      <w:r w:rsidRPr="00B03342">
        <w:rPr>
          <w:rFonts w:ascii="Arial" w:hAnsi="Arial" w:cs="Arial"/>
          <w:color w:val="000000"/>
          <w:lang w:eastAsia="sr-Latn-RS"/>
        </w:rPr>
        <w:t> у улазном ваздуху по молу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CO2dil</w:t>
      </w:r>
      <w:r w:rsidRPr="00B03342">
        <w:rPr>
          <w:rFonts w:ascii="Arial" w:hAnsi="Arial" w:cs="Arial"/>
          <w:color w:val="000000"/>
          <w:lang w:eastAsia="sr-Latn-RS"/>
        </w:rPr>
        <w:t> = количина CO</w:t>
      </w:r>
      <w:r w:rsidRPr="00B03342">
        <w:rPr>
          <w:rFonts w:ascii="Arial" w:hAnsi="Arial" w:cs="Arial"/>
          <w:color w:val="000000"/>
          <w:vertAlign w:val="subscript"/>
          <w:lang w:eastAsia="sr-Latn-RS"/>
        </w:rPr>
        <w:t>2</w:t>
      </w:r>
      <w:r w:rsidRPr="00B03342">
        <w:rPr>
          <w:rFonts w:ascii="Arial" w:hAnsi="Arial" w:cs="Arial"/>
          <w:color w:val="000000"/>
          <w:lang w:eastAsia="sr-Latn-RS"/>
        </w:rPr>
        <w:t> у гасу за разређивање по молу гаса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lastRenderedPageBreak/>
        <w:t>x</w:t>
      </w:r>
      <w:r w:rsidRPr="00B03342">
        <w:rPr>
          <w:rFonts w:ascii="Arial" w:hAnsi="Arial" w:cs="Arial"/>
          <w:color w:val="000000"/>
          <w:lang w:eastAsia="sr-Latn-RS"/>
        </w:rPr>
        <w:t> </w:t>
      </w:r>
      <w:r w:rsidRPr="00B03342">
        <w:rPr>
          <w:rFonts w:ascii="Arial" w:hAnsi="Arial" w:cs="Arial"/>
          <w:color w:val="000000"/>
          <w:vertAlign w:val="subscript"/>
          <w:lang w:eastAsia="sr-Latn-RS"/>
        </w:rPr>
        <w:t>CO2dildry</w:t>
      </w:r>
      <w:r w:rsidRPr="00B03342">
        <w:rPr>
          <w:rFonts w:ascii="Arial" w:hAnsi="Arial" w:cs="Arial"/>
          <w:color w:val="000000"/>
          <w:lang w:eastAsia="sr-Latn-RS"/>
        </w:rPr>
        <w:t> = количина CO</w:t>
      </w:r>
      <w:r w:rsidRPr="00B03342">
        <w:rPr>
          <w:rFonts w:ascii="Arial" w:hAnsi="Arial" w:cs="Arial"/>
          <w:color w:val="000000"/>
          <w:vertAlign w:val="subscript"/>
          <w:lang w:eastAsia="sr-Latn-RS"/>
        </w:rPr>
        <w:t>2</w:t>
      </w:r>
      <w:r w:rsidRPr="00B03342">
        <w:rPr>
          <w:rFonts w:ascii="Arial" w:hAnsi="Arial" w:cs="Arial"/>
          <w:color w:val="000000"/>
          <w:lang w:eastAsia="sr-Latn-RS"/>
        </w:rPr>
        <w:t> у гасу за разређивање по молу сувог гаса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H2Odildry</w:t>
      </w:r>
      <w:r w:rsidRPr="00B03342">
        <w:rPr>
          <w:rFonts w:ascii="Arial" w:hAnsi="Arial" w:cs="Arial"/>
          <w:color w:val="000000"/>
          <w:lang w:eastAsia="sr-Latn-RS"/>
        </w:rPr>
        <w:t> = количина H</w:t>
      </w:r>
      <w:r w:rsidRPr="00B03342">
        <w:rPr>
          <w:rFonts w:ascii="Arial" w:hAnsi="Arial" w:cs="Arial"/>
          <w:color w:val="000000"/>
          <w:vertAlign w:val="subscript"/>
          <w:lang w:eastAsia="sr-Latn-RS"/>
        </w:rPr>
        <w:t>2</w:t>
      </w:r>
      <w:r w:rsidRPr="00B03342">
        <w:rPr>
          <w:rFonts w:ascii="Arial" w:hAnsi="Arial" w:cs="Arial"/>
          <w:color w:val="000000"/>
          <w:lang w:eastAsia="sr-Latn-RS"/>
        </w:rPr>
        <w:t>O у гасу за разређивање по молу сувог гаса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H2Odil</w:t>
      </w:r>
      <w:r w:rsidRPr="00B03342">
        <w:rPr>
          <w:rFonts w:ascii="Arial" w:hAnsi="Arial" w:cs="Arial"/>
          <w:color w:val="000000"/>
          <w:lang w:eastAsia="sr-Latn-RS"/>
        </w:rPr>
        <w:t> = количина H</w:t>
      </w:r>
      <w:r w:rsidRPr="00B03342">
        <w:rPr>
          <w:rFonts w:ascii="Arial" w:hAnsi="Arial" w:cs="Arial"/>
          <w:color w:val="000000"/>
          <w:vertAlign w:val="subscript"/>
          <w:lang w:eastAsia="sr-Latn-RS"/>
        </w:rPr>
        <w:t>2</w:t>
      </w:r>
      <w:r w:rsidRPr="00B03342">
        <w:rPr>
          <w:rFonts w:ascii="Arial" w:hAnsi="Arial" w:cs="Arial"/>
          <w:color w:val="000000"/>
          <w:lang w:eastAsia="sr-Latn-RS"/>
        </w:rPr>
        <w:t>O у гасу за разређивање по молу гаса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[emission]meas</w:t>
      </w:r>
      <w:r w:rsidRPr="00B03342">
        <w:rPr>
          <w:rFonts w:ascii="Arial" w:hAnsi="Arial" w:cs="Arial"/>
          <w:color w:val="000000"/>
          <w:lang w:eastAsia="sr-Latn-RS"/>
        </w:rPr>
        <w:t> = количина измерених емисија у узорку у одговарајућем анализатору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[emission]dry</w:t>
      </w:r>
      <w:r w:rsidRPr="00B03342">
        <w:rPr>
          <w:rFonts w:ascii="Arial" w:hAnsi="Arial" w:cs="Arial"/>
          <w:color w:val="000000"/>
          <w:lang w:eastAsia="sr-Latn-RS"/>
        </w:rPr>
        <w:t> = количина емисија по сувом молу сувог узорка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H2O[emission]meas</w:t>
      </w:r>
      <w:r w:rsidRPr="00B03342">
        <w:rPr>
          <w:rFonts w:ascii="Arial" w:hAnsi="Arial" w:cs="Arial"/>
          <w:color w:val="000000"/>
          <w:lang w:eastAsia="sr-Latn-RS"/>
        </w:rPr>
        <w:t> = количина воде у узорку на месту детекције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H2Oint</w:t>
      </w:r>
      <w:r w:rsidRPr="00B03342">
        <w:rPr>
          <w:rFonts w:ascii="Arial" w:hAnsi="Arial" w:cs="Arial"/>
          <w:color w:val="000000"/>
          <w:lang w:eastAsia="sr-Latn-RS"/>
        </w:rPr>
        <w:t> = количина воде у улазном ваздуху, базирана на мерењу влажности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 Oсновни параметри и односи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3.3.1. Суви ваздух и хемијске врсте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одељку употребљавају следеће вредности за састав сувог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O2airdry</w:t>
      </w:r>
      <w:r w:rsidRPr="00B03342">
        <w:rPr>
          <w:rFonts w:ascii="Arial" w:hAnsi="Arial" w:cs="Arial"/>
          <w:color w:val="000000"/>
          <w:lang w:eastAsia="sr-Latn-RS"/>
        </w:rPr>
        <w:t> = 0,209445 mol/mol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Arairdry</w:t>
      </w:r>
      <w:r w:rsidRPr="00B03342">
        <w:rPr>
          <w:rFonts w:ascii="Arial" w:hAnsi="Arial" w:cs="Arial"/>
          <w:color w:val="000000"/>
          <w:lang w:eastAsia="sr-Latn-RS"/>
        </w:rPr>
        <w:t> = 0,00934 mol/mol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N2airdry</w:t>
      </w:r>
      <w:r w:rsidRPr="00B03342">
        <w:rPr>
          <w:rFonts w:ascii="Arial" w:hAnsi="Arial" w:cs="Arial"/>
          <w:color w:val="000000"/>
          <w:lang w:eastAsia="sr-Latn-RS"/>
        </w:rPr>
        <w:t> = 0,78084 mol/mol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CO2airdry</w:t>
      </w:r>
      <w:r w:rsidRPr="00B03342">
        <w:rPr>
          <w:rFonts w:ascii="Arial" w:hAnsi="Arial" w:cs="Arial"/>
          <w:color w:val="000000"/>
          <w:lang w:eastAsia="sr-Latn-RS"/>
        </w:rPr>
        <w:t> = 375 μmol/mol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поглављу употребљавају следеће моларне масе или ефективне моларне масе хемијских врста: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air</w:t>
      </w:r>
      <w:r w:rsidRPr="00B03342">
        <w:rPr>
          <w:rFonts w:ascii="Arial" w:hAnsi="Arial" w:cs="Arial"/>
          <w:color w:val="000000"/>
          <w:lang w:eastAsia="sr-Latn-RS"/>
        </w:rPr>
        <w:t> = 28,96559 g/mol (суви ваздух)</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Ar</w:t>
      </w:r>
      <w:r w:rsidRPr="00B03342">
        <w:rPr>
          <w:rFonts w:ascii="Arial" w:hAnsi="Arial" w:cs="Arial"/>
          <w:color w:val="000000"/>
          <w:lang w:eastAsia="sr-Latn-RS"/>
        </w:rPr>
        <w:t> = 39,948 g/mol (аргон)</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w:t>
      </w:r>
      <w:r w:rsidRPr="00B03342">
        <w:rPr>
          <w:rFonts w:ascii="Arial" w:hAnsi="Arial" w:cs="Arial"/>
          <w:color w:val="000000"/>
          <w:lang w:eastAsia="sr-Latn-RS"/>
        </w:rPr>
        <w:t> = 12,0107 g/mol (угљеник)</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w:t>
      </w:r>
      <w:r w:rsidRPr="00B03342">
        <w:rPr>
          <w:rFonts w:ascii="Arial" w:hAnsi="Arial" w:cs="Arial"/>
          <w:color w:val="000000"/>
          <w:lang w:eastAsia="sr-Latn-RS"/>
        </w:rPr>
        <w:t> = 28,0101 g/mol (угљен-моноксид)</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 44,0095 g/mol (угљен-диоксид)</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H</w:t>
      </w:r>
      <w:r w:rsidRPr="00B03342">
        <w:rPr>
          <w:rFonts w:ascii="Arial" w:hAnsi="Arial" w:cs="Arial"/>
          <w:color w:val="000000"/>
          <w:lang w:eastAsia="sr-Latn-RS"/>
        </w:rPr>
        <w:t> = 1,00794 g/mol (атомски водоник)</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H2</w:t>
      </w:r>
      <w:r w:rsidRPr="00B03342">
        <w:rPr>
          <w:rFonts w:ascii="Arial" w:hAnsi="Arial" w:cs="Arial"/>
          <w:color w:val="000000"/>
          <w:lang w:eastAsia="sr-Latn-RS"/>
        </w:rPr>
        <w:t> = 2,01588 g/mol (молекуларни водоник)</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H2O</w:t>
      </w:r>
      <w:r w:rsidRPr="00B03342">
        <w:rPr>
          <w:rFonts w:ascii="Arial" w:hAnsi="Arial" w:cs="Arial"/>
          <w:color w:val="000000"/>
          <w:lang w:eastAsia="sr-Latn-RS"/>
        </w:rPr>
        <w:t> = 18,01528 g/mol (вода)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He</w:t>
      </w:r>
      <w:r w:rsidRPr="00B03342">
        <w:rPr>
          <w:rFonts w:ascii="Arial" w:hAnsi="Arial" w:cs="Arial"/>
          <w:color w:val="000000"/>
          <w:lang w:eastAsia="sr-Latn-RS"/>
        </w:rPr>
        <w:t> = 4,002602 g/mol (хелијум)</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N</w:t>
      </w:r>
      <w:r w:rsidRPr="00B03342">
        <w:rPr>
          <w:rFonts w:ascii="Arial" w:hAnsi="Arial" w:cs="Arial"/>
          <w:color w:val="000000"/>
          <w:lang w:eastAsia="sr-Latn-RS"/>
        </w:rPr>
        <w:t> = 14,0067 g/mol (атомски азот)</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N2</w:t>
      </w:r>
      <w:r w:rsidRPr="00B03342">
        <w:rPr>
          <w:rFonts w:ascii="Arial" w:hAnsi="Arial" w:cs="Arial"/>
          <w:color w:val="000000"/>
          <w:lang w:eastAsia="sr-Latn-RS"/>
        </w:rPr>
        <w:t> = 28,0134 g/mol (молекуларни азот)</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NOx</w:t>
      </w:r>
      <w:r w:rsidRPr="00B03342">
        <w:rPr>
          <w:rFonts w:ascii="Arial" w:hAnsi="Arial" w:cs="Arial"/>
          <w:color w:val="000000"/>
          <w:lang w:eastAsia="sr-Latn-RS"/>
        </w:rPr>
        <w:t> = 46,0055 g/mol (азотови оксиди</w:t>
      </w:r>
      <w:r w:rsidRPr="00B03342">
        <w:rPr>
          <w:rFonts w:ascii="Arial" w:hAnsi="Arial" w:cs="Arial"/>
          <w:color w:val="000000"/>
          <w:vertAlign w:val="superscript"/>
          <w:lang w:eastAsia="sr-Latn-RS"/>
        </w:rPr>
        <w:t>(*)</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O</w:t>
      </w:r>
      <w:r w:rsidRPr="00B03342">
        <w:rPr>
          <w:rFonts w:ascii="Arial" w:hAnsi="Arial" w:cs="Arial"/>
          <w:color w:val="000000"/>
          <w:lang w:eastAsia="sr-Latn-RS"/>
        </w:rPr>
        <w:t> = 15,9994 g/mol (атомски кисеоник)</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O2</w:t>
      </w:r>
      <w:r w:rsidRPr="00B03342">
        <w:rPr>
          <w:rFonts w:ascii="Arial" w:hAnsi="Arial" w:cs="Arial"/>
          <w:color w:val="000000"/>
          <w:lang w:eastAsia="sr-Latn-RS"/>
        </w:rPr>
        <w:t> = 31,9988 g/mol (молекуларни кисеоник)</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C3H8</w:t>
      </w:r>
      <w:r w:rsidRPr="00B03342">
        <w:rPr>
          <w:rFonts w:ascii="Arial" w:hAnsi="Arial" w:cs="Arial"/>
          <w:color w:val="000000"/>
          <w:lang w:eastAsia="sr-Latn-RS"/>
        </w:rPr>
        <w:t> = 44,09562 g/mol (пропан)</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С</w:t>
      </w:r>
      <w:r w:rsidRPr="00B03342">
        <w:rPr>
          <w:rFonts w:ascii="Arial" w:hAnsi="Arial" w:cs="Arial"/>
          <w:color w:val="000000"/>
          <w:lang w:eastAsia="sr-Latn-RS"/>
        </w:rPr>
        <w:t> = 32,065 g/mol (сумпор)</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HC</w:t>
      </w:r>
      <w:r w:rsidRPr="00B03342">
        <w:rPr>
          <w:rFonts w:ascii="Arial" w:hAnsi="Arial" w:cs="Arial"/>
          <w:color w:val="000000"/>
          <w:lang w:eastAsia="sr-Latn-RS"/>
        </w:rPr>
        <w:t> = 13,875389 g/mol (укупни угљен-водоници</w:t>
      </w:r>
      <w:r w:rsidRPr="00B03342">
        <w:rPr>
          <w:rFonts w:ascii="Arial" w:hAnsi="Arial" w:cs="Arial"/>
          <w:color w:val="000000"/>
          <w:vertAlign w:val="superscript"/>
          <w:lang w:eastAsia="sr-Latn-RS"/>
        </w:rPr>
        <w:t>(**)</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Eфективна моларна маса угљен-водоника одређује се односом атомског водоника и угљеника, α, од 1,85;</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Eфективна моларна маса NO</w:t>
      </w:r>
      <w:r w:rsidRPr="00B03342">
        <w:rPr>
          <w:rFonts w:ascii="Arial" w:hAnsi="Arial" w:cs="Arial"/>
          <w:color w:val="000000"/>
          <w:vertAlign w:val="subscript"/>
          <w:lang w:eastAsia="sr-Latn-RS"/>
        </w:rPr>
        <w:t>x</w:t>
      </w:r>
      <w:r w:rsidRPr="00B03342">
        <w:rPr>
          <w:rFonts w:ascii="Arial" w:hAnsi="Arial" w:cs="Arial"/>
          <w:color w:val="000000"/>
          <w:lang w:eastAsia="sr-Latn-RS"/>
        </w:rPr>
        <w:t> одређује се моларном масом азотових оксида, NO</w:t>
      </w:r>
      <w:r w:rsidRPr="00B03342">
        <w:rPr>
          <w:rFonts w:ascii="Arial" w:hAnsi="Arial" w:cs="Arial"/>
          <w:color w:val="000000"/>
          <w:vertAlign w:val="subscript"/>
          <w:lang w:eastAsia="sr-Latn-RS"/>
        </w:rPr>
        <w:t>2</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овом се одељку употребљава следећа моларна гасна константа </w:t>
      </w:r>
      <w:r w:rsidRPr="00B03342">
        <w:rPr>
          <w:rFonts w:ascii="Arial" w:hAnsi="Arial" w:cs="Arial"/>
          <w:i/>
          <w:iCs/>
          <w:color w:val="000000"/>
          <w:lang w:eastAsia="sr-Latn-RS"/>
        </w:rPr>
        <w:t>R</w:t>
      </w:r>
      <w:r w:rsidRPr="00B03342">
        <w:rPr>
          <w:rFonts w:ascii="Arial" w:hAnsi="Arial" w:cs="Arial"/>
          <w:color w:val="000000"/>
          <w:lang w:eastAsia="sr-Latn-RS"/>
        </w:rPr>
        <w:t> за идеалне гасoве: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R</w:t>
      </w:r>
      <w:r w:rsidRPr="00B03342">
        <w:rPr>
          <w:rFonts w:ascii="Arial" w:hAnsi="Arial" w:cs="Arial"/>
          <w:color w:val="000000"/>
          <w:lang w:eastAsia="sr-Latn-RS"/>
        </w:rPr>
        <w:t> = 8,314472J (mol · K)</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овом се Прилогу употребљавају следећи односи специфичних гасовa </w:t>
      </w:r>
      <w:r w:rsidRPr="00B03342">
        <w:rPr>
          <w:rFonts w:ascii="Arial" w:hAnsi="Arial" w:cs="Arial"/>
          <w:i/>
          <w:iCs/>
          <w:color w:val="000000"/>
          <w:lang w:eastAsia="sr-Latn-RS"/>
        </w:rPr>
        <w:t>γ</w:t>
      </w:r>
      <w:r w:rsidRPr="00B03342">
        <w:rPr>
          <w:rFonts w:ascii="Arial" w:hAnsi="Arial" w:cs="Arial"/>
          <w:color w:val="000000"/>
          <w:lang w:eastAsia="sr-Latn-RS"/>
        </w:rPr>
        <w:t> [J/(kg · K)]/[J/(kg · K)] за ваздух за разређивање и разређени издувни гас:</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γ</w:t>
      </w:r>
      <w:r w:rsidRPr="00B03342">
        <w:rPr>
          <w:rFonts w:ascii="Arial" w:hAnsi="Arial" w:cs="Arial"/>
          <w:color w:val="000000"/>
          <w:lang w:eastAsia="sr-Latn-RS"/>
        </w:rPr>
        <w:t> </w:t>
      </w:r>
      <w:r w:rsidRPr="00B03342">
        <w:rPr>
          <w:rFonts w:ascii="Arial" w:hAnsi="Arial" w:cs="Arial"/>
          <w:color w:val="000000"/>
          <w:vertAlign w:val="subscript"/>
          <w:lang w:eastAsia="sr-Latn-RS"/>
        </w:rPr>
        <w:t>air</w:t>
      </w:r>
      <w:r w:rsidRPr="00B03342">
        <w:rPr>
          <w:rFonts w:ascii="Arial" w:hAnsi="Arial" w:cs="Arial"/>
          <w:color w:val="000000"/>
          <w:lang w:eastAsia="sr-Latn-RS"/>
        </w:rPr>
        <w:t> = 1,399 (однос специфичних температура за улазни ваздух или ваздух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γ</w:t>
      </w:r>
      <w:r w:rsidRPr="00B03342">
        <w:rPr>
          <w:rFonts w:ascii="Arial" w:hAnsi="Arial" w:cs="Arial"/>
          <w:color w:val="000000"/>
          <w:lang w:eastAsia="sr-Latn-RS"/>
        </w:rPr>
        <w:t> </w:t>
      </w:r>
      <w:r w:rsidRPr="00B03342">
        <w:rPr>
          <w:rFonts w:ascii="Arial" w:hAnsi="Arial" w:cs="Arial"/>
          <w:color w:val="000000"/>
          <w:vertAlign w:val="subscript"/>
          <w:lang w:eastAsia="sr-Latn-RS"/>
        </w:rPr>
        <w:t>dil</w:t>
      </w:r>
      <w:r w:rsidRPr="00B03342">
        <w:rPr>
          <w:rFonts w:ascii="Arial" w:hAnsi="Arial" w:cs="Arial"/>
          <w:color w:val="000000"/>
          <w:lang w:eastAsia="sr-Latn-RS"/>
        </w:rPr>
        <w:t> = 1,399 (однос специфичних температура за разређени издувни гас)</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γ</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 1,385 (однос специфичних температура за неразређени издувни гас)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3.3.2. Влажан ваздух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овоме се одељку описује начин на који се одређује количина воде у идеалном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3.3.2.1. Притисак водене паре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Притисак водене паре </w:t>
      </w:r>
      <w:r w:rsidRPr="00B03342">
        <w:rPr>
          <w:rFonts w:ascii="Arial" w:hAnsi="Arial" w:cs="Arial"/>
          <w:i/>
          <w:iCs/>
          <w:color w:val="000000"/>
          <w:lang w:eastAsia="sr-Latn-RS"/>
        </w:rPr>
        <w:t>p</w:t>
      </w:r>
      <w:r w:rsidRPr="00B03342">
        <w:rPr>
          <w:rFonts w:ascii="Arial" w:hAnsi="Arial" w:cs="Arial"/>
          <w:color w:val="000000"/>
          <w:lang w:eastAsia="sr-Latn-RS"/>
        </w:rPr>
        <w:t> </w:t>
      </w:r>
      <w:r w:rsidRPr="00B03342">
        <w:rPr>
          <w:rFonts w:ascii="Arial" w:hAnsi="Arial" w:cs="Arial"/>
          <w:color w:val="000000"/>
          <w:vertAlign w:val="subscript"/>
          <w:lang w:eastAsia="sr-Latn-RS"/>
        </w:rPr>
        <w:t>H2O</w:t>
      </w:r>
      <w:r w:rsidRPr="00B03342">
        <w:rPr>
          <w:rFonts w:ascii="Arial" w:hAnsi="Arial" w:cs="Arial"/>
          <w:color w:val="000000"/>
          <w:lang w:eastAsia="sr-Latn-RS"/>
        </w:rPr>
        <w:t> [kPa] за сваку задату температуру засићења, </w:t>
      </w:r>
      <w:r w:rsidRPr="00B03342">
        <w:rPr>
          <w:rFonts w:ascii="Arial" w:hAnsi="Arial" w:cs="Arial"/>
          <w:i/>
          <w:iCs/>
          <w:color w:val="000000"/>
          <w:lang w:eastAsia="sr-Latn-RS"/>
        </w:rPr>
        <w:t>T</w:t>
      </w:r>
      <w:r w:rsidRPr="00B03342">
        <w:rPr>
          <w:rFonts w:ascii="Arial" w:hAnsi="Arial" w:cs="Arial"/>
          <w:color w:val="000000"/>
          <w:lang w:eastAsia="sr-Latn-RS"/>
        </w:rPr>
        <w:t> </w:t>
      </w:r>
      <w:r w:rsidRPr="00B03342">
        <w:rPr>
          <w:rFonts w:ascii="Arial" w:hAnsi="Arial" w:cs="Arial"/>
          <w:color w:val="000000"/>
          <w:vertAlign w:val="subscript"/>
          <w:lang w:eastAsia="sr-Latn-RS"/>
        </w:rPr>
        <w:t>сat</w:t>
      </w:r>
      <w:r w:rsidRPr="00B03342">
        <w:rPr>
          <w:rFonts w:ascii="Arial" w:hAnsi="Arial" w:cs="Arial"/>
          <w:color w:val="000000"/>
          <w:lang w:eastAsia="sr-Latn-RS"/>
        </w:rPr>
        <w:t> [K], рачуна се помоћу једначини (7-77) или (7-78):</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мерења влажности која се изводе на температурама околине од 0 до 100 °C или мерења влажности која се изводе изнаd супер хлађене воде на температурама околине од –50 до 0 °C:</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772AED67" wp14:editId="44E286F9">
            <wp:extent cx="5112385" cy="675640"/>
            <wp:effectExtent l="0" t="0" r="0" b="0"/>
            <wp:docPr id="164" name="Picture 164" descr="A complex mathematical equation involving exponential, logarithmic, and fractional terms with variables and constants is displaye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A complex mathematical equation involving exponential, logarithmic, and fractional terms with variables and constants is displayed.&#10;&#10;Description generated by AI"/>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12385" cy="6756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16"/>
        <w:gridCol w:w="333"/>
        <w:gridCol w:w="925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притисак водене паре на температури засићења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sat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засићења воде у измереном стању [K]</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мерења влажности која се изводе изнад леда на температурама околине од (– 100 до 0) °C:</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160D05B" wp14:editId="3A25FAFE">
            <wp:extent cx="5057140" cy="564515"/>
            <wp:effectExtent l="0" t="0" r="0" b="6985"/>
            <wp:docPr id="163" name="Picture 163" descr="A complex mathematical formula involving logarithms, temperature variables, and constants is displayed within a large bracke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 complex mathematical formula involving logarithms, temperature variables, and constants is displayed within a large bracket.&#10;&#10;Description generated by AI"/>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7"/>
        <w:gridCol w:w="352"/>
        <w:gridCol w:w="934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sat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температура засићења воде у измереном стању [K]</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3.3.2.2. Тачка рошења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влажност мери као тачка рошења, количина воде у идеалном гасу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w:t>
      </w:r>
      <w:r w:rsidRPr="00B03342">
        <w:rPr>
          <w:rFonts w:ascii="Arial" w:hAnsi="Arial" w:cs="Arial"/>
          <w:color w:val="000000"/>
          <w:lang w:eastAsia="sr-Latn-RS"/>
        </w:rPr>
        <w:t> [mol/mol] добија се помоћу једначине (7-79):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E1AA422" wp14:editId="3F179F97">
            <wp:extent cx="5057140" cy="501015"/>
            <wp:effectExtent l="0" t="0" r="0" b="0"/>
            <wp:docPr id="162" name="Picture 162" descr="A mathematical formula showing the mole fraction of water as the ratio of the partial pressure of water vapor to the total atmospheric press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 mathematical formula showing the mole fraction of water as the ratio of the partial pressure of water vapor to the total atmospheric pressure.&#10;&#10;Description generated by AI"/>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1"/>
        <w:gridCol w:w="218"/>
        <w:gridCol w:w="968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идеалном гасу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притисак водене паре при измереној тачки рошења,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сat</w:t>
            </w:r>
            <w:r w:rsidRPr="00B03342">
              <w:rPr>
                <w:rFonts w:ascii="Arial" w:hAnsi="Arial" w:cs="Arial"/>
                <w:lang w:eastAsia="sr-Latn-RS"/>
              </w:rPr>
              <w:t>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dew</w:t>
            </w:r>
            <w:r w:rsidRPr="00B03342">
              <w:rPr>
                <w:rFonts w:ascii="Arial" w:hAnsi="Arial" w:cs="Arial"/>
                <w:lang w:eastAsia="sr-Latn-RS"/>
              </w:rPr>
              <w:t>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abs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статички апсолутни притисак на влажној основи на месту мерења тачке рошења [kPa].</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3.3.2.3. Релативна влажност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влажност мери као релативна влажност </w:t>
      </w:r>
      <w:r w:rsidRPr="00B03342">
        <w:rPr>
          <w:rFonts w:ascii="Arial" w:hAnsi="Arial" w:cs="Arial"/>
          <w:i/>
          <w:iCs/>
          <w:color w:val="000000"/>
          <w:lang w:eastAsia="sr-Latn-RS"/>
        </w:rPr>
        <w:t>RH %</w:t>
      </w:r>
      <w:r w:rsidRPr="00B03342">
        <w:rPr>
          <w:rFonts w:ascii="Arial" w:hAnsi="Arial" w:cs="Arial"/>
          <w:color w:val="000000"/>
          <w:lang w:eastAsia="sr-Latn-RS"/>
        </w:rPr>
        <w:t>, количина воде у идеалном гасу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w:t>
      </w:r>
      <w:r w:rsidRPr="00B03342">
        <w:rPr>
          <w:rFonts w:ascii="Arial" w:hAnsi="Arial" w:cs="Arial"/>
          <w:color w:val="000000"/>
          <w:lang w:eastAsia="sr-Latn-RS"/>
        </w:rPr>
        <w:t> [mol/mol] рачуна се помоћу једначине (7-80)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8524BA3" wp14:editId="582C4F48">
            <wp:extent cx="5057140" cy="501015"/>
            <wp:effectExtent l="0" t="0" r="0" b="0"/>
            <wp:docPr id="161" name="Picture 161" descr="The image shows a mathematical formula expressing the mole fraction of water vapor as the product of relative humidity percentages divided by 100, multiplied by the ratio of water vapor pressure to ambient press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he image shows a mathematical formula expressing the mole fraction of water vapor as the product of relative humidity percentages divided by 100, multiplied by the ratio of water vapor pressure to ambient pressure.&#10;&#10;Description generated by AI"/>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1"/>
        <w:gridCol w:w="166"/>
        <w:gridCol w:w="98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RH</w:t>
            </w:r>
            <w:r w:rsidRPr="00B03342">
              <w:rPr>
                <w:rFonts w:ascii="Arial" w:hAnsi="Arial" w:cs="Arial"/>
                <w:lang w:eastAsia="sr-Latn-RS"/>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релативна влажност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притисак водене паре при 100 постотној релативној влажности на месту мерења релативне влажности,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sat</w:t>
            </w:r>
            <w:r w:rsidRPr="00B03342">
              <w:rPr>
                <w:rFonts w:ascii="Arial" w:hAnsi="Arial" w:cs="Arial"/>
                <w:lang w:eastAsia="sr-Latn-RS"/>
              </w:rPr>
              <w:t>=</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amb</w:t>
            </w:r>
            <w:r w:rsidRPr="00B03342">
              <w:rPr>
                <w:rFonts w:ascii="Arial" w:hAnsi="Arial" w:cs="Arial"/>
                <w:lang w:eastAsia="sr-Latn-RS"/>
              </w:rPr>
              <w:t> [kPa]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abs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статички апсолутни притисак на влажној основи на месту мерења релативне влажности [kPa]</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3.3.2.4. Oдређивање тачке рошења из релативне влажности и температуре сувог термометра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влажност мери као релативна влажност </w:t>
      </w:r>
      <w:r w:rsidRPr="00B03342">
        <w:rPr>
          <w:rFonts w:ascii="Arial" w:hAnsi="Arial" w:cs="Arial"/>
          <w:i/>
          <w:iCs/>
          <w:color w:val="000000"/>
          <w:lang w:eastAsia="sr-Latn-RS"/>
        </w:rPr>
        <w:t>RH %</w:t>
      </w:r>
      <w:r w:rsidRPr="00B03342">
        <w:rPr>
          <w:rFonts w:ascii="Arial" w:hAnsi="Arial" w:cs="Arial"/>
          <w:color w:val="000000"/>
          <w:lang w:eastAsia="sr-Latn-RS"/>
        </w:rPr>
        <w:t>, тачка рошења, </w:t>
      </w:r>
      <w:r w:rsidRPr="00B03342">
        <w:rPr>
          <w:rFonts w:ascii="Arial" w:hAnsi="Arial" w:cs="Arial"/>
          <w:i/>
          <w:iCs/>
          <w:color w:val="000000"/>
          <w:lang w:eastAsia="sr-Latn-RS"/>
        </w:rPr>
        <w:t>T</w:t>
      </w:r>
      <w:r w:rsidRPr="00B03342">
        <w:rPr>
          <w:rFonts w:ascii="Arial" w:hAnsi="Arial" w:cs="Arial"/>
          <w:color w:val="000000"/>
          <w:lang w:eastAsia="sr-Latn-RS"/>
        </w:rPr>
        <w:t> </w:t>
      </w:r>
      <w:r w:rsidRPr="00B03342">
        <w:rPr>
          <w:rFonts w:ascii="Arial" w:hAnsi="Arial" w:cs="Arial"/>
          <w:color w:val="000000"/>
          <w:vertAlign w:val="subscript"/>
          <w:lang w:eastAsia="sr-Latn-RS"/>
        </w:rPr>
        <w:t>dew</w:t>
      </w:r>
      <w:r w:rsidRPr="00B03342">
        <w:rPr>
          <w:rFonts w:ascii="Arial" w:hAnsi="Arial" w:cs="Arial"/>
          <w:color w:val="000000"/>
          <w:lang w:eastAsia="sr-Latn-RS"/>
        </w:rPr>
        <w:t>, одређује се из </w:t>
      </w:r>
      <w:r w:rsidRPr="00B03342">
        <w:rPr>
          <w:rFonts w:ascii="Arial" w:hAnsi="Arial" w:cs="Arial"/>
          <w:i/>
          <w:iCs/>
          <w:color w:val="000000"/>
          <w:lang w:eastAsia="sr-Latn-RS"/>
        </w:rPr>
        <w:t>RH %</w:t>
      </w:r>
      <w:r w:rsidRPr="00B03342">
        <w:rPr>
          <w:rFonts w:ascii="Arial" w:hAnsi="Arial" w:cs="Arial"/>
          <w:color w:val="000000"/>
          <w:lang w:eastAsia="sr-Latn-RS"/>
        </w:rPr>
        <w:t> и температуре сувог термометра помоћу једначине (7-81):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6EA574C" wp14:editId="5723C5CA">
            <wp:extent cx="5057140" cy="445135"/>
            <wp:effectExtent l="0" t="0" r="0" b="0"/>
            <wp:docPr id="160" name="Picture 160" descr="A complex mathematical equation expressing Tdew as a function of logarithmic terms involving partial pressures of H2O and H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A complex mathematical equation expressing Tdew as a function of logarithmic terms involving partial pressures of H2O and H2.&#10;&#10;Description generated by AI"/>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7"/>
        <w:gridCol w:w="181"/>
        <w:gridCol w:w="982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притисак водене паре подешен на релативну влажност на месту мерења релативне влажности,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sat</w:t>
            </w:r>
            <w:r w:rsidRPr="00B03342">
              <w:rPr>
                <w:rFonts w:ascii="Arial" w:hAnsi="Arial" w:cs="Arial"/>
                <w:lang w:eastAsia="sr-Latn-RS"/>
              </w:rPr>
              <w:t>=</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amb</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T</w:t>
            </w:r>
            <w:r w:rsidRPr="00B03342">
              <w:rPr>
                <w:rFonts w:ascii="Arial" w:hAnsi="Arial" w:cs="Arial"/>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тачка рошења одрeђeна на основу мерења релативне влажности и температуре сувог термометра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3.3.3. Својства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Општа хемијска формула за гориво je CH</w:t>
      </w:r>
      <w:r w:rsidRPr="00B03342">
        <w:rPr>
          <w:rFonts w:ascii="Arial" w:hAnsi="Arial" w:cs="Arial"/>
          <w:i/>
          <w:iCs/>
          <w:color w:val="000000"/>
          <w:lang w:eastAsia="sr-Latn-RS"/>
        </w:rPr>
        <w:t> </w:t>
      </w:r>
      <w:r w:rsidRPr="00B03342">
        <w:rPr>
          <w:rFonts w:ascii="Arial" w:hAnsi="Arial" w:cs="Arial"/>
          <w:color w:val="000000"/>
          <w:vertAlign w:val="subscript"/>
          <w:lang w:eastAsia="sr-Latn-RS"/>
        </w:rPr>
        <w:t>α</w:t>
      </w:r>
      <w:r w:rsidRPr="00B03342">
        <w:rPr>
          <w:rFonts w:ascii="Arial" w:hAnsi="Arial" w:cs="Arial"/>
          <w:i/>
          <w:iCs/>
          <w:color w:val="000000"/>
          <w:lang w:eastAsia="sr-Latn-RS"/>
        </w:rPr>
        <w:t> </w:t>
      </w:r>
      <w:r w:rsidRPr="00B03342">
        <w:rPr>
          <w:rFonts w:ascii="Arial" w:hAnsi="Arial" w:cs="Arial"/>
          <w:color w:val="000000"/>
          <w:lang w:eastAsia="sr-Latn-RS"/>
        </w:rPr>
        <w:t>O</w:t>
      </w:r>
      <w:r w:rsidRPr="00B03342">
        <w:rPr>
          <w:rFonts w:ascii="Arial" w:hAnsi="Arial" w:cs="Arial"/>
          <w:i/>
          <w:iCs/>
          <w:color w:val="000000"/>
          <w:lang w:eastAsia="sr-Latn-RS"/>
        </w:rPr>
        <w:t> </w:t>
      </w:r>
      <w:r w:rsidRPr="00B03342">
        <w:rPr>
          <w:rFonts w:ascii="Arial" w:hAnsi="Arial" w:cs="Arial"/>
          <w:color w:val="000000"/>
          <w:vertAlign w:val="subscript"/>
          <w:lang w:eastAsia="sr-Latn-RS"/>
        </w:rPr>
        <w:t>β</w:t>
      </w:r>
      <w:r w:rsidRPr="00B03342">
        <w:rPr>
          <w:rFonts w:ascii="Arial" w:hAnsi="Arial" w:cs="Arial"/>
          <w:i/>
          <w:iCs/>
          <w:color w:val="000000"/>
          <w:lang w:eastAsia="sr-Latn-RS"/>
        </w:rPr>
        <w:t> </w:t>
      </w:r>
      <w:r w:rsidRPr="00B03342">
        <w:rPr>
          <w:rFonts w:ascii="Arial" w:hAnsi="Arial" w:cs="Arial"/>
          <w:color w:val="000000"/>
          <w:lang w:eastAsia="sr-Latn-RS"/>
        </w:rPr>
        <w:t>S</w:t>
      </w:r>
      <w:r w:rsidRPr="00B03342">
        <w:rPr>
          <w:rFonts w:ascii="Arial" w:hAnsi="Arial" w:cs="Arial"/>
          <w:i/>
          <w:iCs/>
          <w:color w:val="000000"/>
          <w:lang w:eastAsia="sr-Latn-RS"/>
        </w:rPr>
        <w:t> </w:t>
      </w:r>
      <w:r w:rsidRPr="00B03342">
        <w:rPr>
          <w:rFonts w:ascii="Arial" w:hAnsi="Arial" w:cs="Arial"/>
          <w:color w:val="000000"/>
          <w:vertAlign w:val="subscript"/>
          <w:lang w:eastAsia="sr-Latn-RS"/>
        </w:rPr>
        <w:t>γ</w:t>
      </w:r>
      <w:r w:rsidRPr="00B03342">
        <w:rPr>
          <w:rFonts w:ascii="Arial" w:hAnsi="Arial" w:cs="Arial"/>
          <w:i/>
          <w:iCs/>
          <w:color w:val="000000"/>
          <w:lang w:eastAsia="sr-Latn-RS"/>
        </w:rPr>
        <w:t> </w:t>
      </w:r>
      <w:r w:rsidRPr="00B03342">
        <w:rPr>
          <w:rFonts w:ascii="Arial" w:hAnsi="Arial" w:cs="Arial"/>
          <w:color w:val="000000"/>
          <w:lang w:eastAsia="sr-Latn-RS"/>
        </w:rPr>
        <w:t>N</w:t>
      </w:r>
      <w:r w:rsidRPr="00B03342">
        <w:rPr>
          <w:rFonts w:ascii="Arial" w:hAnsi="Arial" w:cs="Arial"/>
          <w:i/>
          <w:iCs/>
          <w:color w:val="000000"/>
          <w:lang w:eastAsia="sr-Latn-RS"/>
        </w:rPr>
        <w:t> </w:t>
      </w:r>
      <w:r w:rsidRPr="00B03342">
        <w:rPr>
          <w:rFonts w:ascii="Arial" w:hAnsi="Arial" w:cs="Arial"/>
          <w:color w:val="000000"/>
          <w:vertAlign w:val="subscript"/>
          <w:lang w:eastAsia="sr-Latn-RS"/>
        </w:rPr>
        <w:t>δ</w:t>
      </w:r>
      <w:r w:rsidRPr="00B03342">
        <w:rPr>
          <w:rFonts w:ascii="Arial" w:hAnsi="Arial" w:cs="Arial"/>
          <w:i/>
          <w:iCs/>
          <w:color w:val="000000"/>
          <w:lang w:eastAsia="sr-Latn-RS"/>
        </w:rPr>
        <w:t> </w:t>
      </w:r>
      <w:r w:rsidRPr="00B03342">
        <w:rPr>
          <w:rFonts w:ascii="Arial" w:hAnsi="Arial" w:cs="Arial"/>
          <w:color w:val="000000"/>
          <w:lang w:eastAsia="sr-Latn-RS"/>
        </w:rPr>
        <w:t>при чему је </w:t>
      </w:r>
      <w:r w:rsidRPr="00B03342">
        <w:rPr>
          <w:rFonts w:ascii="Arial" w:hAnsi="Arial" w:cs="Arial"/>
          <w:i/>
          <w:iCs/>
          <w:color w:val="000000"/>
          <w:lang w:eastAsia="sr-Latn-RS"/>
        </w:rPr>
        <w:t>α</w:t>
      </w:r>
      <w:r w:rsidRPr="00B03342">
        <w:rPr>
          <w:rFonts w:ascii="Arial" w:hAnsi="Arial" w:cs="Arial"/>
          <w:color w:val="000000"/>
          <w:lang w:eastAsia="sr-Latn-RS"/>
        </w:rPr>
        <w:t> однос атомског водоника и угљеника (H/C), </w:t>
      </w:r>
      <w:r w:rsidRPr="00B03342">
        <w:rPr>
          <w:rFonts w:ascii="Arial" w:hAnsi="Arial" w:cs="Arial"/>
          <w:i/>
          <w:iCs/>
          <w:color w:val="000000"/>
          <w:lang w:eastAsia="sr-Latn-RS"/>
        </w:rPr>
        <w:t>β</w:t>
      </w:r>
      <w:r w:rsidRPr="00B03342">
        <w:rPr>
          <w:rFonts w:ascii="Arial" w:hAnsi="Arial" w:cs="Arial"/>
          <w:color w:val="000000"/>
          <w:lang w:eastAsia="sr-Latn-RS"/>
        </w:rPr>
        <w:t> однос атомског кисеоника и угљеника (O/C), </w:t>
      </w:r>
      <w:r w:rsidRPr="00B03342">
        <w:rPr>
          <w:rFonts w:ascii="Arial" w:hAnsi="Arial" w:cs="Arial"/>
          <w:i/>
          <w:iCs/>
          <w:color w:val="000000"/>
          <w:lang w:eastAsia="sr-Latn-RS"/>
        </w:rPr>
        <w:t>γ</w:t>
      </w:r>
      <w:r w:rsidRPr="00B03342">
        <w:rPr>
          <w:rFonts w:ascii="Arial" w:hAnsi="Arial" w:cs="Arial"/>
          <w:color w:val="000000"/>
          <w:lang w:eastAsia="sr-Latn-RS"/>
        </w:rPr>
        <w:t> однос атомског сумпора и угљеника (S/C) те </w:t>
      </w:r>
      <w:r w:rsidRPr="00B03342">
        <w:rPr>
          <w:rFonts w:ascii="Arial" w:hAnsi="Arial" w:cs="Arial"/>
          <w:i/>
          <w:iCs/>
          <w:color w:val="000000"/>
          <w:lang w:eastAsia="sr-Latn-RS"/>
        </w:rPr>
        <w:t>δ</w:t>
      </w:r>
      <w:r w:rsidRPr="00B03342">
        <w:rPr>
          <w:rFonts w:ascii="Arial" w:hAnsi="Arial" w:cs="Arial"/>
          <w:color w:val="000000"/>
          <w:lang w:eastAsia="sr-Latn-RS"/>
        </w:rPr>
        <w:t> однос атомског азота и угљеника (N/C). На основу ове формуле може се обрачунати масени удео угљеника у гориву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C</w:t>
      </w:r>
      <w:r w:rsidRPr="00B03342">
        <w:rPr>
          <w:rFonts w:ascii="Arial" w:hAnsi="Arial" w:cs="Arial"/>
          <w:color w:val="000000"/>
          <w:lang w:eastAsia="sr-Latn-RS"/>
        </w:rPr>
        <w:t>. У случају дизел горива може се употребљавати једноставна формула CH</w:t>
      </w:r>
      <w:r w:rsidRPr="00B03342">
        <w:rPr>
          <w:rFonts w:ascii="Arial" w:hAnsi="Arial" w:cs="Arial"/>
          <w:i/>
          <w:iCs/>
          <w:color w:val="000000"/>
          <w:lang w:eastAsia="sr-Latn-RS"/>
        </w:rPr>
        <w:t> </w:t>
      </w:r>
      <w:r w:rsidRPr="00B03342">
        <w:rPr>
          <w:rFonts w:ascii="Arial" w:hAnsi="Arial" w:cs="Arial"/>
          <w:color w:val="000000"/>
          <w:vertAlign w:val="subscript"/>
          <w:lang w:eastAsia="sr-Latn-RS"/>
        </w:rPr>
        <w:t>α</w:t>
      </w:r>
      <w:r w:rsidRPr="00B03342">
        <w:rPr>
          <w:rFonts w:ascii="Arial" w:hAnsi="Arial" w:cs="Arial"/>
          <w:i/>
          <w:iCs/>
          <w:color w:val="000000"/>
          <w:lang w:eastAsia="sr-Latn-RS"/>
        </w:rPr>
        <w:t> </w:t>
      </w:r>
      <w:r w:rsidRPr="00B03342">
        <w:rPr>
          <w:rFonts w:ascii="Arial" w:hAnsi="Arial" w:cs="Arial"/>
          <w:color w:val="000000"/>
          <w:lang w:eastAsia="sr-Latn-RS"/>
        </w:rPr>
        <w:t>O</w:t>
      </w:r>
      <w:r w:rsidRPr="00B03342">
        <w:rPr>
          <w:rFonts w:ascii="Arial" w:hAnsi="Arial" w:cs="Arial"/>
          <w:i/>
          <w:iCs/>
          <w:color w:val="000000"/>
          <w:lang w:eastAsia="sr-Latn-RS"/>
        </w:rPr>
        <w:t> </w:t>
      </w:r>
      <w:r w:rsidRPr="00B03342">
        <w:rPr>
          <w:rFonts w:ascii="Arial" w:hAnsi="Arial" w:cs="Arial"/>
          <w:color w:val="000000"/>
          <w:vertAlign w:val="subscript"/>
          <w:lang w:eastAsia="sr-Latn-RS"/>
        </w:rPr>
        <w:t>β</w:t>
      </w:r>
      <w:r w:rsidRPr="00B03342">
        <w:rPr>
          <w:rFonts w:ascii="Arial" w:hAnsi="Arial" w:cs="Arial"/>
          <w:i/>
          <w:iCs/>
          <w:color w:val="000000"/>
          <w:lang w:eastAsia="sr-Latn-RS"/>
        </w:rPr>
        <w:t> </w:t>
      </w:r>
      <w:r w:rsidRPr="00B03342">
        <w:rPr>
          <w:rFonts w:ascii="Arial" w:hAnsi="Arial" w:cs="Arial"/>
          <w:color w:val="000000"/>
          <w:lang w:eastAsia="sr-Latn-RS"/>
        </w:rPr>
        <w:t>. Задате вредности за састав горива могу се извести из табеле 7.3. овог прилога.</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i/>
          <w:iCs/>
          <w:color w:val="000000"/>
          <w:lang w:eastAsia="sr-Latn-RS"/>
        </w:rPr>
        <w:t>Табела 7.3. </w:t>
      </w:r>
      <w:r w:rsidRPr="00B03342">
        <w:rPr>
          <w:rFonts w:ascii="Arial" w:hAnsi="Arial" w:cs="Arial"/>
          <w:color w:val="000000"/>
          <w:lang w:eastAsia="sr-Latn-RS"/>
        </w:rPr>
        <w:t>Задате вредности за однос атомског водоника и угљеника, </w:t>
      </w:r>
      <w:r w:rsidRPr="00B03342">
        <w:rPr>
          <w:rFonts w:ascii="Arial" w:hAnsi="Arial" w:cs="Arial"/>
          <w:i/>
          <w:iCs/>
          <w:color w:val="000000"/>
          <w:lang w:eastAsia="sr-Latn-RS"/>
        </w:rPr>
        <w:t>α</w:t>
      </w:r>
      <w:r w:rsidRPr="00B03342">
        <w:rPr>
          <w:rFonts w:ascii="Arial" w:hAnsi="Arial" w:cs="Arial"/>
          <w:color w:val="000000"/>
          <w:lang w:eastAsia="sr-Latn-RS"/>
        </w:rPr>
        <w:t>, однос атомског кисеоника и угљеника, </w:t>
      </w:r>
      <w:r w:rsidRPr="00B03342">
        <w:rPr>
          <w:rFonts w:ascii="Arial" w:hAnsi="Arial" w:cs="Arial"/>
          <w:i/>
          <w:iCs/>
          <w:color w:val="000000"/>
          <w:lang w:eastAsia="sr-Latn-RS"/>
        </w:rPr>
        <w:t>β</w:t>
      </w:r>
      <w:r w:rsidRPr="00B03342">
        <w:rPr>
          <w:rFonts w:ascii="Arial" w:hAnsi="Arial" w:cs="Arial"/>
          <w:color w:val="000000"/>
          <w:lang w:eastAsia="sr-Latn-RS"/>
        </w:rPr>
        <w:t>, однос атомског сумпора и угљеника, γ, однос атомског азота и угљеника, δ, и масени удео угљеника у гориву,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C</w:t>
      </w:r>
      <w:r w:rsidRPr="00B03342">
        <w:rPr>
          <w:rFonts w:ascii="Arial" w:hAnsi="Arial" w:cs="Arial"/>
          <w:color w:val="000000"/>
          <w:lang w:eastAsia="sr-Latn-RS"/>
        </w:rPr>
        <w:t> за референтна горива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08"/>
        <w:gridCol w:w="4513"/>
        <w:gridCol w:w="227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Гориво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Односи атомских водоника, кисеоника, сумпора и азота и угљеника CH</w:t>
            </w:r>
            <w:r w:rsidRPr="00B03342">
              <w:rPr>
                <w:rFonts w:ascii="Arial" w:hAnsi="Arial" w:cs="Arial"/>
                <w:vertAlign w:val="subscript"/>
                <w:lang w:eastAsia="sr-Latn-RS"/>
              </w:rPr>
              <w:t>α</w:t>
            </w:r>
            <w:r w:rsidRPr="00B03342">
              <w:rPr>
                <w:rFonts w:ascii="Arial" w:hAnsi="Arial" w:cs="Arial"/>
                <w:lang w:eastAsia="sr-Latn-RS"/>
              </w:rPr>
              <w:t>O</w:t>
            </w:r>
            <w:r w:rsidRPr="00B03342">
              <w:rPr>
                <w:rFonts w:ascii="Arial" w:hAnsi="Arial" w:cs="Arial"/>
                <w:vertAlign w:val="subscript"/>
                <w:lang w:eastAsia="sr-Latn-RS"/>
              </w:rPr>
              <w:t>β</w:t>
            </w:r>
            <w:r w:rsidRPr="00B03342">
              <w:rPr>
                <w:rFonts w:ascii="Arial" w:hAnsi="Arial" w:cs="Arial"/>
                <w:lang w:eastAsia="sr-Latn-RS"/>
              </w:rPr>
              <w:t>S</w:t>
            </w:r>
            <w:r w:rsidRPr="00B03342">
              <w:rPr>
                <w:rFonts w:ascii="Arial" w:hAnsi="Arial" w:cs="Arial"/>
                <w:vertAlign w:val="subscript"/>
                <w:lang w:eastAsia="sr-Latn-RS"/>
              </w:rPr>
              <w:t>γ</w:t>
            </w:r>
            <w:r w:rsidRPr="00B03342">
              <w:rPr>
                <w:rFonts w:ascii="Arial" w:hAnsi="Arial" w:cs="Arial"/>
                <w:lang w:eastAsia="sr-Latn-RS"/>
              </w:rPr>
              <w:t>N</w:t>
            </w:r>
            <w:r w:rsidRPr="00B03342">
              <w:rPr>
                <w:rFonts w:ascii="Arial" w:hAnsi="Arial" w:cs="Arial"/>
                <w:vertAlign w:val="subscript"/>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Концентрација масе угљеника, </w:t>
            </w: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[g/g]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Дизел (гасно уље за недрумску употребу)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1.80</w:t>
            </w:r>
            <w:r w:rsidRPr="00B03342">
              <w:rPr>
                <w:rFonts w:ascii="Arial" w:hAnsi="Arial" w:cs="Arial"/>
                <w:lang w:eastAsia="sr-Latn-RS"/>
              </w:rPr>
              <w:t>О</w:t>
            </w:r>
            <w:r w:rsidRPr="00B03342">
              <w:rPr>
                <w:rFonts w:ascii="Arial" w:hAnsi="Arial" w:cs="Arial"/>
                <w:vertAlign w:val="subscript"/>
                <w:lang w:eastAsia="sr-Latn-RS"/>
              </w:rPr>
              <w:t>0</w:t>
            </w:r>
            <w:r w:rsidRPr="00B03342">
              <w:rPr>
                <w:rFonts w:ascii="Arial" w:hAnsi="Arial" w:cs="Arial"/>
                <w:lang w:eastAsia="sr-Latn-RS"/>
              </w:rPr>
              <w:t>С</w:t>
            </w:r>
            <w:r w:rsidRPr="00B03342">
              <w:rPr>
                <w:rFonts w:ascii="Arial" w:hAnsi="Arial" w:cs="Arial"/>
                <w:vertAlign w:val="subscript"/>
                <w:lang w:eastAsia="sr-Latn-RS"/>
              </w:rPr>
              <w:t>0</w:t>
            </w:r>
            <w:r w:rsidRPr="00B03342">
              <w:rPr>
                <w:rFonts w:ascii="Arial" w:hAnsi="Arial" w:cs="Arial"/>
                <w:lang w:eastAsia="sr-Latn-RS"/>
              </w:rPr>
              <w:t>Н</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0,869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за наменске моторе са компресијским паљењем (ED95)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2,92</w:t>
            </w:r>
            <w:r w:rsidRPr="00B03342">
              <w:rPr>
                <w:rFonts w:ascii="Arial" w:hAnsi="Arial" w:cs="Arial"/>
                <w:lang w:eastAsia="sr-Latn-RS"/>
              </w:rPr>
              <w:t>O</w:t>
            </w:r>
            <w:r w:rsidRPr="00B03342">
              <w:rPr>
                <w:rFonts w:ascii="Arial" w:hAnsi="Arial" w:cs="Arial"/>
                <w:vertAlign w:val="subscript"/>
                <w:lang w:eastAsia="sr-Latn-RS"/>
              </w:rPr>
              <w:t>0,46</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0,538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Бензин (E10)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1,92</w:t>
            </w:r>
            <w:r w:rsidRPr="00B03342">
              <w:rPr>
                <w:rFonts w:ascii="Arial" w:hAnsi="Arial" w:cs="Arial"/>
                <w:lang w:eastAsia="sr-Latn-RS"/>
              </w:rPr>
              <w:t>O</w:t>
            </w:r>
            <w:r w:rsidRPr="00B03342">
              <w:rPr>
                <w:rFonts w:ascii="Arial" w:hAnsi="Arial" w:cs="Arial"/>
                <w:vertAlign w:val="subscript"/>
                <w:lang w:eastAsia="sr-Latn-RS"/>
              </w:rPr>
              <w:t>0,03</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0,833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Бензин (E0)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1,85</w:t>
            </w:r>
            <w:r w:rsidRPr="00B03342">
              <w:rPr>
                <w:rFonts w:ascii="Arial" w:hAnsi="Arial" w:cs="Arial"/>
                <w:lang w:eastAsia="sr-Latn-RS"/>
              </w:rPr>
              <w:t>O</w:t>
            </w:r>
            <w:r w:rsidRPr="00B03342">
              <w:rPr>
                <w:rFonts w:ascii="Arial" w:hAnsi="Arial" w:cs="Arial"/>
                <w:vertAlign w:val="subscript"/>
                <w:lang w:eastAsia="sr-Latn-RS"/>
              </w:rPr>
              <w:t>0</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0,866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Етанол (E85)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2,73</w:t>
            </w:r>
            <w:r w:rsidRPr="00B03342">
              <w:rPr>
                <w:rFonts w:ascii="Arial" w:hAnsi="Arial" w:cs="Arial"/>
                <w:lang w:eastAsia="sr-Latn-RS"/>
              </w:rPr>
              <w:t>O</w:t>
            </w:r>
            <w:r w:rsidRPr="00B03342">
              <w:rPr>
                <w:rFonts w:ascii="Arial" w:hAnsi="Arial" w:cs="Arial"/>
                <w:vertAlign w:val="subscript"/>
                <w:lang w:eastAsia="sr-Latn-RS"/>
              </w:rPr>
              <w:t>0,36</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UNP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2,64</w:t>
            </w:r>
            <w:r w:rsidRPr="00B03342">
              <w:rPr>
                <w:rFonts w:ascii="Arial" w:hAnsi="Arial" w:cs="Arial"/>
                <w:lang w:eastAsia="sr-Latn-RS"/>
              </w:rPr>
              <w:t>O</w:t>
            </w:r>
            <w:r w:rsidRPr="00B03342">
              <w:rPr>
                <w:rFonts w:ascii="Arial" w:hAnsi="Arial" w:cs="Arial"/>
                <w:vertAlign w:val="subscript"/>
                <w:lang w:eastAsia="sr-Latn-RS"/>
              </w:rPr>
              <w:t>0</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Природни гас/биометан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CH</w:t>
            </w:r>
            <w:r w:rsidRPr="00B03342">
              <w:rPr>
                <w:rFonts w:ascii="Arial" w:hAnsi="Arial" w:cs="Arial"/>
                <w:vertAlign w:val="subscript"/>
                <w:lang w:eastAsia="sr-Latn-RS"/>
              </w:rPr>
              <w:t>3,78</w:t>
            </w:r>
            <w:r w:rsidRPr="00B03342">
              <w:rPr>
                <w:rFonts w:ascii="Arial" w:hAnsi="Arial" w:cs="Arial"/>
                <w:lang w:eastAsia="sr-Latn-RS"/>
              </w:rPr>
              <w:t>O</w:t>
            </w:r>
            <w:r w:rsidRPr="00B03342">
              <w:rPr>
                <w:rFonts w:ascii="Arial" w:hAnsi="Arial" w:cs="Arial"/>
                <w:vertAlign w:val="subscript"/>
                <w:lang w:eastAsia="sr-Latn-RS"/>
              </w:rPr>
              <w:t>0,016</w:t>
            </w:r>
            <w:r w:rsidRPr="00B03342">
              <w:rPr>
                <w:rFonts w:ascii="Arial" w:hAnsi="Arial" w:cs="Arial"/>
                <w:lang w:eastAsia="sr-Latn-RS"/>
              </w:rPr>
              <w:t>S</w:t>
            </w:r>
            <w:r w:rsidRPr="00B03342">
              <w:rPr>
                <w:rFonts w:ascii="Arial" w:hAnsi="Arial" w:cs="Arial"/>
                <w:vertAlign w:val="subscript"/>
                <w:lang w:eastAsia="sr-Latn-RS"/>
              </w:rPr>
              <w:t>0</w:t>
            </w:r>
            <w:r w:rsidRPr="00B03342">
              <w:rPr>
                <w:rFonts w:ascii="Arial" w:hAnsi="Arial" w:cs="Arial"/>
                <w:lang w:eastAsia="sr-Latn-RS"/>
              </w:rPr>
              <w:t>N</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0,747</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3.3.3.1. Обрачун концентрације масе угљеника w</w:t>
      </w:r>
      <w:r w:rsidRPr="00B03342">
        <w:rPr>
          <w:rFonts w:ascii="Arial" w:hAnsi="Arial" w:cs="Arial"/>
          <w:color w:val="000000"/>
          <w:vertAlign w:val="subscript"/>
          <w:lang w:eastAsia="sr-Latn-RS"/>
        </w:rPr>
        <w:t>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Као алтернатива задатим вредностима из табеле 7.3. овог прилога или ако нису пружене задате вредности за референтно гориво које се употребљава, концентрација масе угљеника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C</w:t>
      </w:r>
      <w:r w:rsidRPr="00B03342">
        <w:rPr>
          <w:rFonts w:ascii="Arial" w:hAnsi="Arial" w:cs="Arial"/>
          <w:color w:val="000000"/>
          <w:lang w:eastAsia="sr-Latn-RS"/>
        </w:rPr>
        <w:t> може се обрачунати на основу измерених својстава горива помоћу једначине (7-82). Вредности за α и β одређују се за гориво и у свим случајевима додају у једначину, ali γ и δ могу се поставити на нулу ако је њихова вредност нула у одговарајућем реду табеле 7.3. овог прилога.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267C5A8" wp14:editId="32166765">
            <wp:extent cx="5057140" cy="445135"/>
            <wp:effectExtent l="0" t="0" r="0" b="0"/>
            <wp:docPr id="159" name="Picture 159" descr="A mathematical formula showing W subscript C as the fraction of 1 times M subscript C over the sum of M subscript C, alpha times M subscript H, beta times M subscript O, gamma times M subscript S, and delta times M subscript N, labeled as equation 7-8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 mathematical formula showing W subscript C as the fraction of 1 times M subscript C over the sum of M subscript C, alpha times M subscript H, beta times M subscript O, gamma times M subscript S, and delta times M subscript N, labeled as equation 7-82.&#10;&#10;Description generated by AI"/>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2"/>
        <w:gridCol w:w="183"/>
        <w:gridCol w:w="992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угљеника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водоника и угљеника мешавине горива која сагорева, пондерисан моларном потрошњом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водоника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кисеоника и угљеника мешавине горива која сагорева, пондерисан моларном потрошњом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кисеоника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сумпора и угљеника мешавине горива која сагорева, пондерисан моларном потрошњом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сумпора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δ</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азота и угљеника мешавине горива која сагорева, пондерисан моларном потрошњом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азота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3.3.4. Корекција концентрације укупних угљен-водоника (THC) због почетне контаминације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За мерење угљеника прорачунава се x THC[THC-FID] употребом концентрације укупних угљеника због почетне контаминације x THC[THC-FID]</w:t>
      </w:r>
      <w:r w:rsidRPr="00B03342">
        <w:rPr>
          <w:rFonts w:ascii="Arial" w:hAnsi="Arial" w:cs="Arial"/>
          <w:color w:val="000000"/>
          <w:vertAlign w:val="subscript"/>
          <w:lang w:eastAsia="sr-Latn-RS"/>
        </w:rPr>
        <w:t>init</w:t>
      </w:r>
      <w:r w:rsidRPr="00B03342">
        <w:rPr>
          <w:rFonts w:ascii="Arial" w:hAnsi="Arial" w:cs="Arial"/>
          <w:color w:val="000000"/>
          <w:lang w:eastAsia="sr-Latn-RS"/>
        </w:rPr>
        <w:t> из тачке 7.3.1.3. Прилога 8 ове уредбе помоћу једначине (7-83):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0894B5C" wp14:editId="4E1CCEB4">
            <wp:extent cx="5057140" cy="334010"/>
            <wp:effectExtent l="0" t="0" r="0" b="8890"/>
            <wp:docPr id="158" name="Picture 158" descr="A mathematical equation showing the corrected value of XTHC[THC-FID] as the difference between the artifact-corrected and initial val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A mathematical equation showing the corrected value of XTHC[THC-FID] as the difference between the artifact-corrected and initial values.&#10;&#10;Description generated by AI"/>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20"/>
        <w:gridCol w:w="214"/>
        <w:gridCol w:w="856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THC[THC-FID]cor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укупних угљен-водоника коригована за контаминацију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THC[THC-FID]uncorr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некоригована концентрација укупних угљен-водоника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THC[THC-FID]init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укупних угљен-водоника због почетне контаминације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3.3.5. Средња концентрација пондерисанa према протоку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неким тачкама овога одељка можда ће бити потребно обрачунати средњу концентрацију пондерисану према протоку како би се одредила примењивост одређених одредби. Средња вредност пондерисана према протоку значи средња количина након њеног пропорционалног пондерисања према одговарајућем протоку. На пример, ако се концентрација гаса мери континуирано из неразређеног издувног гаса мотора, његова средња концентрација пондерисана према протоку је збир производа сваке забележене концентрације и њеног моларног протока издувног гаса, подељен збиром забележених вредности протока. Као други пример, концентрација у врећи из CVS-а једнака је средњој концентрацији пондерисаној према протоку зато што сам CVS пондериса концентрацију у врећи према протоку. На основу претходних испитивања са сличним моторима или испитивања са сличном опремом и инструментима може се очекивати одређена средња концентрација емисије пондерисана према протоку на граничној вредности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 Хемијске равнотеже горива, улазног ваздуха и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 Oпште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Хемијске равнотеже горива, улазног ваздуха и издувних гасова могу се употребљавати за обрачун протока, количине воде у протоцима и влажне концентрације саставних материја у њиховим протоцима. Ако је познат један проток – горива, улазног ваздуха или издувног гаса – хемијске се равнотеже могу употребити за утврђивање вредности других двају протока. На пример, хемијске се равнотеже у комбинацији с протоком улазног ваздуха или с протоком горива могу употребити за утврђивање протока неразређеног издувног гаса.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3.4.2. Поступци који хемијске равнотеже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Хемијске равнотеже потребне су за oдређивање следећег:</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количине воде у протоку неразређеног или разређеног издувног гасa,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ако се не мери количина воде за корекцију количине воде коју је уклонио систем за узорковање;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удела средње вредности пондерисане протоком ваздуха за разређивање у разређеном издувном гасу,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ако се не мери проток ваздуха за разређивање ради кориговања за крајње емисије. Потребно је напоменути да се, ако се хемијске равнотеже употребљавају у ту сврху, сматра да је издувни гас стехиометријски, чак и ако није.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3.4.3. Поступак хемијске равнотеже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Обрачуни хемијске равнотеже укључују систем једначини које захтевају итерацију. Процењују се почетне вредности највише трију количина: количине воде у измереном протоку,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удела ваздуха за разређивање у разређеном издувном гасу (или вишка ваздуха у неразређеном диму),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и количине производа на бази C1 по сувом молу сувог измереног протокa,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Ccombdry</w:t>
      </w:r>
      <w:r w:rsidRPr="00B03342">
        <w:rPr>
          <w:rFonts w:ascii="Arial" w:hAnsi="Arial" w:cs="Arial"/>
          <w:color w:val="000000"/>
          <w:lang w:eastAsia="sr-Latn-RS"/>
        </w:rPr>
        <w:t>. Могу се употребљавати временски пондерисанe средње вредности влажности ваздуха за сагоревање и ваздуха за разређивање у хемијској равнотежи, све док влажност ваздуха за сагоревање и ваздуха за разређивање остану унутар допуштених одступања од ± 0,0025 mol/mol својих одговарајућих средњих вредности за време испитног интервалa. За сваку концентрацију емисије </w:t>
      </w:r>
      <w:r w:rsidRPr="00B03342">
        <w:rPr>
          <w:rFonts w:ascii="Arial" w:hAnsi="Arial" w:cs="Arial"/>
          <w:i/>
          <w:iCs/>
          <w:color w:val="000000"/>
          <w:lang w:eastAsia="sr-Latn-RS"/>
        </w:rPr>
        <w:t>x</w:t>
      </w:r>
      <w:r w:rsidRPr="00B03342">
        <w:rPr>
          <w:rFonts w:ascii="Arial" w:hAnsi="Arial" w:cs="Arial"/>
          <w:color w:val="000000"/>
          <w:lang w:eastAsia="sr-Latn-RS"/>
        </w:rPr>
        <w:t> и количину воде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утврђују се потпуно суве концентрације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dry</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H2Oexhdry</w:t>
      </w:r>
      <w:r w:rsidRPr="00B03342">
        <w:rPr>
          <w:rFonts w:ascii="Arial" w:hAnsi="Arial" w:cs="Arial"/>
          <w:color w:val="000000"/>
          <w:lang w:eastAsia="sr-Latn-RS"/>
        </w:rPr>
        <w:t>. Употребљава се и однос атомског водоника и угљеника у гориву, </w:t>
      </w:r>
      <w:r w:rsidRPr="00B03342">
        <w:rPr>
          <w:rFonts w:ascii="Arial" w:hAnsi="Arial" w:cs="Arial"/>
          <w:i/>
          <w:iCs/>
          <w:color w:val="000000"/>
          <w:lang w:eastAsia="sr-Latn-RS"/>
        </w:rPr>
        <w:t>α</w:t>
      </w:r>
      <w:r w:rsidRPr="00B03342">
        <w:rPr>
          <w:rFonts w:ascii="Arial" w:hAnsi="Arial" w:cs="Arial"/>
          <w:color w:val="000000"/>
          <w:lang w:eastAsia="sr-Latn-RS"/>
        </w:rPr>
        <w:t>, однос кисеоника и угљеника, </w:t>
      </w:r>
      <w:r w:rsidRPr="00B03342">
        <w:rPr>
          <w:rFonts w:ascii="Arial" w:hAnsi="Arial" w:cs="Arial"/>
          <w:i/>
          <w:iCs/>
          <w:color w:val="000000"/>
          <w:lang w:eastAsia="sr-Latn-RS"/>
        </w:rPr>
        <w:t>β</w:t>
      </w:r>
      <w:r w:rsidRPr="00B03342">
        <w:rPr>
          <w:rFonts w:ascii="Arial" w:hAnsi="Arial" w:cs="Arial"/>
          <w:color w:val="000000"/>
          <w:lang w:eastAsia="sr-Latn-RS"/>
        </w:rPr>
        <w:t> и масени удео угљеника у гориву,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C</w:t>
      </w:r>
      <w:r w:rsidRPr="00B03342">
        <w:rPr>
          <w:rFonts w:ascii="Arial" w:hAnsi="Arial" w:cs="Arial"/>
          <w:color w:val="000000"/>
          <w:lang w:eastAsia="sr-Latn-RS"/>
        </w:rPr>
        <w:t>. За испитно гориво могу се употребљавати </w:t>
      </w:r>
      <w:r w:rsidRPr="00B03342">
        <w:rPr>
          <w:rFonts w:ascii="Arial" w:hAnsi="Arial" w:cs="Arial"/>
          <w:i/>
          <w:iCs/>
          <w:color w:val="000000"/>
          <w:lang w:eastAsia="sr-Latn-RS"/>
        </w:rPr>
        <w:t>α</w:t>
      </w:r>
      <w:r w:rsidRPr="00B03342">
        <w:rPr>
          <w:rFonts w:ascii="Arial" w:hAnsi="Arial" w:cs="Arial"/>
          <w:color w:val="000000"/>
          <w:lang w:eastAsia="sr-Latn-RS"/>
        </w:rPr>
        <w:t> и </w:t>
      </w:r>
      <w:r w:rsidRPr="00B03342">
        <w:rPr>
          <w:rFonts w:ascii="Arial" w:hAnsi="Arial" w:cs="Arial"/>
          <w:i/>
          <w:iCs/>
          <w:color w:val="000000"/>
          <w:lang w:eastAsia="sr-Latn-RS"/>
        </w:rPr>
        <w:t>β</w:t>
      </w:r>
      <w:r w:rsidRPr="00B03342">
        <w:rPr>
          <w:rFonts w:ascii="Arial" w:hAnsi="Arial" w:cs="Arial"/>
          <w:color w:val="000000"/>
          <w:lang w:eastAsia="sr-Latn-RS"/>
        </w:rPr>
        <w:t> или задате вредности из табеле 7.3.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Следећи се кораци примењују за довршавање хемијске равнотеже :</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а)Измерене концентрације као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CO2meas</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NOmeas</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H2Oint</w:t>
      </w:r>
      <w:r w:rsidRPr="00B03342">
        <w:rPr>
          <w:rFonts w:ascii="Arial" w:hAnsi="Arial" w:cs="Arial"/>
          <w:color w:val="000000"/>
          <w:lang w:eastAsia="sr-Latn-RS"/>
        </w:rPr>
        <w:t> претварају се у суве концентрације дељењем с бројем један минус количина воде за време мерења концентрација; нпр.: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Х2OxCO2meaс</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Х2OxNОмeaс</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Х2Oint</w:t>
      </w:r>
      <w:r w:rsidRPr="00B03342">
        <w:rPr>
          <w:rFonts w:ascii="Arial" w:hAnsi="Arial" w:cs="Arial"/>
          <w:color w:val="000000"/>
          <w:lang w:eastAsia="sr-Latn-RS"/>
        </w:rPr>
        <w:t>. Ако je количина воде присутне за време „влажног” мерења иста као и непозната количина воде у протоку издувног гасa,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oна се мора итеративно решити за ту вредност у систему једначина. Ако се мери само укупни NO</w:t>
      </w:r>
      <w:r w:rsidRPr="00B03342">
        <w:rPr>
          <w:rFonts w:ascii="Arial" w:hAnsi="Arial" w:cs="Arial"/>
          <w:color w:val="000000"/>
          <w:vertAlign w:val="subscript"/>
          <w:lang w:eastAsia="sr-Latn-RS"/>
        </w:rPr>
        <w:t>x</w:t>
      </w:r>
      <w:r w:rsidRPr="00B03342">
        <w:rPr>
          <w:rFonts w:ascii="Arial" w:hAnsi="Arial" w:cs="Arial"/>
          <w:color w:val="000000"/>
          <w:lang w:eastAsia="sr-Latn-RS"/>
        </w:rPr>
        <w:t>, а не NO и NO</w:t>
      </w:r>
      <w:r w:rsidRPr="00B03342">
        <w:rPr>
          <w:rFonts w:ascii="Arial" w:hAnsi="Arial" w:cs="Arial"/>
          <w:color w:val="000000"/>
          <w:vertAlign w:val="subscript"/>
          <w:lang w:eastAsia="sr-Latn-RS"/>
        </w:rPr>
        <w:t>2</w:t>
      </w:r>
      <w:r w:rsidRPr="00B03342">
        <w:rPr>
          <w:rFonts w:ascii="Arial" w:hAnsi="Arial" w:cs="Arial"/>
          <w:color w:val="000000"/>
          <w:lang w:eastAsia="sr-Latn-RS"/>
        </w:rPr>
        <w:t> посебно, за oдређивање раздвајања у укупној концентрацији NO</w:t>
      </w:r>
      <w:r w:rsidRPr="00B03342">
        <w:rPr>
          <w:rFonts w:ascii="Arial" w:hAnsi="Arial" w:cs="Arial"/>
          <w:color w:val="000000"/>
          <w:vertAlign w:val="subscript"/>
          <w:lang w:eastAsia="sr-Latn-RS"/>
        </w:rPr>
        <w:t>x</w:t>
      </w:r>
      <w:r w:rsidRPr="00B03342">
        <w:rPr>
          <w:rFonts w:ascii="Arial" w:hAnsi="Arial" w:cs="Arial"/>
          <w:color w:val="000000"/>
          <w:lang w:eastAsia="sr-Latn-RS"/>
        </w:rPr>
        <w:t> између NO и NO</w:t>
      </w:r>
      <w:r w:rsidRPr="00B03342">
        <w:rPr>
          <w:rFonts w:ascii="Arial" w:hAnsi="Arial" w:cs="Arial"/>
          <w:color w:val="000000"/>
          <w:vertAlign w:val="subscript"/>
          <w:lang w:eastAsia="sr-Latn-RS"/>
        </w:rPr>
        <w:t>2</w:t>
      </w:r>
      <w:r w:rsidRPr="00B03342">
        <w:rPr>
          <w:rFonts w:ascii="Arial" w:hAnsi="Arial" w:cs="Arial"/>
          <w:color w:val="000000"/>
          <w:lang w:eastAsia="sr-Latn-RS"/>
        </w:rPr>
        <w:t> за хемијске равнотеже примењује се добра инжењерска процена. Може се претпоставити да се моларна концентрација гасa NO</w:t>
      </w:r>
      <w:r w:rsidRPr="00B03342">
        <w:rPr>
          <w:rFonts w:ascii="Arial" w:hAnsi="Arial" w:cs="Arial"/>
          <w:color w:val="000000"/>
          <w:vertAlign w:val="subscript"/>
          <w:lang w:eastAsia="sr-Latn-RS"/>
        </w:rPr>
        <w:t>x</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NOx</w:t>
      </w:r>
      <w:r w:rsidRPr="00B03342">
        <w:rPr>
          <w:rFonts w:ascii="Arial" w:hAnsi="Arial" w:cs="Arial"/>
          <w:color w:val="000000"/>
          <w:lang w:eastAsia="sr-Latn-RS"/>
        </w:rPr>
        <w:t>, састоји од 75 % NO и 25 % NO</w:t>
      </w:r>
      <w:r w:rsidRPr="00B03342">
        <w:rPr>
          <w:rFonts w:ascii="Arial" w:hAnsi="Arial" w:cs="Arial"/>
          <w:color w:val="000000"/>
          <w:vertAlign w:val="subscript"/>
          <w:lang w:eastAsia="sr-Latn-RS"/>
        </w:rPr>
        <w:t>2</w:t>
      </w:r>
      <w:r w:rsidRPr="00B03342">
        <w:rPr>
          <w:rFonts w:ascii="Arial" w:hAnsi="Arial" w:cs="Arial"/>
          <w:color w:val="000000"/>
          <w:lang w:eastAsia="sr-Latn-RS"/>
        </w:rPr>
        <w:t>. Може се претпоставити да се за одлагање NO</w:t>
      </w:r>
      <w:r w:rsidRPr="00B03342">
        <w:rPr>
          <w:rFonts w:ascii="Arial" w:hAnsi="Arial" w:cs="Arial"/>
          <w:color w:val="000000"/>
          <w:vertAlign w:val="subscript"/>
          <w:lang w:eastAsia="sr-Latn-RS"/>
        </w:rPr>
        <w:t>2</w:t>
      </w:r>
      <w:r w:rsidRPr="00B03342">
        <w:rPr>
          <w:rFonts w:ascii="Arial" w:hAnsi="Arial" w:cs="Arial"/>
          <w:color w:val="000000"/>
          <w:lang w:eastAsia="sr-Latn-RS"/>
        </w:rPr>
        <w:t> системa за накнадну обраду вредност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NOx</w:t>
      </w:r>
      <w:r w:rsidRPr="00B03342">
        <w:rPr>
          <w:rFonts w:ascii="Arial" w:hAnsi="Arial" w:cs="Arial"/>
          <w:color w:val="000000"/>
          <w:lang w:eastAsia="sr-Latn-RS"/>
        </w:rPr>
        <w:t> састоји од 25 % NO и 75 % NO</w:t>
      </w:r>
      <w:r w:rsidRPr="00B03342">
        <w:rPr>
          <w:rFonts w:ascii="Arial" w:hAnsi="Arial" w:cs="Arial"/>
          <w:color w:val="000000"/>
          <w:vertAlign w:val="subscript"/>
          <w:lang w:eastAsia="sr-Latn-RS"/>
        </w:rPr>
        <w:t>2</w:t>
      </w:r>
      <w:r w:rsidRPr="00B03342">
        <w:rPr>
          <w:rFonts w:ascii="Arial" w:hAnsi="Arial" w:cs="Arial"/>
          <w:color w:val="000000"/>
          <w:lang w:eastAsia="sr-Latn-RS"/>
        </w:rPr>
        <w:t>. За рачунање масе емисија NO</w:t>
      </w:r>
      <w:r w:rsidRPr="00B03342">
        <w:rPr>
          <w:rFonts w:ascii="Arial" w:hAnsi="Arial" w:cs="Arial"/>
          <w:color w:val="000000"/>
          <w:vertAlign w:val="subscript"/>
          <w:lang w:eastAsia="sr-Latn-RS"/>
        </w:rPr>
        <w:t>x</w:t>
      </w:r>
      <w:r w:rsidRPr="00B03342">
        <w:rPr>
          <w:rFonts w:ascii="Arial" w:hAnsi="Arial" w:cs="Arial"/>
          <w:color w:val="000000"/>
          <w:lang w:eastAsia="sr-Latn-RS"/>
        </w:rPr>
        <w:t> употребљава се моларна маса NO</w:t>
      </w:r>
      <w:r w:rsidRPr="00B03342">
        <w:rPr>
          <w:rFonts w:ascii="Arial" w:hAnsi="Arial" w:cs="Arial"/>
          <w:color w:val="000000"/>
          <w:vertAlign w:val="subscript"/>
          <w:lang w:eastAsia="sr-Latn-RS"/>
        </w:rPr>
        <w:t>2</w:t>
      </w:r>
      <w:r w:rsidRPr="00B03342">
        <w:rPr>
          <w:rFonts w:ascii="Arial" w:hAnsi="Arial" w:cs="Arial"/>
          <w:color w:val="000000"/>
          <w:lang w:eastAsia="sr-Latn-RS"/>
        </w:rPr>
        <w:t> за ефективну моларну масу свих врста NO</w:t>
      </w:r>
      <w:r w:rsidRPr="00B03342">
        <w:rPr>
          <w:rFonts w:ascii="Arial" w:hAnsi="Arial" w:cs="Arial"/>
          <w:color w:val="000000"/>
          <w:vertAlign w:val="subscript"/>
          <w:lang w:eastAsia="sr-Latn-RS"/>
        </w:rPr>
        <w:t>x</w:t>
      </w:r>
      <w:r w:rsidRPr="00B03342">
        <w:rPr>
          <w:rFonts w:ascii="Arial" w:hAnsi="Arial" w:cs="Arial"/>
          <w:color w:val="000000"/>
          <w:lang w:eastAsia="sr-Latn-RS"/>
        </w:rPr>
        <w:t> без обзира на стварни удео NO</w:t>
      </w:r>
      <w:r w:rsidRPr="00B03342">
        <w:rPr>
          <w:rFonts w:ascii="Arial" w:hAnsi="Arial" w:cs="Arial"/>
          <w:color w:val="000000"/>
          <w:vertAlign w:val="subscript"/>
          <w:lang w:eastAsia="sr-Latn-RS"/>
        </w:rPr>
        <w:t>2</w:t>
      </w:r>
      <w:r w:rsidRPr="00B03342">
        <w:rPr>
          <w:rFonts w:ascii="Arial" w:hAnsi="Arial" w:cs="Arial"/>
          <w:color w:val="000000"/>
          <w:lang w:eastAsia="sr-Latn-RS"/>
        </w:rPr>
        <w:t> у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Једначине од (7-82) до (7-99) у ставку(д) ове тачке морају сe унети у рачунарски програм за итеративно решавање за вредности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Х2Oexh</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Ccомбdry</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За процену почетних вредности за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Х2Oexh</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Ccомбdry</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употребљава сe добра инжењерска процена. Препоручује се претпоставити да је почетна количина воде отприлике двострука количина воде у улазном ваздуху или ваздуху за разређивање. Препоручује се претпоставити да је почетна вредност за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Ccombdry</w:t>
      </w:r>
      <w:r w:rsidRPr="00B03342">
        <w:rPr>
          <w:rFonts w:ascii="Arial" w:hAnsi="Arial" w:cs="Arial"/>
          <w:color w:val="000000"/>
          <w:lang w:eastAsia="sr-Latn-RS"/>
        </w:rPr>
        <w:t> збир измерених вредности CO</w:t>
      </w:r>
      <w:r w:rsidRPr="00B03342">
        <w:rPr>
          <w:rFonts w:ascii="Arial" w:hAnsi="Arial" w:cs="Arial"/>
          <w:color w:val="000000"/>
          <w:vertAlign w:val="subscript"/>
          <w:lang w:eastAsia="sr-Latn-RS"/>
        </w:rPr>
        <w:t>2</w:t>
      </w:r>
      <w:r w:rsidRPr="00B03342">
        <w:rPr>
          <w:rFonts w:ascii="Arial" w:hAnsi="Arial" w:cs="Arial"/>
          <w:color w:val="000000"/>
          <w:lang w:eastAsia="sr-Latn-RS"/>
        </w:rPr>
        <w:t>, CO и THC. Препоручено је претпоставити и почетни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w:t>
      </w:r>
      <w:r w:rsidRPr="00B03342">
        <w:rPr>
          <w:rFonts w:ascii="Arial" w:hAnsi="Arial" w:cs="Arial"/>
          <w:color w:val="000000"/>
          <w:lang w:eastAsia="sr-Latn-RS"/>
        </w:rPr>
        <w:t> између 0,75 и 0,95, нпр. 0,8. Вредности у систему једначина понављају се док сва најновија ажурирана нагађања не буду унутар ±1 % њихове одговарајуће најновије обрачунате вредности,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ц) Следећи симболи и индекси употребљавају се у систему једначини тачке (д) ове тачке где је </w:t>
      </w:r>
      <w:r w:rsidRPr="00B03342">
        <w:rPr>
          <w:rFonts w:ascii="Arial" w:hAnsi="Arial" w:cs="Arial"/>
          <w:i/>
          <w:iCs/>
          <w:color w:val="000000"/>
          <w:lang w:eastAsia="sr-Latn-RS"/>
        </w:rPr>
        <w:t>x</w:t>
      </w:r>
      <w:r w:rsidRPr="00B03342">
        <w:rPr>
          <w:rFonts w:ascii="Arial" w:hAnsi="Arial" w:cs="Arial"/>
          <w:color w:val="000000"/>
          <w:lang w:eastAsia="sr-Latn-RS"/>
        </w:rPr>
        <w:t> mol/mol:</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81"/>
        <w:gridCol w:w="921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Симбол</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Опис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dil/exh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гаса за разређивање или вишак ваздуха по молу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издувном гасу по молу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Ccombdry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угљеника из горива у издувном гасу по молу сувог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издуву по сувом молу сувог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prod/intdry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сувих стехиометријских продуката по сувом молу улазног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dil/exhdry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гаса за разређивање и/или вишак ваздуха по молу сувог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int/exhdry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улазног ваздуха потребног за производњу стварних продуката сагоревања по молу сувог (неразређеног или разређеног)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raw/exhdry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неразређеног издувног гаса, без вишка ваздуха, по молу сувог (неразређеног или разређеног) издувног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O2intdry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Може се претпоставити количина улазног ваздуха О</w:t>
            </w:r>
            <w:r w:rsidRPr="00B03342">
              <w:rPr>
                <w:rFonts w:ascii="Arial" w:hAnsi="Arial" w:cs="Arial"/>
                <w:vertAlign w:val="subscript"/>
                <w:lang w:eastAsia="sr-Latn-RS"/>
              </w:rPr>
              <w:t>2</w:t>
            </w:r>
            <w:r w:rsidRPr="00B03342">
              <w:rPr>
                <w:rFonts w:ascii="Arial" w:hAnsi="Arial" w:cs="Arial"/>
                <w:lang w:eastAsia="sr-Latn-RS"/>
              </w:rPr>
              <w:t> по молу сувог улазног ваздуха x </w:t>
            </w:r>
            <w:r w:rsidRPr="00B03342">
              <w:rPr>
                <w:rFonts w:ascii="Arial" w:hAnsi="Arial" w:cs="Arial"/>
                <w:vertAlign w:val="subscript"/>
                <w:lang w:eastAsia="sr-Latn-RS"/>
              </w:rPr>
              <w:t>CO2intdry</w:t>
            </w:r>
            <w:r w:rsidRPr="00B03342">
              <w:rPr>
                <w:rFonts w:ascii="Arial" w:hAnsi="Arial" w:cs="Arial"/>
                <w:lang w:eastAsia="sr-Latn-RS"/>
              </w:rPr>
              <w:t> = 0,209445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CO2intdry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CO</w:t>
            </w:r>
            <w:r w:rsidRPr="00B03342">
              <w:rPr>
                <w:rFonts w:ascii="Arial" w:hAnsi="Arial" w:cs="Arial"/>
                <w:vertAlign w:val="subscript"/>
                <w:lang w:eastAsia="sr-Latn-RS"/>
              </w:rPr>
              <w:t>2</w:t>
            </w:r>
            <w:r w:rsidRPr="00B03342">
              <w:rPr>
                <w:rFonts w:ascii="Arial" w:hAnsi="Arial" w:cs="Arial"/>
                <w:lang w:eastAsia="sr-Latn-RS"/>
              </w:rPr>
              <w:t> у улазном ваздуху по молу сувог улазног ваздуха. Може се употребити вредност x </w:t>
            </w:r>
            <w:r w:rsidRPr="00B03342">
              <w:rPr>
                <w:rFonts w:ascii="Arial" w:hAnsi="Arial" w:cs="Arial"/>
                <w:vertAlign w:val="subscript"/>
                <w:lang w:eastAsia="sr-Latn-RS"/>
              </w:rPr>
              <w:t>CO2intdry</w:t>
            </w:r>
            <w:r w:rsidRPr="00B03342">
              <w:rPr>
                <w:rFonts w:ascii="Arial" w:hAnsi="Arial" w:cs="Arial"/>
                <w:lang w:eastAsia="sr-Latn-RS"/>
              </w:rPr>
              <w:t> = 375 μmol/mol, но препоручује се мерење стварне концентрације у улазном ваздуху.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H2Ointdry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H</w:t>
            </w:r>
            <w:r w:rsidRPr="00B03342">
              <w:rPr>
                <w:rFonts w:ascii="Arial" w:hAnsi="Arial" w:cs="Arial"/>
                <w:vertAlign w:val="subscript"/>
                <w:lang w:eastAsia="sr-Latn-RS"/>
              </w:rPr>
              <w:t>2</w:t>
            </w:r>
            <w:r w:rsidRPr="00B03342">
              <w:rPr>
                <w:rFonts w:ascii="Arial" w:hAnsi="Arial" w:cs="Arial"/>
                <w:lang w:eastAsia="sr-Latn-RS"/>
              </w:rPr>
              <w:t>O у улазном ваздуху по молу сувог улазног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CO2int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CO</w:t>
            </w:r>
            <w:r w:rsidRPr="00B03342">
              <w:rPr>
                <w:rFonts w:ascii="Arial" w:hAnsi="Arial" w:cs="Arial"/>
                <w:vertAlign w:val="subscript"/>
                <w:lang w:eastAsia="sr-Latn-RS"/>
              </w:rPr>
              <w:t>2</w:t>
            </w:r>
            <w:r w:rsidRPr="00B03342">
              <w:rPr>
                <w:rFonts w:ascii="Arial" w:hAnsi="Arial" w:cs="Arial"/>
                <w:lang w:eastAsia="sr-Latn-RS"/>
              </w:rPr>
              <w:t> у улазном ваздуху по молу улазног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CO</w:t>
            </w:r>
            <w:r w:rsidRPr="00B03342">
              <w:rPr>
                <w:rFonts w:ascii="Arial" w:hAnsi="Arial" w:cs="Arial"/>
                <w:vertAlign w:val="subscript"/>
                <w:lang w:eastAsia="sr-Latn-RS"/>
              </w:rPr>
              <w:t>2</w:t>
            </w:r>
            <w:r w:rsidRPr="00B03342">
              <w:rPr>
                <w:rFonts w:ascii="Arial" w:hAnsi="Arial" w:cs="Arial"/>
                <w:lang w:eastAsia="sr-Latn-RS"/>
              </w:rPr>
              <w:t> у гасу за разређивање по молу гаса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CO2dildry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CO</w:t>
            </w:r>
            <w:r w:rsidRPr="00B03342">
              <w:rPr>
                <w:rFonts w:ascii="Arial" w:hAnsi="Arial" w:cs="Arial"/>
                <w:vertAlign w:val="subscript"/>
                <w:lang w:eastAsia="sr-Latn-RS"/>
              </w:rPr>
              <w:t>2</w:t>
            </w:r>
            <w:r w:rsidRPr="00B03342">
              <w:rPr>
                <w:rFonts w:ascii="Arial" w:hAnsi="Arial" w:cs="Arial"/>
                <w:lang w:eastAsia="sr-Latn-RS"/>
              </w:rPr>
              <w:t> у гасу за разређивање по молу сувог гаса за разређивање Ако се као разређивач употребљава ваздух, може се употребљавати x </w:t>
            </w:r>
            <w:r w:rsidRPr="00B03342">
              <w:rPr>
                <w:rFonts w:ascii="Arial" w:hAnsi="Arial" w:cs="Arial"/>
                <w:vertAlign w:val="subscript"/>
                <w:lang w:eastAsia="sr-Latn-RS"/>
              </w:rPr>
              <w:t>CO2 dildry</w:t>
            </w:r>
            <w:r w:rsidRPr="00B03342">
              <w:rPr>
                <w:rFonts w:ascii="Arial" w:hAnsi="Arial" w:cs="Arial"/>
                <w:lang w:eastAsia="sr-Latn-RS"/>
              </w:rPr>
              <w:t>= 375 μmol/mol, но препоручује се мерење стварне концентрације у улазном ваздуху.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H2Odildry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H</w:t>
            </w:r>
            <w:r w:rsidRPr="00B03342">
              <w:rPr>
                <w:rFonts w:ascii="Arial" w:hAnsi="Arial" w:cs="Arial"/>
                <w:vertAlign w:val="subscript"/>
                <w:lang w:eastAsia="sr-Latn-RS"/>
              </w:rPr>
              <w:t>2</w:t>
            </w:r>
            <w:r w:rsidRPr="00B03342">
              <w:rPr>
                <w:rFonts w:ascii="Arial" w:hAnsi="Arial" w:cs="Arial"/>
                <w:lang w:eastAsia="sr-Latn-RS"/>
              </w:rPr>
              <w:t>O у гасу за разређивање по молу сувог гаса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H</w:t>
            </w:r>
            <w:r w:rsidRPr="00B03342">
              <w:rPr>
                <w:rFonts w:ascii="Arial" w:hAnsi="Arial" w:cs="Arial"/>
                <w:vertAlign w:val="subscript"/>
                <w:lang w:eastAsia="sr-Latn-RS"/>
              </w:rPr>
              <w:t>2</w:t>
            </w:r>
            <w:r w:rsidRPr="00B03342">
              <w:rPr>
                <w:rFonts w:ascii="Arial" w:hAnsi="Arial" w:cs="Arial"/>
                <w:lang w:eastAsia="sr-Latn-RS"/>
              </w:rPr>
              <w:t>O у гасу за разређивање по молу гаса за разређивање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[emission]meas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измерених емисија у узорку у одговарајућем анализатору гаса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[emission]dry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емисија по сувом молу сувог узорка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H2O[emission]meas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узорку на месту детекције емисија. Те се вредности мере или процењују у складу са тачком 9.3.2.3.1. овог прилога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H2Oint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улазном ваздуху, базирана на мерењу влажности улазног ваздуха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lang w:eastAsia="sr-Latn-RS"/>
              </w:rPr>
              <w:t> </w:t>
            </w:r>
            <w:r w:rsidRPr="00B03342">
              <w:rPr>
                <w:rFonts w:ascii="Arial" w:hAnsi="Arial" w:cs="Arial"/>
                <w:vertAlign w:val="subscript"/>
                <w:lang w:eastAsia="sr-Latn-RS"/>
              </w:rPr>
              <w:t>H2Ogas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равнотеже реакције воде и гаса. Може се обрачунати 3,5 или нека друга вредност на основу добре инжењерске процене.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α</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водоника и угљеника мешавине горива која сагорева, пондерисан моларном потрошњом (CHαOβ)</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атомског кисеоника и угљеника мешавине горива која сагорева пондерисан моларном потрошњом (CHαOβ)</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 За итеративно решавање за вредности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H2Oexh</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Ccombdry</w:t>
      </w:r>
      <w:r w:rsidRPr="00B03342">
        <w:rPr>
          <w:rFonts w:ascii="Arial" w:hAnsi="Arial" w:cs="Arial"/>
          <w:color w:val="000000"/>
          <w:lang w:eastAsia="sr-Latn-RS"/>
        </w:rPr>
        <w:t> употребљавају се следеће једначине (7-84) до (7-101):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232B7C4" wp14:editId="2EC0B505">
            <wp:extent cx="5057140" cy="5868035"/>
            <wp:effectExtent l="0" t="0" r="0" b="0"/>
            <wp:docPr id="157" name="Picture 157" descr="A detailed set of mathematical equations related to chemical or physical processes involving variables for concentrations, exchanges, and interactions, formatted with fractions, subscripts, and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 detailed set of mathematical equations related to chemical or physical processes involving variables for concentrations, exchanges, and interactions, formatted with fractions, subscripts, and parentheses.&#10;&#10;Description generated by AI"/>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57140" cy="58680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крају хемијске равнотеже мери се моларни проток како je одређено у тач. 3.5.3. и 3.6.3.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3.4.4. Корекција NO</w:t>
      </w:r>
      <w:r w:rsidRPr="00B03342">
        <w:rPr>
          <w:rFonts w:ascii="Arial" w:hAnsi="Arial" w:cs="Arial"/>
          <w:color w:val="000000"/>
          <w:vertAlign w:val="subscript"/>
          <w:lang w:eastAsia="sr-Latn-RS"/>
        </w:rPr>
        <w:t>x</w:t>
      </w:r>
      <w:r w:rsidRPr="00B03342">
        <w:rPr>
          <w:rFonts w:ascii="Arial" w:hAnsi="Arial" w:cs="Arial"/>
          <w:color w:val="000000"/>
          <w:lang w:eastAsia="sr-Latn-RS"/>
        </w:rPr>
        <w:t> за влажност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Све концентрације NO</w:t>
      </w:r>
      <w:r w:rsidRPr="00B03342">
        <w:rPr>
          <w:rFonts w:ascii="Arial" w:hAnsi="Arial" w:cs="Arial"/>
          <w:color w:val="000000"/>
          <w:vertAlign w:val="subscript"/>
          <w:lang w:eastAsia="sr-Latn-RS"/>
        </w:rPr>
        <w:t>x</w:t>
      </w:r>
      <w:r w:rsidRPr="00B03342">
        <w:rPr>
          <w:rFonts w:ascii="Arial" w:hAnsi="Arial" w:cs="Arial"/>
          <w:color w:val="000000"/>
          <w:lang w:eastAsia="sr-Latn-RS"/>
        </w:rPr>
        <w:t>, укључујући крајње концентрације ваздуха зa разређивање, коригују се за влажност улазног ваздуха помоћу једначине (7-102) или (7-103):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за моторе с компресијским паљењем</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45"/>
        <w:gridCol w:w="16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NOxcor</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NOxuncor</w:t>
            </w:r>
            <w:r w:rsidRPr="00B03342">
              <w:rPr>
                <w:rFonts w:ascii="Arial" w:hAnsi="Arial" w:cs="Arial"/>
                <w:lang w:eastAsia="sr-Latn-RS"/>
              </w:rPr>
              <w:t> · (9,953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r w:rsidRPr="00B03342">
              <w:rPr>
                <w:rFonts w:ascii="Arial" w:hAnsi="Arial" w:cs="Arial"/>
                <w:lang w:eastAsia="sr-Latn-RS"/>
              </w:rPr>
              <w:t> + 0,832)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(7-102)</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моторе с паљењем електричном варницом</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58"/>
        <w:gridCol w:w="154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NOxcor</w:t>
            </w:r>
            <w:r w:rsidRPr="00B03342">
              <w:rPr>
                <w:rFonts w:ascii="Arial" w:hAnsi="Arial" w:cs="Arial"/>
                <w:lang w:eastAsia="sr-Latn-RS"/>
              </w:rPr>
              <w:t>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NOxuncor</w:t>
            </w:r>
            <w:r w:rsidRPr="00B03342">
              <w:rPr>
                <w:rFonts w:ascii="Arial" w:hAnsi="Arial" w:cs="Arial"/>
                <w:lang w:eastAsia="sr-Latn-RS"/>
              </w:rPr>
              <w:t> · (18,840 ·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r w:rsidRPr="00B03342">
              <w:rPr>
                <w:rFonts w:ascii="Arial" w:hAnsi="Arial" w:cs="Arial"/>
                <w:lang w:eastAsia="sr-Latn-RS"/>
              </w:rPr>
              <w:t> + 0,68094)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(7-103)</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46"/>
        <w:gridCol w:w="257"/>
        <w:gridCol w:w="909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NOxuncor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некоригована моларна концентрација NO</w:t>
            </w:r>
            <w:r w:rsidRPr="00B03342">
              <w:rPr>
                <w:rFonts w:ascii="Arial" w:hAnsi="Arial" w:cs="Arial"/>
                <w:vertAlign w:val="subscript"/>
                <w:lang w:eastAsia="sr-Latn-RS"/>
              </w:rPr>
              <w:t>x</w:t>
            </w:r>
            <w:r w:rsidRPr="00B03342">
              <w:rPr>
                <w:rFonts w:ascii="Arial" w:hAnsi="Arial" w:cs="Arial"/>
                <w:lang w:eastAsia="sr-Latn-RS"/>
              </w:rPr>
              <w:t> у издувном гасу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улазном ваздуху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 Мерење гасовитих емисија у неразређеном издувном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3.5.1. Маса гасoвитих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рачунање укупне масе по испитивању гасовите емисије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моларна концентрација множи се одговарајућим моларним протоком и моларном масом издувног гасa, а затим се изводи интеграција у испитном циклусу [једначина (7-104)]: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31ED39FD" wp14:editId="74D66916">
            <wp:extent cx="5057140" cy="445135"/>
            <wp:effectExtent l="0" t="0" r="0" b="0"/>
            <wp:docPr id="156" name="Picture 156" descr="A mathematical equation expressing the mass of gas as the product of gas density and the integral of the product of exhaust velocity and gas concentration over tim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 mathematical equation expressing the mass of gas as the product of gas density and the integral of the product of exhaust velocity and gas concentration over time.&#10;&#10;Description generated by AI"/>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1"/>
        <w:gridCol w:w="242"/>
        <w:gridCol w:w="959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гасoвите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гасa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моларна концентрација генеричког гасa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 [s].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Будући да се једначина (7-104) мора решавати нумеричком интеграцијом, она се мења у једначину (7-105):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08A6A73" wp14:editId="3922A88D">
            <wp:extent cx="5057140" cy="850900"/>
            <wp:effectExtent l="0" t="0" r="0" b="6350"/>
            <wp:docPr id="155" name="Picture 155" descr="A mathematical equation showing the mass of gas as the product of mass flow rate, exhaust concentration, and time, followed by a summation formula for the same mass using discrete time interva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 mathematical equation showing the mass of gas as the product of mass flow rate, exhaust concentration, and time, followed by a summation formula for the same mass using discrete time intervals.&#10;&#10;Description generated by AI"/>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57140" cy="8509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0"/>
        <w:gridCol w:w="241"/>
        <w:gridCol w:w="955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гасa на влажној основи[mol/s]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моларна концентрација генеричкog гасa на влажној основи[mol/mol]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Општа једначина може се мењати у складу с тим који се систем примењује, је ли узорковање групно или континуирано и узоркује ли се варирајући или константни проток.</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За континуирано узорковање, у општем случају варирајућег протокa маса гасoвите емисије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рачуна сe помоћу једначине (7-106):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1A8FCD9" wp14:editId="4AF8B938">
            <wp:extent cx="5057140" cy="564515"/>
            <wp:effectExtent l="0" t="0" r="0" b="6985"/>
            <wp:docPr id="154" name="Picture 154" descr="A mathematical formula expressing m_gas as one minus the product of M_gas and the summation from i equals one to N of exhi times x_gasi.&#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A mathematical formula expressing m_gas as one minus the product of M_gas and the summation from i equals one to N of exhi times x_gasi.&#10;&#10;Description generated by AI"/>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77"/>
        <w:gridCol w:w="268"/>
        <w:gridCol w:w="945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гасa на влажној основи[mol/s]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удео гасoвите емисије на влажној основи[mol/mol]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За континуирано узорковање, али за константни проток, маса гасoвите емисије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рачуна сe помоћу једначине (7-107):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2E66F83" wp14:editId="1D50D58D">
            <wp:extent cx="5057140" cy="334010"/>
            <wp:effectExtent l="0" t="0" r="0" b="8890"/>
            <wp:docPr id="153" name="Picture 153" descr="A mathematical equation expressing gas mass as the product of gas mass, exchange rate, average gas concentration, and time interva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 mathematical equation expressing gas mass as the product of gas mass, exchange rate, average gas concentration, and time interval.&#10;&#10;Description generated by AI"/>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80"/>
        <w:gridCol w:w="256"/>
        <w:gridCol w:w="916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издувног гасa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11D3759" wp14:editId="18E122DB">
                  <wp:extent cx="405765" cy="230505"/>
                  <wp:effectExtent l="0" t="0" r="0" b="0"/>
                  <wp:docPr id="152" name="Picture 152" descr="The image shows the variable x with a horizontal bar above it followed by the word &quot;gas&quot; in a serif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The image shows the variable x with a horizontal bar above it followed by the word &quot;gas&quot; in a serif font.&#10;&#10;Description generated by AI"/>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05765"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просечне гасoвите емисије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Δ</w:t>
            </w: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временско трајање испитног интервала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групно узорковање, независно о томе је ли проток варирајући или константан, једначина (7–104) може се поједноставити помоћу једначине (7-108):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002F704" wp14:editId="5CCB048E">
            <wp:extent cx="5057140" cy="501015"/>
            <wp:effectExtent l="0" t="0" r="0" b="0"/>
            <wp:docPr id="151" name="Picture 151" descr="A mathematical formula expressing m_gas as one divided by the product of M_gas and x_gas, multiplied by the sum of exhi from i equals one to N, with the equation number 7-108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 mathematical formula expressing m_gas as one divided by the product of M_gas and x_gas, multiplied by the sum of exhi from i equals one to N, with the equation number 7-108 in parentheses.&#10;&#10;Description generated by AI"/>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где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80"/>
        <w:gridCol w:w="256"/>
        <w:gridCol w:w="916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гасa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37AACF3" wp14:editId="4449DFA9">
                  <wp:extent cx="405765" cy="230505"/>
                  <wp:effectExtent l="0" t="0" r="0" b="0"/>
                  <wp:docPr id="150" name="Picture 150" descr="The image shows the variable &quot;x&quot; with a subscript &quot;gas&quot; written in a pixelated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he image shows the variable &quot;x&quot; with a subscript &quot;gas&quot; written in a pixelated font.&#10;&#10;Description generated by AI"/>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05765"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просечне гасoвите емисије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3.5.2. Конверзија концентрације из сувог у влажно стање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Параметри из ове тачке добијени су из резултата хемијске равнотеже обрачунате у тачки 3.4.3. Између моларних концентрација гаса у измереном протоку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gasdry</w:t>
      </w:r>
      <w:r w:rsidRPr="00B03342">
        <w:rPr>
          <w:rFonts w:ascii="Arial" w:hAnsi="Arial" w:cs="Arial"/>
          <w:color w:val="000000"/>
          <w:lang w:eastAsia="sr-Latn-RS"/>
        </w:rPr>
        <w:t> и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[mol/mol] израженом на сувој, односно влажној основи, постоји следећи однос [једначине (7-109) и (7-110)]: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1163A1F" wp14:editId="2CC0AE66">
            <wp:extent cx="5057140" cy="787400"/>
            <wp:effectExtent l="0" t="0" r="0" b="0"/>
            <wp:docPr id="149" name="Picture 149" descr="Two mathematical equations showing the relationships between x_gasdry, x_gas, and x_H2O with corresponding equation numbe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wo mathematical equations showing the relationships between x_gasdry, x_gas, and x_H2O with corresponding equation numbers.&#10;&#10;Description generated by AI"/>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57140" cy="7874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75"/>
        <w:gridCol w:w="264"/>
        <w:gridCol w:w="926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воде у измереном протоку на влажној основи[mol/mol]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воде у измереном протоку на сувој основи[mol/mol]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Зa гасoвите емисије врши сe корекција за уклоњену воду за генеричку концентрацију </w:t>
      </w:r>
      <w:r w:rsidRPr="00B03342">
        <w:rPr>
          <w:rFonts w:ascii="Arial" w:hAnsi="Arial" w:cs="Arial"/>
          <w:i/>
          <w:iCs/>
          <w:color w:val="000000"/>
          <w:lang w:eastAsia="sr-Latn-RS"/>
        </w:rPr>
        <w:t>x</w:t>
      </w:r>
      <w:r w:rsidRPr="00B03342">
        <w:rPr>
          <w:rFonts w:ascii="Arial" w:hAnsi="Arial" w:cs="Arial"/>
          <w:color w:val="000000"/>
          <w:lang w:eastAsia="sr-Latn-RS"/>
        </w:rPr>
        <w:t> [mol/mol] помоћу једначине (7-111):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6EF518C" wp14:editId="56186789">
            <wp:extent cx="5057140" cy="564515"/>
            <wp:effectExtent l="0" t="0" r="0" b="6985"/>
            <wp:docPr id="148" name="Picture 148" descr="An equation expressing x as the measured emission value multiplied by the ratio of one minus the mole fraction of water vapor in the atmosphere to one minus the mole fraction of water vapor in the measured emi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n equation expressing x as the measured emission value multiplied by the ratio of one minus the mole fraction of water vapor in the atmosphere to one minus the mole fraction of water vapor in the measured emission.&#10;&#10;Description generated by AI"/>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39"/>
        <w:gridCol w:w="225"/>
        <w:gridCol w:w="853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[emission]meas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емисије у измереном протоку на локацији мерења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H2O[emission]meas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измереном протоку на мерењу концентрације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мерачу протокa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3.5.3. Моларни проток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Проток неразређеног издувног гасa може се директно измерити или се може обрачунати на основу хемијске равнотеже из тачке 3.4.3. обрачун моларног протока неразређеног издувног гаса обавља се из измереног моларног протока улазног ваздуха </w:t>
      </w:r>
      <w:r w:rsidRPr="00B03342">
        <w:rPr>
          <w:rFonts w:ascii="Arial" w:hAnsi="Arial" w:cs="Arial"/>
          <w:color w:val="000000"/>
          <w:lang w:eastAsia="sr-Latn-RS"/>
        </w:rPr>
        <w:lastRenderedPageBreak/>
        <w:t>или масеног протока горива. Моларни проток неразређеног издувног гаса може се обрачунати из узоркованих емисија,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на основу измереног моларног протока улазног ваздуха,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или измереног масеног протокa горива, </w:t>
      </w:r>
      <w:r w:rsidRPr="00B03342">
        <w:rPr>
          <w:rFonts w:ascii="Arial" w:hAnsi="Arial" w:cs="Arial"/>
          <w:i/>
          <w:iCs/>
          <w:color w:val="000000"/>
          <w:lang w:eastAsia="sr-Latn-RS"/>
        </w:rPr>
        <w:t>ṁ</w:t>
      </w:r>
      <w:r w:rsidRPr="00B03342">
        <w:rPr>
          <w:rFonts w:ascii="Arial" w:hAnsi="Arial" w:cs="Arial"/>
          <w:color w:val="000000"/>
          <w:vertAlign w:val="subscript"/>
          <w:lang w:eastAsia="sr-Latn-RS"/>
        </w:rPr>
        <w:t>fuel</w:t>
      </w:r>
      <w:r w:rsidRPr="00B03342">
        <w:rPr>
          <w:rFonts w:ascii="Arial" w:hAnsi="Arial" w:cs="Arial"/>
          <w:i/>
          <w:iCs/>
          <w:color w:val="000000"/>
          <w:lang w:eastAsia="sr-Latn-RS"/>
        </w:rPr>
        <w:t> </w:t>
      </w:r>
      <w:r w:rsidRPr="00B03342">
        <w:rPr>
          <w:rFonts w:ascii="Arial" w:hAnsi="Arial" w:cs="Arial"/>
          <w:color w:val="000000"/>
          <w:lang w:eastAsia="sr-Latn-RS"/>
        </w:rPr>
        <w:t>, и вредности обрачунатих употребом хемијске равнотеже из тачке 3.4.3. овог прилога. Решава се за хемијску равнотежу из тачке 3.4.3 овог прилога истом учесталошћу којом се ажурира и бележи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или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fuel</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Проток емисија из кућишта коленастог вратила. Проток неразређеног издувног гаса може се обрачунати на основу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или </w:t>
      </w:r>
      <w:r w:rsidRPr="00B03342">
        <w:rPr>
          <w:rFonts w:ascii="Arial" w:hAnsi="Arial" w:cs="Arial"/>
          <w:i/>
          <w:iCs/>
          <w:color w:val="000000"/>
          <w:lang w:eastAsia="sr-Latn-RS"/>
        </w:rPr>
        <w:t>ṁ</w:t>
      </w:r>
      <w:r w:rsidRPr="00B03342">
        <w:rPr>
          <w:rFonts w:ascii="Arial" w:hAnsi="Arial" w:cs="Arial"/>
          <w:color w:val="000000"/>
          <w:vertAlign w:val="subscript"/>
          <w:lang w:eastAsia="sr-Latn-RS"/>
        </w:rPr>
        <w:t>fuel</w:t>
      </w:r>
      <w:r w:rsidRPr="00B03342">
        <w:rPr>
          <w:rFonts w:ascii="Arial" w:hAnsi="Arial" w:cs="Arial"/>
          <w:color w:val="000000"/>
          <w:lang w:eastAsia="sr-Latn-RS"/>
        </w:rPr>
        <w:t> само ако је тачна барем једна од следећих тврдњи о протоку емисија из кућишта коленастог вратила: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испитни мотор има систем за контролу емисија са затвореним кућиштем коленастог вратила које усмерава проток емисија из кућишта коленастог вратила натраг у улазни ваздух, иза мерача протока улазног ваздуха;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за време испитивања емисија проток емисија из отвореног кућишта коленастог вратила усмерава се у издувни гас у складу с тачком 6.10.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емисије и проток отвореног кућишта коленастог вратила мере се и додају обрачунима специфичних ефективних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употребом података о емисији или инжењерском анализом може се доказати да занемаривање протока емисија отвореног кућишта коленастог вратила не утјече штетно на сукладност с важећим нормама.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Обрачун моларног протока на основу улазног ваздуха.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Нa основу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моларни проток издувног гасa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[mol/s] рачуна сe помоћу једначине (7-112):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148E065" wp14:editId="63D52C33">
            <wp:extent cx="5057140" cy="620395"/>
            <wp:effectExtent l="0" t="0" r="0" b="8255"/>
            <wp:docPr id="147" name="Picture 147" descr="A mathematical formula expressing exch as a fraction involving an integral and variables related to exchdry, xraw, and XH2Oexchdr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 mathematical formula expressing exch as a fraction involving an integral and variables related to exchdry, xraw, and XH2Oexchdry.&#10;&#10;Description generated by AI"/>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57140" cy="62039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7"/>
        <w:gridCol w:w="166"/>
        <w:gridCol w:w="952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неразређеног издувног гасa из којег се мере емисије[mol/s]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ind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улазног ваздуха укључујући влажност у улазном ваздуху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int/exhdry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улазног ваздуха потребног за производњу стварних продуката горења по молу сувог (неразређеног или разређеног) издувног гасa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raw/exhdry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неразређеног издувног гасa, без вишка ваздуха, пo молу сувог (неразређеног или разређеног) издувног гасa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издувном гасу пo молу сувог издувног гасa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Обрачун моларног протока на основу масеног протокa горива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На основу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fuel</w:t>
      </w:r>
      <w:r w:rsidRPr="00B03342">
        <w:rPr>
          <w:rFonts w:ascii="Arial" w:hAnsi="Arial" w:cs="Arial"/>
          <w:color w:val="000000"/>
          <w:lang w:eastAsia="sr-Latn-RS"/>
        </w:rPr>
        <w:t>,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[mol/s] рачуна сe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спровођењу лабораторијских испитивања овај се обрачун може употребити за испитивања у NRSC-у с дискретним начинима и RMC-у [једначина (7-113)]: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40D9280" wp14:editId="17B9DBA5">
            <wp:extent cx="5057140" cy="501015"/>
            <wp:effectExtent l="0" t="0" r="0" b="0"/>
            <wp:docPr id="146" name="Picture 146" descr="A mathematical formula showing the calculation of ex_h as the product of fuel, WC, and one plus XH2Oexhdry divided by the product of MC and XCOexhdry, labeled as equation 7-11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A mathematical formula showing the calculation of ex_h as the product of fuel, WC, and one plus XH2Oexhdry divided by the product of MC and XCOexhdry, labeled as equation 7-113.&#10;&#10;Description generated by AI"/>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50"/>
        <w:gridCol w:w="216"/>
        <w:gridCol w:w="923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неразређеног издувног гасa из којег се мере емисије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горива укључујући влажност у улазном ваздуху [g/с]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масе угљеника зa задатo гориво [g/g]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H</w:t>
            </w:r>
            <w:r w:rsidRPr="00B03342">
              <w:rPr>
                <w:rFonts w:ascii="Arial" w:hAnsi="Arial" w:cs="Arial"/>
                <w:vertAlign w:val="subscript"/>
                <w:lang w:eastAsia="sr-Latn-RS"/>
              </w:rPr>
              <w:t>2</w:t>
            </w:r>
            <w:r w:rsidRPr="00B03342">
              <w:rPr>
                <w:rFonts w:ascii="Arial" w:hAnsi="Arial" w:cs="Arial"/>
                <w:lang w:eastAsia="sr-Latn-RS"/>
              </w:rPr>
              <w:t>O по сувом молу измереног протокa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угљеника 12,0107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Ccombdry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угљеника из горива у издувном гасу пo молу сувог издувног гасa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Рачунање моларног протокa издувног гасa на основу измереног моларног протокa улазног ваздуха, моларног протокa разређеног издувног гасa и хемијске равнотеже разређеног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Моларни проток издувног гасa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[mol/s] може се обрачунати на основу измереног моларног протокa улазног ваздуха,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измереног моларног протокa разређеног издувног гасa,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dexh</w:t>
      </w:r>
      <w:r w:rsidRPr="00B03342">
        <w:rPr>
          <w:rFonts w:ascii="Arial" w:hAnsi="Arial" w:cs="Arial"/>
          <w:color w:val="000000"/>
          <w:lang w:eastAsia="sr-Latn-RS"/>
        </w:rPr>
        <w:t>, и вредности обрачунатих употребом хемијске равнотеже из тачке 3.4.3. овог прилога. Потребно је напоменути да се хемијска равнотежа мора заснивати на концентрацијама разређеног издувног гаса. За обрачунавање континуираног протока, рачунају се хемијске равнотеже из тачке 3.4.3 с истом учесталошћу с којом се ажурирају и бележе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int</w:t>
      </w:r>
      <w:r w:rsidRPr="00B03342">
        <w:rPr>
          <w:rFonts w:ascii="Arial" w:hAnsi="Arial" w:cs="Arial"/>
          <w:color w:val="000000"/>
          <w:lang w:eastAsia="sr-Latn-RS"/>
        </w:rPr>
        <w:t> или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dexh</w:t>
      </w:r>
      <w:r w:rsidRPr="00B03342">
        <w:rPr>
          <w:rFonts w:ascii="Arial" w:hAnsi="Arial" w:cs="Arial"/>
          <w:color w:val="000000"/>
          <w:lang w:eastAsia="sr-Latn-RS"/>
        </w:rPr>
        <w:t>. Обрачуната вредност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dexh</w:t>
      </w:r>
      <w:r w:rsidRPr="00B03342">
        <w:rPr>
          <w:rFonts w:ascii="Arial" w:hAnsi="Arial" w:cs="Arial"/>
          <w:color w:val="000000"/>
          <w:lang w:eastAsia="sr-Latn-RS"/>
        </w:rPr>
        <w:t> може се употребити за верификацију односа разређивања честица материја, обрачун моларног протока ваздуха за разређивање у корекцији за позадину у тачки 3.6.1. овог прилога те за обрачун масе емисија у тачки 3.5.1. овог прилога за врсте које се мере у неразређеном издувном гасу.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На основу моларног протока разређеног издувног гаса и улазног ваздуха, моларни проток издувног гаса,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[mol/s], рачуна се како следи:</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02C03AF" wp14:editId="43963A00">
            <wp:extent cx="5057140" cy="334010"/>
            <wp:effectExtent l="0" t="0" r="0" b="8890"/>
            <wp:docPr id="145" name="Picture 145" descr="A mathematical formula expressing exh as a function of raw and internal concentrations, water content, and other variables, with a reference to equation 7-11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 mathematical formula expressing exh as a function of raw and internal concentrations, water content, and other variables, with a reference to equation 7-114.&#10;&#10;Description generated by AI"/>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87"/>
        <w:gridCol w:w="166"/>
        <w:gridCol w:w="954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неразређеног издувног гасa из којег се мере емисије[mol/s];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int/exhdry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улазног ваздуха потребног за производњу стварних продуката горења по молу сувог (неразређеног или разређеног) издувног гасa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raw/exhdry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неразређеног издувног гасa, без вишка ваздуха, пo молу сувог (неразређеног или разређеног) издувног гасa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издувном гасу пo молу сувог дима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dexh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разређеног дима из којег се мере емисије[mol/s]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int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улазног ваздуха укључујући влажност у улазном ваздуху [mol/s]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3.6. Разређене гасне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3.6.1. Прорачун масе емисије и корекција за позадину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Маса гасовитих емисија m</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као функција моларних протока емисија прорачунава се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континуирано узорковање и варирајући проток прорачунава се помоћу једначине (7-106):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53BDB47" wp14:editId="1458255C">
            <wp:extent cx="5057140" cy="501015"/>
            <wp:effectExtent l="0" t="0" r="0" b="0"/>
            <wp:docPr id="144" name="Picture 144" descr="A mathematical formula expressing m_gas as a function of M_gas, a summation of products involving variables omega_hi and X_gas_i, and a fraction with denominator f.&#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A mathematical formula expressing m_gas as a function of M_gas, a summation of products involving variables omega_hi and X_gas_i, and a fraction with denominator f.&#10;&#10;Description generated by AI"/>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7"/>
        <w:gridCol w:w="240"/>
        <w:gridCol w:w="96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vertAlign w:val="subscript"/>
                <w:lang w:eastAsia="sr-Latn-RS"/>
              </w:rPr>
              <w:t>exhi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гаса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vertAlign w:val="subscript"/>
                <w:lang w:eastAsia="sr-Latn-RS"/>
              </w:rPr>
              <w:t>gasi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моларна концентрација генеричког гаса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континуирано узорковање и константни проток прорачунава се помоћу једначине (7-107):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49E09EC" wp14:editId="0DEF71DD">
            <wp:extent cx="5057140" cy="445135"/>
            <wp:effectExtent l="0" t="0" r="0" b="0"/>
            <wp:docPr id="143" name="Picture 143" descr="A mathematical equation expressing the mass of gas as the product of gas mass, exhaust concentration, average gas concentration, and time interval, with a reference to an equation number in a different scrip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 mathematical equation expressing the mass of gas as the product of gas mass, exhaust concentration, average gas concentration, and time interval, with a reference to an equation number in a different script.&#10;&#10;Description generated by AI"/>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18"/>
        <w:gridCol w:w="245"/>
        <w:gridCol w:w="883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издувног гаса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lastRenderedPageBreak/>
              <w:drawing>
                <wp:inline distT="0" distB="0" distL="0" distR="0" wp14:anchorId="35EFD792" wp14:editId="4D2DBCED">
                  <wp:extent cx="564515" cy="294005"/>
                  <wp:effectExtent l="0" t="0" r="6985" b="0"/>
                  <wp:docPr id="142" name="Picture 142" descr="The image shows the variable &quot;x&quot; with a subscript &quot;gas&quot; written in a pixelated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The image shows the variable &quot;x&quot; with a subscript &quot;gas&quot; written in a pixelated font.&#10;&#10;Description generated by AI"/>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4515" cy="2940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просечне гасовите емисије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Δ</w:t>
            </w: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временско трајање испитног интервала,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скупно узорковање, независно о томе је ли проток варирајући или константан, прорачунава се помоћу једначине (7-108):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EB5B579" wp14:editId="4BFFD9F1">
            <wp:extent cx="5057140" cy="675640"/>
            <wp:effectExtent l="0" t="0" r="0" b="0"/>
            <wp:docPr id="141" name="Picture 141" descr="A mathematical formula expressing m_gns as a fraction involving f, M_gns, x_gns, and a summation of exhi terms with a reference to equation 7-108 in a non-English scrip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 mathematical formula expressing m_gns as a fraction involving f, M_gns, x_gns, and a summation of exhi terms with a reference to equation 7-108 in a non-English script.&#10;&#10;Description generated by AI"/>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57140" cy="67564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28"/>
        <w:gridCol w:w="247"/>
        <w:gridCol w:w="882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 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генеричке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ṅ</w:t>
            </w:r>
            <w:r w:rsidRPr="00B03342">
              <w:rPr>
                <w:rFonts w:ascii="Arial" w:hAnsi="Arial" w:cs="Arial"/>
                <w:vertAlign w:val="subscript"/>
                <w:lang w:eastAsia="sr-Latn-RS"/>
              </w:rPr>
              <w:t>exhi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гаса на влажној основи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158DD7A" wp14:editId="39354C84">
                  <wp:extent cx="564515" cy="294005"/>
                  <wp:effectExtent l="0" t="0" r="6985" b="0"/>
                  <wp:docPr id="140" name="Picture 140" descr="The image shows the mathematical notation for the partial derivative of gas with respect to a variable x.&#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The image shows the mathematical notation for the partial derivative of gas with respect to a variable x.&#10;&#10;Description generated by AI"/>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4515" cy="2940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просечне гасовите емисије на влажној основи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У случају разређеног издувног гаса прорачунате вредности масе загађујућих материја коригује се одузимањем масе позадинских емисија, због ваздуха за разређивање: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 Као прво, моларни проток ваздуха за разређивање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airdil</w:t>
      </w:r>
      <w:r w:rsidRPr="00B03342">
        <w:rPr>
          <w:rFonts w:ascii="Arial" w:hAnsi="Arial" w:cs="Arial"/>
          <w:color w:val="000000"/>
          <w:lang w:eastAsia="sr-Latn-RS"/>
        </w:rPr>
        <w:t> [mol/s] одређује се током испитног интервала. То може бити измерена количина или количина прорачуната из протока разређеног издувног гаса и средње вредности удела ваздуха за разређивање пондерисане према протоку у разређеном издувном гасу, </w:t>
      </w:r>
      <w:r w:rsidRPr="00B03342">
        <w:rPr>
          <w:rFonts w:ascii="Arial" w:hAnsi="Arial" w:cs="Arial"/>
          <w:color w:val="000000"/>
          <w:lang w:val="en-US"/>
        </w:rPr>
        <w:drawing>
          <wp:inline distT="0" distB="0" distL="0" distR="0" wp14:anchorId="4CC52A76" wp14:editId="42FAC7C9">
            <wp:extent cx="850900" cy="294005"/>
            <wp:effectExtent l="0" t="0" r="6350" b="0"/>
            <wp:docPr id="139" name="Picture 139" descr="The image shows the mathematical expression of a variable x with a bar over it followed by the text &quot;dil/exh&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The image shows the mathematical expression of a variable x with a bar over it followed by the text &quot;dil/exh&quot;.&#10;&#10;Description generated by AI"/>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50900" cy="294005"/>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 Укупни проток ваздуха за разређивање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airdil</w:t>
      </w:r>
      <w:r w:rsidRPr="00B03342">
        <w:rPr>
          <w:rFonts w:ascii="Arial" w:hAnsi="Arial" w:cs="Arial"/>
          <w:color w:val="000000"/>
          <w:lang w:eastAsia="sr-Latn-RS"/>
        </w:rPr>
        <w:t> [mol/s] множи се са средњом концентрацијом позадинске емисије. То је временски пондерисана средња вредност или средња вредност пондерисана протоком (нпр. пропорционално узоркована позадина). Производ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airdil</w:t>
      </w:r>
      <w:r w:rsidRPr="00B03342">
        <w:rPr>
          <w:rFonts w:ascii="Arial" w:hAnsi="Arial" w:cs="Arial"/>
          <w:color w:val="000000"/>
          <w:lang w:eastAsia="sr-Latn-RS"/>
        </w:rPr>
        <w:t> и просечне концентрације позадинске емисије укупни је износ позадинске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III. Ако је резултат моларна количина, она се претвара у масу позадинске емисије м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bkgnd</w:t>
      </w:r>
      <w:r w:rsidRPr="00B03342">
        <w:rPr>
          <w:rFonts w:ascii="Arial" w:hAnsi="Arial" w:cs="Arial"/>
          <w:color w:val="000000"/>
          <w:lang w:eastAsia="sr-Latn-RS"/>
        </w:rPr>
        <w:t> [g] множењем с моларном масом емисије,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[g/mol].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IV. Укупна позадинска маса одузима се од укупне масе како би се коригује позадинске емисије.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 Укупни проток ваздуха за разређивање може се утврдити директним мерењем протока. У том се случају помоћу протока ваздуха за разређивање,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airdil</w:t>
      </w:r>
      <w:r w:rsidRPr="00B03342">
        <w:rPr>
          <w:rFonts w:ascii="Arial" w:hAnsi="Arial" w:cs="Arial"/>
          <w:color w:val="000000"/>
          <w:lang w:eastAsia="sr-Latn-RS"/>
        </w:rPr>
        <w:t>, прорачунава укупна маса позадине. Позадинска маса одузима се од укупне масе. Резултат се употребљава у прорачунима специфичних ефективних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VI. Укупни проток ваздуха за разређивање може се одредити из укупног протока разређеног издувног гаса и хемијске равнотеже горива, улазног ваздуха и издувног гаса како је описано у тачки 3.4 овог прилога. У том се случају помоћу укупног протока разређеног испуха,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dexh</w:t>
      </w:r>
      <w:r w:rsidRPr="00B03342">
        <w:rPr>
          <w:rFonts w:ascii="Arial" w:hAnsi="Arial" w:cs="Arial"/>
          <w:color w:val="000000"/>
          <w:lang w:eastAsia="sr-Latn-RS"/>
        </w:rPr>
        <w:t>, прорачунава укупна маса позадине. Затим се тај резултат множи са средњом вредношћу удела ваздуха за разређивање пондерисаном према протоку ваздуха у разређеном издувном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Узимајући у обзир два случаја из V. и VI, примењују се једначине (7-115) и (7-116):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9CF3879" wp14:editId="0DB63441">
            <wp:extent cx="5057140" cy="675640"/>
            <wp:effectExtent l="0" t="0" r="0" b="0"/>
            <wp:docPr id="138" name="Picture 138" descr="The image shows two mathematical equations involving variables and subscripts related to background and gas components, each labeled with a reference numb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The image shows two mathematical equations involving variables and subscripts related to background and gas components, each labeled with a reference number.&#10;&#10;Description generated by AI"/>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57140" cy="675640"/>
                    </a:xfrm>
                    <a:prstGeom prst="rect">
                      <a:avLst/>
                    </a:prstGeom>
                    <a:noFill/>
                    <a:ln>
                      <a:noFill/>
                    </a:ln>
                  </pic:spPr>
                </pic:pic>
              </a:graphicData>
            </a:graphic>
          </wp:inline>
        </w:drawing>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10"/>
        <w:gridCol w:w="166"/>
        <w:gridCol w:w="892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 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гасовитих емисија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 bkgnd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укупне позадинске масе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 gascor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гаса коригована за позадинске емисије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M 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генеричке гасовите емисије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x gasdil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гасовите емисије у ваздуху за разређивање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 airdil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ваздуха за разређивање [mol],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21FF613B" wp14:editId="5D41D013">
                  <wp:extent cx="850900" cy="294005"/>
                  <wp:effectExtent l="0" t="0" r="6350" b="0"/>
                  <wp:docPr id="137" name="Picture 137" descr="The image shows the mathematical expression of the mean of the variable &quot;dil&quot; divided by &quot;exh&quot; with a bar over the mean symbo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e image shows the mathematical expression of the mean of the variable &quot;dil&quot; divided by &quot;exh&quot; with a bar over the mean symbol.&#10;&#10;Description generated by AI"/>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50900" cy="2940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средње вредности ваздуха за разређивање пондерисане протоком у разређеном издувном гасу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0D85938" wp14:editId="46E39DE6">
                  <wp:extent cx="755650" cy="230505"/>
                  <wp:effectExtent l="0" t="0" r="6350" b="0"/>
                  <wp:docPr id="136" name="Picture 136" descr="A mathematical expression showing an overline above the variable x followed by the subscript text &quot;bkgrnd.&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A mathematical expression showing an overline above the variable x followed by the subscript text &quot;bkgrnd.&quot;&#10;&#10;Description generated by AI"/>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75565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гаса позадине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 dexh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укупни проток разређеног издувног гаса [mol].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3.6.2. Конверзија концентрације из сувог у влажно стање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Исти односи који важе за неразређенe гасoве (тачка 3.5.2. овог прилога) употребљавају се за конверзију из сувог у влажно стање на разређеним узорцима. За ваздух за разређивање, мерење влажности врши се с циљем рачунања удела водене паре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H2Odildry</w:t>
      </w:r>
      <w:r w:rsidRPr="00B03342">
        <w:rPr>
          <w:rFonts w:ascii="Arial" w:hAnsi="Arial" w:cs="Arial"/>
          <w:color w:val="000000"/>
          <w:lang w:eastAsia="sr-Latn-RS"/>
        </w:rPr>
        <w:t> [mol/mol] помоћу једначине (7-96):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52D5141" wp14:editId="5692F624">
            <wp:extent cx="5057140" cy="445135"/>
            <wp:effectExtent l="0" t="0" r="0" b="0"/>
            <wp:docPr id="135" name="Picture 135" descr="A mathematical formula showing the relationship between XH2Odildry and XH2Odil with a fraction and a note in brackets in a foreign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A mathematical formula showing the relationship between XH2Odildry and XH2Odil with a fraction and a note in brackets in a foreign language.&#10;&#10;Description generated by AI"/>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6"/>
        <w:gridCol w:w="283"/>
        <w:gridCol w:w="925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удео воде у протоку ваздуха за разређивање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3.6.3. Моларни проток издувног гасa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Рачунање помоћу хемијске равнотеже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Моларни проток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exh</w:t>
      </w:r>
      <w:r w:rsidRPr="00B03342">
        <w:rPr>
          <w:rFonts w:ascii="Arial" w:hAnsi="Arial" w:cs="Arial"/>
          <w:color w:val="000000"/>
          <w:lang w:eastAsia="sr-Latn-RS"/>
        </w:rPr>
        <w:t> [mol/s] може се обрачунати на основу масеног протокa горива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fuel</w:t>
      </w:r>
      <w:r w:rsidRPr="00B03342">
        <w:rPr>
          <w:rFonts w:ascii="Arial" w:hAnsi="Arial" w:cs="Arial"/>
          <w:color w:val="000000"/>
          <w:lang w:eastAsia="sr-Latn-RS"/>
        </w:rPr>
        <w:t> помоћу једначине (7-113):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EF9A083" wp14:editId="298FAED6">
            <wp:extent cx="5057140" cy="501015"/>
            <wp:effectExtent l="0" t="0" r="0" b="0"/>
            <wp:docPr id="134" name="Picture 134" descr="A mathematical formula showing the calculation of exhaust gas temperature involving fuel, water content, molecular weight, and combustion factor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 mathematical formula showing the calculation of exhaust gas temperature involving fuel, water content, molecular weight, and combustion factors.&#10;&#10;Description generated by AI"/>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64"/>
        <w:gridCol w:w="240"/>
        <w:gridCol w:w="909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неразређеног издувног гасa из којег се мере емисије,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fuel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горива укључујући влажност у улазном ваздуху [g/с],</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удео масе угљеника за задатo гориво [g/g],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H2Oexhdry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количина H</w:t>
            </w:r>
            <w:r w:rsidRPr="00B03342">
              <w:rPr>
                <w:rFonts w:ascii="Arial" w:hAnsi="Arial" w:cs="Arial"/>
                <w:vertAlign w:val="subscript"/>
                <w:lang w:eastAsia="sr-Latn-RS"/>
              </w:rPr>
              <w:t>2</w:t>
            </w:r>
            <w:r w:rsidRPr="00B03342">
              <w:rPr>
                <w:rFonts w:ascii="Arial" w:hAnsi="Arial" w:cs="Arial"/>
                <w:lang w:eastAsia="sr-Latn-RS"/>
              </w:rPr>
              <w:t>O по сувом молу измереног протокa [mol/mol],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молекуларна маса угљеника 12,0107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Ccombdry</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угљеника у издувном гасу по молу сувог издувног гасa [mol/mol].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Мерење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Моларни проток издувног гасa може се обрачунати помоћу три системa: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Моларни проток волуметричке пумпе. На основу брзине којом ради волуметричка пумпа (PDP) за испитни интервал, одговарајући нагиб a 1 и одсечак a 0 [–], прорачунати поступком умеравања из тачке 3.9.2. овог прилога, примењују се за прорачун моларног протока ṅ [mol/s] помоћу једначине (7-117):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8331B24" wp14:editId="2BA4EDED">
            <wp:extent cx="5057140" cy="1065530"/>
            <wp:effectExtent l="0" t="0" r="0" b="1270"/>
            <wp:docPr id="133" name="Picture 133" descr="Two mathematical formulas related to pressure, volume, and temperature are shown with variables and constants, labeled as equations 7-117 and 7-11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Two mathematical formulas related to pressure, volume, and temperature are shown with variables and constants, labeled as equations 7-117 and 7-118.&#10;&#10;Description generated by AI"/>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057140" cy="106553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15"/>
        <w:gridCol w:w="326"/>
        <w:gridCol w:w="875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a</w:t>
            </w:r>
            <w:r w:rsidRPr="00B03342">
              <w:rPr>
                <w:rFonts w:ascii="Arial" w:hAnsi="Arial" w:cs="Arial"/>
                <w:lang w:eastAsia="sr-Latn-RS"/>
              </w:rPr>
              <w:t> </w:t>
            </w:r>
            <w:r w:rsidRPr="00B03342">
              <w:rPr>
                <w:rFonts w:ascii="Arial" w:hAnsi="Arial" w:cs="Arial"/>
                <w:vertAlign w:val="subscript"/>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коефицијент умеравања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коефицијент умеравања [m</w:t>
            </w:r>
            <w:r w:rsidRPr="00B03342">
              <w:rPr>
                <w:rFonts w:ascii="Arial" w:hAnsi="Arial" w:cs="Arial"/>
                <w:vertAlign w:val="superscript"/>
                <w:lang w:eastAsia="sr-Latn-RS"/>
              </w:rPr>
              <w:t>3</w:t>
            </w:r>
            <w:r w:rsidRPr="00B03342">
              <w:rPr>
                <w:rFonts w:ascii="Arial" w:hAnsi="Arial" w:cs="Arial"/>
                <w:lang w:eastAsia="sr-Latn-RS"/>
              </w:rPr>
              <w:t>/обр],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in</w:t>
            </w:r>
            <w:r w:rsidRPr="00B03342">
              <w:rPr>
                <w:rFonts w:ascii="Arial" w:hAnsi="Arial" w:cs="Arial"/>
                <w:lang w:eastAsia="sr-Latn-RS"/>
              </w:rPr>
              <w:t>, </w:t>
            </w: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out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улазни/излазни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улазна температура,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r w:rsidRPr="00B03342">
              <w:rPr>
                <w:rFonts w:ascii="Arial" w:hAnsi="Arial" w:cs="Arial"/>
                <w:lang w:eastAsia="sr-Latn-RS"/>
              </w:rPr>
              <w:t> </w:t>
            </w:r>
            <w:r w:rsidRPr="00B03342">
              <w:rPr>
                <w:rFonts w:ascii="Arial" w:hAnsi="Arial" w:cs="Arial"/>
                <w:vertAlign w:val="subscript"/>
                <w:lang w:eastAsia="sr-Latn-RS"/>
              </w:rPr>
              <w:t>rev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испумпана запремина волуметричке пумпе [m</w:t>
            </w:r>
            <w:r w:rsidRPr="00B03342">
              <w:rPr>
                <w:rFonts w:ascii="Arial" w:hAnsi="Arial" w:cs="Arial"/>
                <w:vertAlign w:val="superscript"/>
                <w:lang w:eastAsia="sr-Latn-RS"/>
              </w:rPr>
              <w:t>3</w:t>
            </w:r>
            <w:r w:rsidRPr="00B03342">
              <w:rPr>
                <w:rFonts w:ascii="Arial" w:hAnsi="Arial" w:cs="Arial"/>
                <w:lang w:eastAsia="sr-Latn-RS"/>
              </w:rPr>
              <w:t>/обр],</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f</w:t>
            </w:r>
            <w:r w:rsidRPr="00B03342">
              <w:rPr>
                <w:rFonts w:ascii="Arial" w:hAnsi="Arial" w:cs="Arial"/>
                <w:lang w:eastAsia="sr-Latn-RS"/>
              </w:rPr>
              <w:t> </w:t>
            </w:r>
            <w:r w:rsidRPr="00B03342">
              <w:rPr>
                <w:rFonts w:ascii="Arial" w:hAnsi="Arial" w:cs="Arial"/>
                <w:vertAlign w:val="subscript"/>
                <w:lang w:eastAsia="sr-Latn-RS"/>
              </w:rPr>
              <w:t>n.,PDP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брзина волуметричке пумпе [обр/s].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Моларни проток подзвучне Вентуријеве цеви. На основу једначине за прорачун вредности C d у односу на Re # из тачке 3.9.4. овог прилога, моларни проток подзвучне Вентуријеве цеви (SSV) за време испитивања емисија ṅ [mol/s] прорачунава се помоћу једначине (7-119):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1485943" wp14:editId="7F955A12">
            <wp:extent cx="5057140" cy="501015"/>
            <wp:effectExtent l="0" t="0" r="0" b="0"/>
            <wp:docPr id="132" name="Picture 132" descr="A mathematical formula expressing a variable as the product of Cd and Cf multiplied by the fraction of At times Pin over the square root of Z times Mmix times R times Tin, with a reference number 7-119 in a box on the righ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 mathematical formula expressing a variable as the product of Cd and Cf multiplied by the fraction of At times Pin over the square root of Z times Mmix times R times Tin, with a reference number 7-119 in a box on the right.&#10;&#10;Description generated by AI"/>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12"/>
        <w:gridCol w:w="302"/>
        <w:gridCol w:w="938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површина попречног пречника сужења Вентуријеве цеви[m</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подпритиска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разређеног издувног гасa [kg/mol]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SSV-a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SSV-a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Моларни проток Вентуријеве цеви критичног протока CFV. За прорачун моларног протока кроз једну Вентуријеву цев или једну комбинацију Вентуријевих цеви употребљавају се одговарајућа средња вредност C d и остале константе одређене у складу с тачком 3.9.5. овог прилога. Прорачун моларног протока ṅ [mol/s] за време испитивања емисија врши се помоћу једначине (7-120):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FAD52C3" wp14:editId="574CBDCF">
            <wp:extent cx="5057140" cy="501015"/>
            <wp:effectExtent l="0" t="0" r="0" b="0"/>
            <wp:docPr id="131" name="Picture 131" descr="A mathematical formula expressing a variable as the product of Cd and Cf multiplied by the fraction of At times Pin over the square root of Z times Mmix times R times Tin, with a reference number 7-120 in a box on the righ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A mathematical formula expressing a variable as the product of Cd and Cf multiplied by the fraction of At times Pin over the square root of Z times Mmix times R times Tin, with a reference number 7-120 in a box on the right.&#10;&#10;Description generated by AI"/>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6"/>
        <w:gridCol w:w="299"/>
        <w:gridCol w:w="939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површина попречног пречника сужења Вентуријеве цеви[m</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улазна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подпритиска,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разређеног издувног гасa [kg/mol],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CFV-a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CFV-a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3.7. Утврђивање чврстих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3.7.1. Узорковање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Узорковање из варирајућег протокa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прикупља групни узорак из протока издувног гаса промењиве брзине, издваја се узорак пропорционалан промењивом протоку издувног гаса. Проток се интегрише током испитног интервала како би се одредио укупни проток. Средња концентрација честица материја </w:t>
      </w:r>
      <w:r w:rsidRPr="00B03342">
        <w:rPr>
          <w:rFonts w:ascii="Arial" w:hAnsi="Arial" w:cs="Arial"/>
          <w:color w:val="000000"/>
          <w:lang w:val="en-US"/>
        </w:rPr>
        <w:drawing>
          <wp:inline distT="0" distB="0" distL="0" distR="0" wp14:anchorId="361A862A" wp14:editId="3299DC8A">
            <wp:extent cx="612140" cy="230505"/>
            <wp:effectExtent l="0" t="0" r="0" b="0"/>
            <wp:docPr id="130" name="Picture 130" descr="A mathematical expression showing the square root of M with subscripts P and M outside the ro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A mathematical expression showing the square root of M with subscripts P and M outside the root.&#10;&#10;Description generated by AI"/>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140" cy="230505"/>
                    </a:xfrm>
                    <a:prstGeom prst="rect">
                      <a:avLst/>
                    </a:prstGeom>
                    <a:noFill/>
                    <a:ln>
                      <a:noFill/>
                    </a:ln>
                  </pic:spPr>
                </pic:pic>
              </a:graphicData>
            </a:graphic>
          </wp:inline>
        </w:drawing>
      </w:r>
      <w:r w:rsidRPr="00B03342">
        <w:rPr>
          <w:rFonts w:ascii="Arial" w:hAnsi="Arial" w:cs="Arial"/>
          <w:color w:val="000000"/>
          <w:lang w:eastAsia="sr-Latn-RS"/>
        </w:rPr>
        <w:t> (која је већ у јединицама масе по молу узорка) множи се укупним протоком како би се добила укупна маса честица матере PM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 помоћу једначине (7-121):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3AE6775" wp14:editId="64C3DEB9">
            <wp:extent cx="5057140" cy="564515"/>
            <wp:effectExtent l="0" t="0" r="0" b="6985"/>
            <wp:docPr id="129" name="Picture 129" descr="The image shows a mathematical formula expressing mPM as the product of MPM and the summation from i equals 1 to N of i times delta t sub i, with a reference number 7-121 in the corn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The image shows a mathematical formula expressing mPM as the product of MPM and the summation from i equals 1 to N of i times delta t sub i, with a reference number 7-121 in the corner.&#10;&#10;Description generated by AI"/>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93"/>
        <w:gridCol w:w="323"/>
        <w:gridCol w:w="81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моларни проток издувног гасa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9445CA3" wp14:editId="5EA2B59A">
                  <wp:extent cx="612140" cy="230505"/>
                  <wp:effectExtent l="0" t="0" r="0" b="0"/>
                  <wp:docPr id="128" name="Picture 128" descr="The image shows the mathematical notation for the mean of the product of two variables, represented as M with a bar over it followed by subscript P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The image shows the mathematical notation for the mean of the product of two variables, represented as M with a bar over it followed by subscript PM.&#10;&#10;Description generated by AI"/>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14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концентрација честица материја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Δ</w:t>
            </w:r>
            <w:r w:rsidRPr="00B03342">
              <w:rPr>
                <w:rFonts w:ascii="Arial" w:hAnsi="Arial" w:cs="Arial"/>
                <w:i/>
                <w:iCs/>
                <w:lang w:eastAsia="sr-Latn-RS"/>
              </w:rPr>
              <w:t>t</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интервал узорковања[с]</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Узорковање из константног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групни узорак прикупља из константног протока издувног гаса, утврђује се средњи моларни проток из којег се узорак издваја. Средња концентрација честица материја множи се укупним протоком како би се добила укупна маса честица материја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 помоћу једначине (7-122):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31DAD5D" wp14:editId="44908926">
            <wp:extent cx="5057140" cy="389890"/>
            <wp:effectExtent l="0" t="0" r="0" b="0"/>
            <wp:docPr id="127" name="Picture 127" descr="An equation showing m subscript PM equals M subscript PM multiplied by delta t with the label 7-12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n equation showing m subscript PM equals M subscript PM multiplied by delta t with the label 7-122.&#10;&#10;Description generated by AI"/>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93"/>
        <w:gridCol w:w="323"/>
        <w:gridCol w:w="81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дима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7EA51C4" wp14:editId="734FB9AC">
                  <wp:extent cx="612140" cy="230505"/>
                  <wp:effectExtent l="0" t="0" r="0" b="0"/>
                  <wp:docPr id="126" name="Picture 126" descr="An algebraic expression showing M with a bar over it followed by subscript P and 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An algebraic expression showing M with a bar over it followed by subscript P and M.&#10;&#10;Description generated by AI"/>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214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концентрација честица материја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Δ</w:t>
            </w:r>
            <w:r w:rsidRPr="00B03342">
              <w:rPr>
                <w:rFonts w:ascii="Arial" w:hAnsi="Arial" w:cs="Arial"/>
                <w:i/>
                <w:iCs/>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временско трајање испитног интервалa [с]</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узорковање с константним односом разређивања (</w:t>
      </w:r>
      <w:r w:rsidRPr="00B03342">
        <w:rPr>
          <w:rFonts w:ascii="Arial" w:hAnsi="Arial" w:cs="Arial"/>
          <w:i/>
          <w:iCs/>
          <w:color w:val="000000"/>
          <w:lang w:eastAsia="sr-Latn-RS"/>
        </w:rPr>
        <w:t>DR</w:t>
      </w:r>
      <w:r w:rsidRPr="00B03342">
        <w:rPr>
          <w:rFonts w:ascii="Arial" w:hAnsi="Arial" w:cs="Arial"/>
          <w:color w:val="000000"/>
          <w:lang w:eastAsia="sr-Latn-RS"/>
        </w:rPr>
        <w:t>),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 рачуна се помоћу једначине (7-123):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492E3DC" wp14:editId="223C49D0">
            <wp:extent cx="5057140" cy="334010"/>
            <wp:effectExtent l="0" t="0" r="0" b="8890"/>
            <wp:docPr id="125" name="Picture 125" descr="A mathematical equation showing m_PM equals m_PMdil multiplied by DR with a reference number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 mathematical equation showing m_PM equals m_PMdil multiplied by DR with a reference number in parentheses.&#10;&#10;Description generated by AI"/>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1"/>
        <w:gridCol w:w="166"/>
        <w:gridCol w:w="977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PMdil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честица материја у ваздуху за разређивање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однос разређивања [–] дефинисан као однос између масе емисије и масе разређеног издувног гасa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dil/exh</w:t>
            </w:r>
            <w:r w:rsidRPr="00B03342">
              <w:rPr>
                <w:rFonts w:ascii="Arial" w:hAnsi="Arial" w:cs="Arial"/>
                <w:lang w:eastAsia="sr-Latn-RS"/>
              </w:rPr>
              <w:t> (</w:t>
            </w:r>
            <w:r w:rsidRPr="00B03342">
              <w:rPr>
                <w:rFonts w:ascii="Arial" w:hAnsi="Arial" w:cs="Arial"/>
                <w:i/>
                <w:iCs/>
                <w:lang w:eastAsia="sr-Latn-RS"/>
              </w:rPr>
              <w:t>DR</w:t>
            </w:r>
            <w:r w:rsidRPr="00B03342">
              <w:rPr>
                <w:rFonts w:ascii="Arial" w:hAnsi="Arial" w:cs="Arial"/>
                <w:lang w:eastAsia="sr-Latn-RS"/>
              </w:rPr>
              <w:t> = </w:t>
            </w:r>
            <w:r w:rsidRPr="00B03342">
              <w:rPr>
                <w:rFonts w:ascii="Arial" w:hAnsi="Arial" w:cs="Arial"/>
                <w:i/>
                <w:iCs/>
                <w:lang w:eastAsia="sr-Latn-RS"/>
              </w:rPr>
              <w:t>m</w:t>
            </w:r>
            <w:r w:rsidRPr="00B03342">
              <w:rPr>
                <w:rFonts w:ascii="Arial" w:hAnsi="Arial" w:cs="Arial"/>
                <w:lang w:eastAsia="sr-Latn-RS"/>
              </w:rPr>
              <w:t>/</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dil/exh</w:t>
            </w:r>
            <w:r w:rsidRPr="00B03342">
              <w:rPr>
                <w:rFonts w:ascii="Arial" w:hAnsi="Arial" w:cs="Arial"/>
                <w:lang w:eastAsia="sr-Latn-RS"/>
              </w:rPr>
              <w:t>).</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Однос разређивања </w:t>
      </w:r>
      <w:r w:rsidRPr="00B03342">
        <w:rPr>
          <w:rFonts w:ascii="Arial" w:hAnsi="Arial" w:cs="Arial"/>
          <w:i/>
          <w:iCs/>
          <w:color w:val="000000"/>
          <w:lang w:eastAsia="sr-Latn-RS"/>
        </w:rPr>
        <w:t>DR</w:t>
      </w:r>
      <w:r w:rsidRPr="00B03342">
        <w:rPr>
          <w:rFonts w:ascii="Arial" w:hAnsi="Arial" w:cs="Arial"/>
          <w:color w:val="000000"/>
          <w:lang w:eastAsia="sr-Latn-RS"/>
        </w:rPr>
        <w:t> може се изразити као функција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dil/exh</w:t>
      </w:r>
      <w:r w:rsidRPr="00B03342">
        <w:rPr>
          <w:rFonts w:ascii="Arial" w:hAnsi="Arial" w:cs="Arial"/>
          <w:color w:val="000000"/>
          <w:lang w:eastAsia="sr-Latn-RS"/>
        </w:rPr>
        <w:t> [једначина (7-124)]: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DE870B3" wp14:editId="59386F73">
            <wp:extent cx="5057140" cy="445135"/>
            <wp:effectExtent l="0" t="0" r="0" b="0"/>
            <wp:docPr id="124" name="Picture 124" descr="A mathematical formula showing DR equals one divided by one minus x times dI divided by exh, with a reference to equation 7-12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A mathematical formula showing DR equals one divided by one minus x times dI divided by exh, with a reference to equation 7-124.&#10;&#10;Description generated by AI"/>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3.7.2. Корекција за позадину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На корекцију масе честица материја за позадину примењује се исти приступ као у тачки 3.6.1. множењем </w:t>
      </w:r>
      <w:r w:rsidRPr="00B03342">
        <w:rPr>
          <w:rFonts w:ascii="Arial" w:hAnsi="Arial" w:cs="Arial"/>
          <w:color w:val="000000"/>
          <w:lang w:val="en-US"/>
        </w:rPr>
        <w:drawing>
          <wp:inline distT="0" distB="0" distL="0" distR="0" wp14:anchorId="65186252" wp14:editId="7380D1EE">
            <wp:extent cx="1169035" cy="198755"/>
            <wp:effectExtent l="0" t="0" r="0" b="0"/>
            <wp:docPr id="123" name="Picture 123" descr="A stylized mathematical expression with a large uppercase M and a horizontal line above the letters &quot;p r m b k g n d&quot; in a serif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A stylized mathematical expression with a large uppercase M and a horizontal line above the letters &quot;p r m b k g n d&quot; in a serif font.&#10;&#10;Description generated by AI"/>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69035" cy="198755"/>
                    </a:xfrm>
                    <a:prstGeom prst="rect">
                      <a:avLst/>
                    </a:prstGeom>
                    <a:noFill/>
                    <a:ln>
                      <a:noFill/>
                    </a:ln>
                  </pic:spPr>
                </pic:pic>
              </a:graphicData>
            </a:graphic>
          </wp:inline>
        </w:drawing>
      </w:r>
      <w:r w:rsidRPr="00B03342">
        <w:rPr>
          <w:rFonts w:ascii="Arial" w:hAnsi="Arial" w:cs="Arial"/>
          <w:color w:val="000000"/>
          <w:lang w:eastAsia="sr-Latn-RS"/>
        </w:rPr>
        <w:t> с протоком ваздуха за разређивање добија се укупна крајња маса честица материја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PMbkgnd</w:t>
      </w:r>
      <w:r w:rsidRPr="00B03342">
        <w:rPr>
          <w:rFonts w:ascii="Arial" w:hAnsi="Arial" w:cs="Arial"/>
          <w:color w:val="000000"/>
          <w:lang w:eastAsia="sr-Latn-RS"/>
        </w:rPr>
        <w:t> [g]). Одузимањем укупне крајње масе од укупне масе добија се масу честица материја коригована за позадину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PMcor</w:t>
      </w:r>
      <w:r w:rsidRPr="00B03342">
        <w:rPr>
          <w:rFonts w:ascii="Arial" w:hAnsi="Arial" w:cs="Arial"/>
          <w:color w:val="000000"/>
          <w:lang w:eastAsia="sr-Latn-RS"/>
        </w:rPr>
        <w:t> [g] [једначина (7-125)]: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002981D" wp14:editId="6E9265BA">
            <wp:extent cx="5057140" cy="334010"/>
            <wp:effectExtent l="0" t="0" r="0" b="8890"/>
            <wp:docPr id="122" name="Picture 122" descr="A mathematical equation expressing mPMcor as the difference between mPMuncor and the product of MPMbkgnd and nairdi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A mathematical equation expressing mPMcor as the difference between mPMuncor and the product of MPMbkgnd and nairdil.&#10;&#10;Description generated by AI"/>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80"/>
        <w:gridCol w:w="208"/>
        <w:gridCol w:w="791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PMуncor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некоригована маса честица материја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01557E92" wp14:editId="47E54D07">
                  <wp:extent cx="1169035" cy="198755"/>
                  <wp:effectExtent l="0" t="0" r="0" b="0"/>
                  <wp:docPr id="121" name="Picture 121" descr="A sequence of stylized letters and symbols arranged horizontally with varying font sizes and sty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 sequence of stylized letters and symbols arranged horizontally with varying font sizes and styles.&#10;&#10;Description generated by AI"/>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69035" cy="19875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концентрација честица материја у ваздуху за разређивање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airdil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моларни проток ваздуха за разређивање [mol]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 Циклусни рад и специфичне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3.8.1. Гасoвите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3.8.1.1. Динамички испитни циклуси (NRTC и LSI-NRTC) и RMC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Упућује се на тач. 3.5.1. и 3.6.1. овог прилога за неразређени односно разређени издувни гас. Вредности резултата за снагу </w:t>
      </w:r>
      <w:r w:rsidRPr="00B03342">
        <w:rPr>
          <w:rFonts w:ascii="Arial" w:hAnsi="Arial" w:cs="Arial"/>
          <w:i/>
          <w:iCs/>
          <w:color w:val="000000"/>
          <w:lang w:eastAsia="sr-Latn-RS"/>
        </w:rPr>
        <w:t>P</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[kW] интегришу се током испитног интервалa. Укупни рад </w:t>
      </w:r>
      <w:r w:rsidRPr="00B03342">
        <w:rPr>
          <w:rFonts w:ascii="Arial" w:hAnsi="Arial" w:cs="Arial"/>
          <w:i/>
          <w:iCs/>
          <w:color w:val="000000"/>
          <w:lang w:eastAsia="sr-Latn-RS"/>
        </w:rPr>
        <w:t>W</w:t>
      </w:r>
      <w:r w:rsidRPr="00B03342">
        <w:rPr>
          <w:rFonts w:ascii="Arial" w:hAnsi="Arial" w:cs="Arial"/>
          <w:color w:val="000000"/>
          <w:lang w:eastAsia="sr-Latn-RS"/>
        </w:rPr>
        <w:t> </w:t>
      </w:r>
      <w:r w:rsidRPr="00B03342">
        <w:rPr>
          <w:rFonts w:ascii="Arial" w:hAnsi="Arial" w:cs="Arial"/>
          <w:color w:val="000000"/>
          <w:vertAlign w:val="subscript"/>
          <w:lang w:eastAsia="sr-Latn-RS"/>
        </w:rPr>
        <w:t>act</w:t>
      </w:r>
      <w:r w:rsidRPr="00B03342">
        <w:rPr>
          <w:rFonts w:ascii="Arial" w:hAnsi="Arial" w:cs="Arial"/>
          <w:color w:val="000000"/>
          <w:lang w:eastAsia="sr-Latn-RS"/>
        </w:rPr>
        <w:t> [kWh] рачуна се помоћу једначине (7-126):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2C8E2E8" wp14:editId="2FB5A9A9">
            <wp:extent cx="5057140" cy="564515"/>
            <wp:effectExtent l="0" t="0" r="0" b="0"/>
            <wp:docPr id="120" name="Picture 120" descr="A mathematical formula expressing W_act as the sum of products involving P_i, Δt_i, constants, and a summation of n_i multiplied by T_i.&#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A mathematical formula expressing W_act as the sum of products involving P_i, Δt_i, constants, and a summation of n_i multiplied by T_i.&#10;&#10;Description generated by AI"/>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60"/>
        <w:gridCol w:w="438"/>
        <w:gridCol w:w="890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снага мотора [kW]</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брзина мотора [o/min]</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тренутни закретни момент мотора [Nm]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ƒ</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учесталост узорковања података [Hz]</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Δti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мерни интервал [s]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су помоћни уређаји уграђени у складу с Додатком 2. Прилога 8 ове уредбе, не прилагођава се тренутни закретни момент мотора у једначини (7-126). Ако нису уграђени потребни помоћни уређаји који су требали бити уграђени за потребе испитивања односно ако су уграђени помоћни уређаји који су требали бити уклоњени за потребе испитивања, у складу с тачком 6.3.2, односно тачком 6.3.3. Прилога 8 ове уредбе ове уредбе, вредност </w:t>
      </w:r>
      <w:r w:rsidRPr="00B03342">
        <w:rPr>
          <w:rFonts w:ascii="Arial" w:hAnsi="Arial" w:cs="Arial"/>
          <w:i/>
          <w:iCs/>
          <w:color w:val="000000"/>
          <w:lang w:eastAsia="sr-Latn-RS"/>
        </w:rPr>
        <w:t>T</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koja се употребљава у једначини (7-126) прилагођава се помоћу једначине (7-127):</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71"/>
        <w:gridCol w:w="282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w:t>
            </w:r>
            <w:r w:rsidRPr="00B03342">
              <w:rPr>
                <w:rFonts w:ascii="Arial" w:hAnsi="Arial" w:cs="Arial"/>
                <w:vertAlign w:val="subscript"/>
                <w:lang w:eastAsia="sr-Latn-RS"/>
              </w:rPr>
              <w:t>,meaс</w:t>
            </w:r>
            <w:r w:rsidRPr="00B03342">
              <w:rPr>
                <w:rFonts w:ascii="Arial" w:hAnsi="Arial" w:cs="Arial"/>
                <w:lang w:eastAsia="sr-Latn-RS"/>
              </w:rPr>
              <w:t> +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lang w:eastAsia="sr-Latn-RS"/>
              </w:rPr>
              <w:t>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(7-127)</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4"/>
        <w:gridCol w:w="166"/>
        <w:gridCol w:w="976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,meas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измерена вредност тренутачног обртног момента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AUX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одговарајућа вредност обртног момента потребног за погон помоћних уређаја утврђена у складу с тачком 7.7.2.3.(б) Прилога 8 ове уредбе</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рачунаjу се на следећи начин зависно o врсти испитног циклуса.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73A87E4" wp14:editId="4B7C2B51">
            <wp:extent cx="5057140" cy="445135"/>
            <wp:effectExtent l="0" t="0" r="0" b="0"/>
            <wp:docPr id="119" name="Picture 119" descr="The image shows a mathematical formula expressing e_gas as the ratio of m_gas to W_act with an equation number 7-12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he image shows a mathematical formula expressing e_gas as the ratio of m_gas to W_act with an equation number 7-128.&#10;&#10;Description generated by AI"/>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99"/>
        <w:gridCol w:w="475"/>
        <w:gridCol w:w="872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gas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емисије[g/испитивање]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Циклусни рад [kWh]</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NRTC циклуса, за гасoвите емисије које нису CO</w:t>
      </w:r>
      <w:r w:rsidRPr="00B03342">
        <w:rPr>
          <w:rFonts w:ascii="Arial" w:hAnsi="Arial" w:cs="Arial"/>
          <w:color w:val="000000"/>
          <w:vertAlign w:val="subscript"/>
          <w:lang w:eastAsia="sr-Latn-RS"/>
        </w:rPr>
        <w:t>2</w:t>
      </w:r>
      <w:r w:rsidRPr="00B03342">
        <w:rPr>
          <w:rFonts w:ascii="Arial" w:hAnsi="Arial" w:cs="Arial"/>
          <w:color w:val="000000"/>
          <w:lang w:eastAsia="sr-Latn-RS"/>
        </w:rPr>
        <w:t>, коначни резултат испитивања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је пондерисани просек испитивања с хладним покретањем и испитивања с топлим покретањем помоћу једначине (7-129):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5969512" wp14:editId="2CE1BACB">
            <wp:extent cx="5057140" cy="501015"/>
            <wp:effectExtent l="0" t="0" r="0" b="0"/>
            <wp:docPr id="118" name="Picture 118" descr="A mathematical formula expressing epsilon gas as a ratio involving terms with m cold, m hot, W cold, and W hot vari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 mathematical formula expressing epsilon gas as a ratio involving terms with m cold, m hot, W cold, and W hot variables.&#10;&#10;Description generated by AI"/>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1"/>
        <w:gridCol w:w="930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масене емисије гасoва NRTC циклуса с хладним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хладним покретањем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масене емисије гасoва NRTC циклуса с хладним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топлим покретањем [kWh]</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NRTC циклуса, за CO</w:t>
      </w:r>
      <w:r w:rsidRPr="00B03342">
        <w:rPr>
          <w:rFonts w:ascii="Arial" w:hAnsi="Arial" w:cs="Arial"/>
          <w:color w:val="000000"/>
          <w:vertAlign w:val="subscript"/>
          <w:lang w:eastAsia="sr-Latn-RS"/>
        </w:rPr>
        <w:t>2</w:t>
      </w:r>
      <w:r w:rsidRPr="00B03342">
        <w:rPr>
          <w:rFonts w:ascii="Arial" w:hAnsi="Arial" w:cs="Arial"/>
          <w:color w:val="000000"/>
          <w:lang w:eastAsia="sr-Latn-RS"/>
        </w:rPr>
        <w:t> коначни резултат испитивања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CO2</w:t>
      </w:r>
      <w:r w:rsidRPr="00B03342">
        <w:rPr>
          <w:rFonts w:ascii="Arial" w:hAnsi="Arial" w:cs="Arial"/>
          <w:color w:val="000000"/>
          <w:lang w:eastAsia="sr-Latn-RS"/>
        </w:rPr>
        <w:t> [g/kWh] рачуна се из NRTC циклуса с топлим покретањем помоћу једначине (7-130):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AC7BCE9" wp14:editId="0BA71535">
            <wp:extent cx="5057140" cy="445135"/>
            <wp:effectExtent l="0" t="0" r="0" b="0"/>
            <wp:docPr id="117" name="Picture 117" descr="The image shows a mathematical formula expressing the ratio of mCO2,hot to Wact,hot labeled as equation 7-13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The image shows a mathematical formula expressing the ratio of mCO2,hot to Wact,hot labeled as equation 7-130.&#10;&#10;Description generated by AI"/>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09"/>
        <w:gridCol w:w="929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CO2,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масене емисије CO</w:t>
            </w:r>
            <w:r w:rsidRPr="00B03342">
              <w:rPr>
                <w:rFonts w:ascii="Arial" w:hAnsi="Arial" w:cs="Arial"/>
                <w:vertAlign w:val="subscript"/>
                <w:lang w:eastAsia="sr-Latn-RS"/>
              </w:rPr>
              <w:t>2</w:t>
            </w:r>
            <w:r w:rsidRPr="00B03342">
              <w:rPr>
                <w:rFonts w:ascii="Arial" w:hAnsi="Arial" w:cs="Arial"/>
                <w:lang w:eastAsia="sr-Latn-RS"/>
              </w:rPr>
              <w:t> током NRTC циклуса с топлим покретањем [g]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топлим покретањем [kWh]</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3.8.1.2. NRSC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рачунаjу се помоћу једначине (7-131):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3E54EB9" wp14:editId="2F09D916">
            <wp:extent cx="5057140" cy="501015"/>
            <wp:effectExtent l="0" t="0" r="0" b="0"/>
            <wp:docPr id="116" name="Picture 116" descr="A mathematical formula expressing a ratio involving summations of weighted terms with variables labeled Nnode, qasi, WF, and P, accompanied by a reference number in bracke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 mathematical formula expressing a ratio involving summations of weighted terms with variables labeled Nnode, qasi, WF, and P, accompanied by a reference number in brackets.&#10;&#10;Description generated by AI"/>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4"/>
        <w:gridCol w:w="166"/>
        <w:gridCol w:w="977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gas,</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просечни масени проток емисија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мотора за начин рада и [кW] прорачуната сабирањем измерене снаге Pmeas [kW] и снаге потребне за погон помоћних уређаја P</w:t>
            </w:r>
            <w:r w:rsidRPr="00B03342">
              <w:rPr>
                <w:rFonts w:ascii="Arial" w:hAnsi="Arial" w:cs="Arial"/>
                <w:vertAlign w:val="subscript"/>
                <w:lang w:eastAsia="sr-Latn-RS"/>
              </w:rPr>
              <w:t>AUX</w:t>
            </w:r>
            <w:r w:rsidRPr="00B03342">
              <w:rPr>
                <w:rFonts w:ascii="Arial" w:hAnsi="Arial" w:cs="Arial"/>
                <w:lang w:eastAsia="sr-Latn-RS"/>
              </w:rPr>
              <w:t> [кW], утврђене у складу с једначином (6-8) из Прилога 8 ове уредбе (Pi = Pmeas + P</w:t>
            </w:r>
            <w:r w:rsidRPr="00B03342">
              <w:rPr>
                <w:rFonts w:ascii="Arial" w:hAnsi="Arial" w:cs="Arial"/>
                <w:vertAlign w:val="subscript"/>
                <w:lang w:eastAsia="sr-Latn-RS"/>
              </w:rPr>
              <w:t>AUX</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Nmod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у примењивом NRSC-у с дискретним начинима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3.8.2. Емисије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3.8.2.1. Динамички испитни циклуси (NRTC и LSI-NRTC) и RMC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честица рачунаjу се претварањем једначине (7-128) у једначину (7-132) у kojoj се вредности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[g/kWh] и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gas</w:t>
      </w:r>
      <w:r w:rsidRPr="00B03342">
        <w:rPr>
          <w:rFonts w:ascii="Arial" w:hAnsi="Arial" w:cs="Arial"/>
          <w:color w:val="000000"/>
          <w:lang w:eastAsia="sr-Latn-RS"/>
        </w:rPr>
        <w:t> [g/испитивање] замењују вредностима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[g/kWh] односно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[g/испитивање]: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7D9FE94" wp14:editId="71084895">
            <wp:extent cx="5057140" cy="445135"/>
            <wp:effectExtent l="0" t="0" r="0" b="0"/>
            <wp:docPr id="115" name="Picture 115" descr="A mathematical formula showing epm equals mPM divided by Wact with a reference number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 mathematical formula showing epm equals mPM divided by Wact with a reference number in parentheses.&#10;&#10;Description generated by AI"/>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9"/>
        <w:gridCol w:w="260"/>
        <w:gridCol w:w="955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укупна маса емисије чврстих честица према тачки 3.7.1. [g/испитивање]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циклусни рад [kWh]</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Емисије композитног динамичког циклуса (односно NRTC циклуса с хладним покретањем и NRTC циклуса с топлим покретањем) рачунаjу се на начин приказан у тачки 3.8.1.1.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3.8.2.2. NRSC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Специфична емисија честица </w:t>
      </w:r>
      <w:r w:rsidRPr="00B03342">
        <w:rPr>
          <w:rFonts w:ascii="Arial" w:hAnsi="Arial" w:cs="Arial"/>
          <w:i/>
          <w:iCs/>
          <w:color w:val="000000"/>
          <w:lang w:eastAsia="sr-Latn-RS"/>
        </w:rPr>
        <w:t>e</w:t>
      </w:r>
      <w:r w:rsidRPr="00B03342">
        <w:rPr>
          <w:rFonts w:ascii="Arial" w:hAnsi="Arial" w:cs="Arial"/>
          <w:color w:val="000000"/>
          <w:lang w:eastAsia="sr-Latn-RS"/>
        </w:rPr>
        <w:t> </w:t>
      </w:r>
      <w:r w:rsidRPr="00B03342">
        <w:rPr>
          <w:rFonts w:ascii="Arial" w:hAnsi="Arial" w:cs="Arial"/>
          <w:color w:val="000000"/>
          <w:vertAlign w:val="subscript"/>
          <w:lang w:eastAsia="sr-Latn-RS"/>
        </w:rPr>
        <w:t>PM</w:t>
      </w:r>
      <w:r w:rsidRPr="00B03342">
        <w:rPr>
          <w:rFonts w:ascii="Arial" w:hAnsi="Arial" w:cs="Arial"/>
          <w:color w:val="000000"/>
          <w:lang w:eastAsia="sr-Latn-RS"/>
        </w:rPr>
        <w:t> [g/kWh] рачуна се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3.8.2.2.1. За једнофилтерску методу, помоћу једначине (7-133):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5D56DA5" wp14:editId="47DC33F9">
            <wp:extent cx="5057140" cy="445135"/>
            <wp:effectExtent l="0" t="0" r="0" b="0"/>
            <wp:docPr id="114" name="Picture 114" descr="A mathematical formula showing ePM as the sum of PM divided by the sum of the product of Pi and WFi from i equals 1 to Nnod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 mathematical formula showing ePM as the sum of PM divided by the sum of the product of Pi and WFi from i equals 1 to Nnode.&#10;&#10;Description generated by AI"/>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1"/>
        <w:gridCol w:w="170"/>
        <w:gridCol w:w="987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мотора у начину рада </w:t>
            </w:r>
            <w:r w:rsidRPr="00B03342">
              <w:rPr>
                <w:rFonts w:ascii="Arial" w:hAnsi="Arial" w:cs="Arial"/>
                <w:i/>
                <w:iCs/>
                <w:lang w:eastAsia="sr-Latn-RS"/>
              </w:rPr>
              <w:t>i</w:t>
            </w:r>
            <w:r w:rsidRPr="00B03342">
              <w:rPr>
                <w:rFonts w:ascii="Arial" w:hAnsi="Arial" w:cs="Arial"/>
                <w:lang w:eastAsia="sr-Latn-RS"/>
              </w:rPr>
              <w:t> [kW], при чему је </w:t>
            </w:r>
            <w:r w:rsidRPr="00B03342">
              <w:rPr>
                <w:rFonts w:ascii="Arial" w:hAnsi="Arial" w:cs="Arial"/>
                <w:i/>
                <w:iCs/>
                <w:lang w:eastAsia="sr-Latn-RS"/>
              </w:rPr>
              <w:t>P</w:t>
            </w:r>
            <w:r w:rsidRPr="00B03342">
              <w:rPr>
                <w:rFonts w:ascii="Arial" w:hAnsi="Arial" w:cs="Arial"/>
                <w:vertAlign w:val="subscript"/>
                <w:lang w:eastAsia="sr-Latn-RS"/>
              </w:rPr>
              <w:t>i</w:t>
            </w:r>
            <w:r w:rsidRPr="00B03342">
              <w:rPr>
                <w:rFonts w:ascii="Arial" w:hAnsi="Arial" w:cs="Arial"/>
                <w:i/>
                <w:iCs/>
                <w:lang w:eastAsia="sr-Latn-RS"/>
              </w:rPr>
              <w:t> = P</w:t>
            </w:r>
            <w:r w:rsidRPr="00B03342">
              <w:rPr>
                <w:rFonts w:ascii="Arial" w:hAnsi="Arial" w:cs="Arial"/>
                <w:lang w:eastAsia="sr-Latn-RS"/>
              </w:rPr>
              <w:t> </w:t>
            </w:r>
            <w:r w:rsidRPr="00B03342">
              <w:rPr>
                <w:rFonts w:ascii="Arial" w:hAnsi="Arial" w:cs="Arial"/>
                <w:vertAlign w:val="subscript"/>
                <w:lang w:eastAsia="sr-Latn-RS"/>
              </w:rPr>
              <w:t>max</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 P</w:t>
            </w:r>
            <w:r w:rsidRPr="00B03342">
              <w:rPr>
                <w:rFonts w:ascii="Arial" w:hAnsi="Arial" w:cs="Arial"/>
                <w:lang w:eastAsia="sr-Latn-RS"/>
              </w:rPr>
              <w:t> </w:t>
            </w:r>
            <w:r w:rsidRPr="00B03342">
              <w:rPr>
                <w:rFonts w:ascii="Arial" w:hAnsi="Arial" w:cs="Arial"/>
                <w:vertAlign w:val="subscript"/>
                <w:lang w:eastAsia="sr-Latn-RS"/>
              </w:rPr>
              <w:t>aux</w:t>
            </w:r>
            <w:r w:rsidRPr="00B03342">
              <w:rPr>
                <w:rFonts w:ascii="Arial" w:hAnsi="Arial" w:cs="Arial"/>
                <w:lang w:eastAsia="sr-Latn-RS"/>
              </w:rPr>
              <w:t> </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(видети тач. 6.3. и 7.7.1.3. Прилога 8 ове уредбе)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честица [g/h]</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3.8.2.2.2. За вишефилтерску методу, помоћу једначине (7-134):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5C2B9E9" wp14:editId="7A631368">
            <wp:extent cx="5057140" cy="501015"/>
            <wp:effectExtent l="0" t="0" r="0" b="0"/>
            <wp:docPr id="113" name="Picture 113" descr="A mathematical formula defining EPM as the ratio of the sum of products of PMI and WF for nodes to the sum of products of P and WF for nod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 mathematical formula defining EPM as the ratio of the sum of products of PMI and WF for nodes to the sum of products of P and WF for nodes.&#10;&#10;Description generated by AI"/>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1"/>
        <w:gridCol w:w="166"/>
        <w:gridCol w:w="969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мотора за начин рада и [кW] прорачуната сабирањем измерене снаге Pmeas [kW] и снаге потребне за погон помоћних уређаја P</w:t>
            </w:r>
            <w:r w:rsidRPr="00B03342">
              <w:rPr>
                <w:rFonts w:ascii="Arial" w:hAnsi="Arial" w:cs="Arial"/>
                <w:vertAlign w:val="subscript"/>
                <w:lang w:eastAsia="sr-Latn-RS"/>
              </w:rPr>
              <w:t>AUX</w:t>
            </w:r>
            <w:r w:rsidRPr="00B03342">
              <w:rPr>
                <w:rFonts w:ascii="Arial" w:hAnsi="Arial" w:cs="Arial"/>
                <w:lang w:eastAsia="sr-Latn-RS"/>
              </w:rPr>
              <w:t> [кW], утврђене у складу с једначином (6-8) из Прилога 8 ове уредбе (Pi = Pmeas [kW] + P</w:t>
            </w:r>
            <w:r w:rsidRPr="00B03342">
              <w:rPr>
                <w:rFonts w:ascii="Arial" w:hAnsi="Arial" w:cs="Arial"/>
                <w:vertAlign w:val="subscript"/>
                <w:lang w:eastAsia="sr-Latn-RS"/>
              </w:rPr>
              <w:t>AUX</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PM</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масени проток честица у начину рада </w:t>
            </w:r>
            <w:r w:rsidRPr="00B03342">
              <w:rPr>
                <w:rFonts w:ascii="Arial" w:hAnsi="Arial" w:cs="Arial"/>
                <w:i/>
                <w:iCs/>
                <w:lang w:eastAsia="sr-Latn-RS"/>
              </w:rPr>
              <w:t>i</w:t>
            </w:r>
            <w:r w:rsidRPr="00B03342">
              <w:rPr>
                <w:rFonts w:ascii="Arial" w:hAnsi="Arial" w:cs="Arial"/>
                <w:lang w:eastAsia="sr-Latn-RS"/>
              </w:rPr>
              <w:t> [g/h]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Nmode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начина у примењивом NRSC-у с дискретним начинима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једнофилтерску методу, ефективни фактор пондерисања </w:t>
      </w:r>
      <w:r w:rsidRPr="00B03342">
        <w:rPr>
          <w:rFonts w:ascii="Arial" w:hAnsi="Arial" w:cs="Arial"/>
          <w:i/>
          <w:iCs/>
          <w:color w:val="000000"/>
          <w:lang w:eastAsia="sr-Latn-RS"/>
        </w:rPr>
        <w:t>WF</w:t>
      </w:r>
      <w:r w:rsidRPr="00B03342">
        <w:rPr>
          <w:rFonts w:ascii="Arial" w:hAnsi="Arial" w:cs="Arial"/>
          <w:color w:val="000000"/>
          <w:lang w:eastAsia="sr-Latn-RS"/>
        </w:rPr>
        <w:t> </w:t>
      </w:r>
      <w:r w:rsidRPr="00B03342">
        <w:rPr>
          <w:rFonts w:ascii="Arial" w:hAnsi="Arial" w:cs="Arial"/>
          <w:color w:val="000000"/>
          <w:vertAlign w:val="subscript"/>
          <w:lang w:eastAsia="sr-Latn-RS"/>
        </w:rPr>
        <w:t>eff</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за сваки се режим рачуна помоћу једначине (7-135):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5EC6EF9" wp14:editId="1A6A1968">
            <wp:extent cx="5057140" cy="389890"/>
            <wp:effectExtent l="0" t="0" r="0" b="0"/>
            <wp:docPr id="112" name="Picture 112" descr="A mathematical formula showing the definition of effective work function as the ratio of two products involving mass, sample thickness, and edge thicknes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 mathematical formula showing the definition of effective work function as the ratio of two products involving mass, sample thickness, and edge thickness.&#10;&#10;Description generated by A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50"/>
        <w:gridCol w:w="166"/>
        <w:gridCol w:w="868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smpldexh</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филтере за узорковање честица у начину рада и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smpldexh</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узорка разређеног издувног гасa који je прошао кроз филтере за узорковање честица [kg]</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eqdexhwet</w:t>
            </w:r>
            <w:r w:rsidRPr="00B03342">
              <w:rPr>
                <w:rFonts w:ascii="Arial" w:hAnsi="Arial" w:cs="Arial"/>
                <w:lang w:eastAsia="sr-Latn-RS"/>
              </w:rPr>
              <w:t> </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еквивалентан масени проток разређеног издувног гасa у начину рада </w:t>
            </w:r>
            <w:r w:rsidRPr="00B03342">
              <w:rPr>
                <w:rFonts w:ascii="Arial" w:hAnsi="Arial" w:cs="Arial"/>
                <w:i/>
                <w:iCs/>
                <w:lang w:eastAsia="sr-Latn-RS"/>
              </w:rPr>
              <w:t>i</w:t>
            </w:r>
            <w:r w:rsidRPr="00B03342">
              <w:rPr>
                <w:rFonts w:ascii="Arial" w:hAnsi="Arial" w:cs="Arial"/>
                <w:lang w:eastAsia="sr-Latn-RS"/>
              </w:rPr>
              <w:t>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35D612D" wp14:editId="6065F69A">
                  <wp:extent cx="1002030" cy="254635"/>
                  <wp:effectExtent l="0" t="0" r="7620" b="0"/>
                  <wp:docPr id="111" name="Picture 111" descr="A mathematical expression showing the square root of the letters &quot;eqdexhwet.&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 mathematical expression showing the square root of the letters &quot;eqdexhwet.&quot;&#10;&#10;Description generated by AI"/>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02030" cy="25463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просечан еквивалентни масени проток разређеног издувног гасa [kg/s]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Вредност ефективног факторa пондерисања мора бити унутар ± 0,005 (апсолутна вредност) факторa пондерисања наведених у Додатку 1. Прилога 5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3.8.3. Прилагођавање за системe за контролу емисије с неучесталом (периодичном) регенерацијом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У случају мотора, осим оних који припадају категорији RLL, опремљених системима за накнадну обраду издувних гасова с неучесталом (периодичном) регенерацијом (види тачку 6.6.2. Прилога 8 ове уредбе), специфичне емисије гасoвитих и чврстих загађујућих материја обрачунате у складу с тач. 3.8.1. и 3.8.2. овог прилога коригују се примењивим мултипликативним </w:t>
      </w:r>
      <w:r w:rsidRPr="00B03342">
        <w:rPr>
          <w:rFonts w:ascii="Arial" w:hAnsi="Arial" w:cs="Arial"/>
          <w:color w:val="000000"/>
          <w:lang w:eastAsia="sr-Latn-RS"/>
        </w:rPr>
        <w:lastRenderedPageBreak/>
        <w:t>фактором прилагођавања или примењивим адитивним фактором прилагођавања. Ако током испитивања није спроведена неучестала регенерација, примењује се фактор прилагођавања на већу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ru,a</w:t>
      </w:r>
      <w:r w:rsidRPr="00B03342">
        <w:rPr>
          <w:rFonts w:ascii="Arial" w:hAnsi="Arial" w:cs="Arial"/>
          <w:color w:val="000000"/>
          <w:lang w:eastAsia="sr-Latn-RS"/>
        </w:rPr>
        <w:t>). Ако je током испитивања спроведена неучестала регенерација, примењује се фактор прилагођавања на мању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rd,a</w:t>
      </w:r>
      <w:r w:rsidRPr="00B03342">
        <w:rPr>
          <w:rFonts w:ascii="Arial" w:hAnsi="Arial" w:cs="Arial"/>
          <w:color w:val="000000"/>
          <w:lang w:eastAsia="sr-Latn-RS"/>
        </w:rPr>
        <w:t>). У случају NRSC-a с дискретним начинима, када су фактори прилагођавања одређени за сваки начин рада, примењују се за сваки начин рада током обрачуна резултата пондерисане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3.8.4. Прилагођавање за фактор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Специфичне емисије гасoвитих и чврстих загађујућих материја обрачунате у складу с тач. 3.8.1. и 3.8.2. овог прилога, укључујући и фактор прилагођавања за неучестале регенерације у складу с тачком 3.8.3. овог прилога, ако је примењиво, потребно је прилагодити примењивим мултипликативним или адитивним фактором погоршања утврђенима у складу са захтевима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 Умеравање протокa разређених издувних гасoва (систем CVS) и повезани обрачуни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су одељку описани обрачуни за умеравање мерача протока. У тачки 3.9.1. овог прилога најпре се описује како конвертовати излазе референтног мерача протока за употребу у једначинама умеравања које се основе на моларној бази. Преостале тачке описују рачунање умеравања који су карактеристични за одређене врсте мерача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3.9.1. Конверзије референтних мерача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једначинама умеравања у овом одељку примењује се моларни проток, </w:t>
      </w:r>
      <w:r w:rsidRPr="00B03342">
        <w:rPr>
          <w:rFonts w:ascii="Arial" w:hAnsi="Arial" w:cs="Arial"/>
          <w:i/>
          <w:iCs/>
          <w:color w:val="000000"/>
          <w:lang w:eastAsia="sr-Latn-RS"/>
        </w:rPr>
        <w:t>ṅ</w:t>
      </w:r>
      <w:r w:rsidRPr="00B03342">
        <w:rPr>
          <w:rFonts w:ascii="Arial" w:hAnsi="Arial" w:cs="Arial"/>
          <w:color w:val="000000"/>
          <w:lang w:eastAsia="sr-Latn-RS"/>
        </w:rPr>
        <w:t> </w:t>
      </w:r>
      <w:r w:rsidRPr="00B03342">
        <w:rPr>
          <w:rFonts w:ascii="Arial" w:hAnsi="Arial" w:cs="Arial"/>
          <w:color w:val="000000"/>
          <w:vertAlign w:val="subscript"/>
          <w:lang w:eastAsia="sr-Latn-RS"/>
        </w:rPr>
        <w:t>ref</w:t>
      </w:r>
      <w:r w:rsidRPr="00B03342">
        <w:rPr>
          <w:rFonts w:ascii="Arial" w:hAnsi="Arial" w:cs="Arial"/>
          <w:color w:val="000000"/>
          <w:lang w:eastAsia="sr-Latn-RS"/>
        </w:rPr>
        <w:t>, као референтна количина. Ако примењени референтни мерач даје вредност протока у друкчијем облику, као што је стандардни запремински проток, </w:t>
      </w:r>
      <w:r w:rsidRPr="00B03342">
        <w:rPr>
          <w:rFonts w:ascii="Arial" w:hAnsi="Arial" w:cs="Arial"/>
          <w:i/>
          <w:iCs/>
          <w:color w:val="000000"/>
          <w:lang w:eastAsia="sr-Latn-RS"/>
        </w:rPr>
        <w:t>̇</w:t>
      </w:r>
      <w:r w:rsidRPr="00B03342">
        <w:rPr>
          <w:rFonts w:ascii="Arial" w:hAnsi="Arial" w:cs="Arial"/>
          <w:color w:val="000000"/>
          <w:lang w:eastAsia="sr-Latn-RS"/>
        </w:rPr>
        <w:t> </w:t>
      </w:r>
      <w:r w:rsidRPr="00B03342">
        <w:rPr>
          <w:rFonts w:ascii="Arial" w:hAnsi="Arial" w:cs="Arial"/>
          <w:color w:val="000000"/>
          <w:vertAlign w:val="subscript"/>
          <w:lang w:eastAsia="sr-Latn-RS"/>
        </w:rPr>
        <w:t>stdref</w:t>
      </w:r>
      <w:r w:rsidRPr="00B03342">
        <w:rPr>
          <w:rFonts w:ascii="Arial" w:hAnsi="Arial" w:cs="Arial"/>
          <w:color w:val="000000"/>
          <w:lang w:eastAsia="sr-Latn-RS"/>
        </w:rPr>
        <w:t>, стварни запремински проток, </w:t>
      </w:r>
      <w:r w:rsidRPr="00B03342">
        <w:rPr>
          <w:rFonts w:ascii="Arial" w:hAnsi="Arial" w:cs="Arial"/>
          <w:i/>
          <w:iCs/>
          <w:color w:val="000000"/>
          <w:lang w:eastAsia="sr-Latn-RS"/>
        </w:rPr>
        <w:t>̇</w:t>
      </w:r>
      <w:r w:rsidRPr="00B03342">
        <w:rPr>
          <w:rFonts w:ascii="Arial" w:hAnsi="Arial" w:cs="Arial"/>
          <w:color w:val="000000"/>
          <w:lang w:eastAsia="sr-Latn-RS"/>
        </w:rPr>
        <w:t> </w:t>
      </w:r>
      <w:r w:rsidRPr="00B03342">
        <w:rPr>
          <w:rFonts w:ascii="Arial" w:hAnsi="Arial" w:cs="Arial"/>
          <w:color w:val="000000"/>
          <w:vertAlign w:val="subscript"/>
          <w:lang w:eastAsia="sr-Latn-RS"/>
        </w:rPr>
        <w:t>actdref</w:t>
      </w:r>
      <w:r w:rsidRPr="00B03342">
        <w:rPr>
          <w:rFonts w:ascii="Arial" w:hAnsi="Arial" w:cs="Arial"/>
          <w:color w:val="000000"/>
          <w:lang w:eastAsia="sr-Latn-RS"/>
        </w:rPr>
        <w:t> или масени проток, </w:t>
      </w:r>
      <w:r w:rsidRPr="00B03342">
        <w:rPr>
          <w:rFonts w:ascii="Arial" w:hAnsi="Arial" w:cs="Arial"/>
          <w:i/>
          <w:iCs/>
          <w:color w:val="000000"/>
          <w:lang w:eastAsia="sr-Latn-RS"/>
        </w:rPr>
        <w:t>ṁ</w:t>
      </w:r>
      <w:r w:rsidRPr="00B03342">
        <w:rPr>
          <w:rFonts w:ascii="Arial" w:hAnsi="Arial" w:cs="Arial"/>
          <w:color w:val="000000"/>
          <w:lang w:eastAsia="sr-Latn-RS"/>
        </w:rPr>
        <w:t> </w:t>
      </w:r>
      <w:r w:rsidRPr="00B03342">
        <w:rPr>
          <w:rFonts w:ascii="Arial" w:hAnsi="Arial" w:cs="Arial"/>
          <w:color w:val="000000"/>
          <w:vertAlign w:val="subscript"/>
          <w:lang w:eastAsia="sr-Latn-RS"/>
        </w:rPr>
        <w:t>ref</w:t>
      </w:r>
      <w:r w:rsidRPr="00B03342">
        <w:rPr>
          <w:rFonts w:ascii="Arial" w:hAnsi="Arial" w:cs="Arial"/>
          <w:color w:val="000000"/>
          <w:lang w:eastAsia="sr-Latn-RS"/>
        </w:rPr>
        <w:t>, излазна вредност референтног мерача конвертује се у моларни проток помоћу једначине (7-136), (7-137) и (7-138), имајући у виду да би се вредности за запремински проток, масени проток, притисак, температуру и моларну масу, иако се могу променити за време испитивања емисија, требале одржавати константнима колико je то практично за сваку појединачну задату вредност током умеравања мерача протокa:</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2B26A81" wp14:editId="51ACBAAB">
            <wp:extent cx="5057140" cy="445135"/>
            <wp:effectExtent l="0" t="0" r="0" b="0"/>
            <wp:docPr id="110" name="Picture 110" descr="A mathematical formula showing a ratio involving standard deviations, product terms, and reference values with variables labeled in subscript and superscrip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 mathematical formula showing a ratio involving standard deviations, product terms, and reference values with variables labeled in subscript and superscript.&#10;&#10;Description generated by AI"/>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8"/>
        <w:gridCol w:w="189"/>
        <w:gridCol w:w="98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референтни моларни проток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t>
            </w:r>
            <w:r w:rsidRPr="00B03342">
              <w:rPr>
                <w:rFonts w:ascii="Arial" w:hAnsi="Arial" w:cs="Arial"/>
                <w:lang w:eastAsia="sr-Latn-RS"/>
              </w:rPr>
              <w:t> </w:t>
            </w:r>
            <w:r w:rsidRPr="00B03342">
              <w:rPr>
                <w:rFonts w:ascii="Arial" w:hAnsi="Arial" w:cs="Arial"/>
                <w:vertAlign w:val="subscript"/>
                <w:lang w:eastAsia="sr-Latn-RS"/>
              </w:rPr>
              <w:t>stdref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референтни запремински проток, коригован за стандардни притисак и стандардну температуру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t>
            </w:r>
            <w:r w:rsidRPr="00B03342">
              <w:rPr>
                <w:rFonts w:ascii="Arial" w:hAnsi="Arial" w:cs="Arial"/>
                <w:lang w:eastAsia="sr-Latn-RS"/>
              </w:rPr>
              <w:t> </w:t>
            </w:r>
            <w:r w:rsidRPr="00B03342">
              <w:rPr>
                <w:rFonts w:ascii="Arial" w:hAnsi="Arial" w:cs="Arial"/>
                <w:vertAlign w:val="subscript"/>
                <w:lang w:eastAsia="sr-Latn-RS"/>
              </w:rPr>
              <w:t>actref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референтни запремински проток, на стварном притиску и температури [m</w:t>
            </w:r>
            <w:r w:rsidRPr="00B03342">
              <w:rPr>
                <w:rFonts w:ascii="Arial" w:hAnsi="Arial" w:cs="Arial"/>
                <w:vertAlign w:val="superscript"/>
                <w:lang w:eastAsia="sr-Latn-RS"/>
              </w:rPr>
              <w:t>3</w:t>
            </w:r>
            <w:r w:rsidRPr="00B03342">
              <w:rPr>
                <w:rFonts w:ascii="Arial" w:hAnsi="Arial" w:cs="Arial"/>
                <w:lang w:eastAsia="sr-Latn-RS"/>
              </w:rPr>
              <w:t>/s]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ṁ</w:t>
            </w:r>
            <w:r w:rsidRPr="00B03342">
              <w:rPr>
                <w:rFonts w:ascii="Arial" w:hAnsi="Arial" w:cs="Arial"/>
                <w:lang w:eastAsia="sr-Latn-RS"/>
              </w:rPr>
              <w:t>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референтни масени проток [g/s]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std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притисак гасa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std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стандардна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стварна температура гасa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гасa [g/mol]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3.9.2. Обрачуни умеравања волуметричке пумпе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сваку поставку регулатора следеће се вредности рачунаjу из средњих вредности оређених у тачки 8.1.8.4. Прилога 8 ове уредбе, како следи: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испумпана запремина волуметричке пумпе по обртају, </w:t>
      </w:r>
      <w:r w:rsidRPr="00B03342">
        <w:rPr>
          <w:rFonts w:ascii="Arial" w:hAnsi="Arial" w:cs="Arial"/>
          <w:i/>
          <w:iCs/>
          <w:color w:val="000000"/>
          <w:lang w:eastAsia="sr-Latn-RS"/>
        </w:rPr>
        <w:t>V</w:t>
      </w:r>
      <w:r w:rsidRPr="00B03342">
        <w:rPr>
          <w:rFonts w:ascii="Arial" w:hAnsi="Arial" w:cs="Arial"/>
          <w:color w:val="000000"/>
          <w:lang w:eastAsia="sr-Latn-RS"/>
        </w:rPr>
        <w:t> </w:t>
      </w:r>
      <w:r w:rsidRPr="00B03342">
        <w:rPr>
          <w:rFonts w:ascii="Arial" w:hAnsi="Arial" w:cs="Arial"/>
          <w:color w:val="000000"/>
          <w:vertAlign w:val="subscript"/>
          <w:lang w:eastAsia="sr-Latn-RS"/>
        </w:rPr>
        <w:t>rev</w:t>
      </w:r>
      <w:r w:rsidRPr="00B03342">
        <w:rPr>
          <w:rFonts w:ascii="Arial" w:hAnsi="Arial" w:cs="Arial"/>
          <w:color w:val="000000"/>
          <w:lang w:eastAsia="sr-Latn-RS"/>
        </w:rPr>
        <w:t> (m</w:t>
      </w:r>
      <w:r w:rsidRPr="00B03342">
        <w:rPr>
          <w:rFonts w:ascii="Arial" w:hAnsi="Arial" w:cs="Arial"/>
          <w:color w:val="000000"/>
          <w:vertAlign w:val="superscript"/>
          <w:lang w:eastAsia="sr-Latn-RS"/>
        </w:rPr>
        <w:t>3</w:t>
      </w:r>
      <w:r w:rsidRPr="00B03342">
        <w:rPr>
          <w:rFonts w:ascii="Arial" w:hAnsi="Arial" w:cs="Arial"/>
          <w:color w:val="000000"/>
          <w:lang w:eastAsia="sr-Latn-RS"/>
        </w:rPr>
        <w:t>/обр):</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A8209DC" wp14:editId="19C131AA">
            <wp:extent cx="5057140" cy="501015"/>
            <wp:effectExtent l="0" t="0" r="0" b="0"/>
            <wp:docPr id="109" name="Picture 109" descr="The image shows a mathematical formula for V_rev expressed as the product of reference values and variables divided by the product of other variables, labeled as equation 7-137.&#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The image shows a mathematical formula for V_rev expressed as the product of reference values and variables divided by the product of other variables, labeled as equation 7-137.&#10;&#10;Description generated by AI"/>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12"/>
        <w:gridCol w:w="278"/>
        <w:gridCol w:w="811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239AFA16" wp14:editId="0B78E1BB">
                  <wp:extent cx="286385" cy="182880"/>
                  <wp:effectExtent l="0" t="0" r="0" b="7620"/>
                  <wp:docPr id="108" name="Picture 108" descr="The image shows the word &quot;ref&quot; in a black serif fon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The image shows the word &quot;ref&quot; in a black serif font on a white background.&#10;&#10;Description generated by AI"/>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6385" cy="18288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вредност референтноg моларног протокa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7787E34" wp14:editId="248E5E5E">
                  <wp:extent cx="421640" cy="222885"/>
                  <wp:effectExtent l="0" t="0" r="0" b="5715"/>
                  <wp:docPr id="107" name="Picture 107" descr="The image shows the chemical symbol for tin with the letter T and the letters &quot;in&quot; in a serif fo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The image shows the chemical symbol for tin with the letter T and the letters &quot;in&quot; in a serif font.&#10;&#10;Description generated by A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21640" cy="2228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улазна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04C70EF3" wp14:editId="639528BD">
                  <wp:extent cx="381635" cy="222885"/>
                  <wp:effectExtent l="0" t="0" r="0" b="5715"/>
                  <wp:docPr id="106" name="Picture 106" descr="The image shows the word &quot;Pin&quot; in a serif font with a large capital &quot;P&quot; followed by lowercase &quot;in.&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he image shows the word &quot;Pin&quot; in a serif font with a large capital &quot;P&quot; followed by lowercase &quot;in.&quot;&#10;&#10;Description generated by AI"/>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1635" cy="2228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средњи улазни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C48B7CB" wp14:editId="3CBFDE7B">
                  <wp:extent cx="755650" cy="230505"/>
                  <wp:effectExtent l="0" t="0" r="6350" b="0"/>
                  <wp:docPr id="105" name="Picture 105" descr="The image shows the mathematical notation &quot;f&quot; with a horizontal bar above it followed by the subscript &quot;n&quot; and the letters &quot;PDP.&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The image shows the mathematical notation &quot;f&quot; with a horizontal bar above it followed by the subscript &quot;n&quot; and the letters &quot;PDP.&quot;&#10;&#10;Description generated by AI"/>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5565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брзина обртаја [обр/s]</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корекциони фактор за губитак волуметричке пумпе,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s</w:t>
      </w:r>
      <w:r w:rsidRPr="00B03342">
        <w:rPr>
          <w:rFonts w:ascii="Arial" w:hAnsi="Arial" w:cs="Arial"/>
          <w:color w:val="000000"/>
          <w:lang w:eastAsia="sr-Latn-RS"/>
        </w:rPr>
        <w:t> [s/обр]:</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7C6F8B7" wp14:editId="17404AC4">
            <wp:extent cx="5057140" cy="501015"/>
            <wp:effectExtent l="0" t="0" r="0" b="0"/>
            <wp:docPr id="104" name="Picture 104" descr="The image shows a mathematical formula for Kz involving variables nDDP, Pout, Pm, and Pout in a square root and fraction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The image shows a mathematical formula for Kz involving variables nDDP, Pout, Pm, and Pout in a square root and fraction format.&#10;&#10;Description generated by AI"/>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34"/>
        <w:gridCol w:w="301"/>
        <w:gridCol w:w="796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18810338" wp14:editId="28652FCC">
                  <wp:extent cx="286385" cy="182880"/>
                  <wp:effectExtent l="0" t="0" r="0" b="7620"/>
                  <wp:docPr id="103" name="Picture 103" descr="The image shows the word &quot;ref&quot; in a black serif fon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The image shows the word &quot;ref&quot; in a black serif font on a white background.&#10;&#10;Description generated by AI"/>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86385" cy="18288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средњи референтни моларни проток [mol/s]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CE75E47" wp14:editId="6318BA55">
                  <wp:extent cx="421640" cy="222885"/>
                  <wp:effectExtent l="0" t="0" r="0" b="5715"/>
                  <wp:docPr id="102" name="Picture 102" descr="The image shows the chemical symbol for tin with the letter T under a horizontal bar followed by the letters i and n in lowercas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The image shows the chemical symbol for tin with the letter T under a horizontal bar followed by the letters i and n in lowercase.&#10;&#10;Description generated by A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21640" cy="2228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улазна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6B14856" wp14:editId="1A30F5F1">
                  <wp:extent cx="381635" cy="222885"/>
                  <wp:effectExtent l="0" t="0" r="0" b="5715"/>
                  <wp:docPr id="101" name="Picture 101" descr="The image shows the word &quot;Pin&quot; in a serif font with a large capital &quot;P&quot; followed by lowercase &quot;in.&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The image shows the word &quot;Pin&quot; in a serif font with a large capital &quot;P&quot; followed by lowercase &quot;in.&quot;&#10;&#10;Description generated by AI"/>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1635" cy="2228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средњи улазни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357EB33" wp14:editId="3EE6FCC3">
                  <wp:extent cx="524510" cy="222885"/>
                  <wp:effectExtent l="0" t="0" r="8890" b="5715"/>
                  <wp:docPr id="100" name="Picture 100" descr="The image shows the word &quot;Pout&quot; with a horizontal line above the letter &quot;P.&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The image shows the word &quot;Pout&quot; with a horizontal line above the letter &quot;P.&quot;&#10;&#10;Description generated by AI"/>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4510" cy="22288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средњи излазни притисак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E7B9AA2" wp14:editId="26E811DE">
                  <wp:extent cx="739775" cy="246380"/>
                  <wp:effectExtent l="0" t="0" r="3175" b="1270"/>
                  <wp:docPr id="99" name="Picture 99" descr="The image shows the mathematical notation for the function f with a subscript n followed by the letters PDP in uppercas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The image shows the mathematical notation for the function f with a subscript n followed by the letters PDP in uppercase.&#10;&#10;Description generated by AI"/>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39775" cy="24638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брзина обртаја волуметричке пумпе [обр/s]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 K)]</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регресија најмањих квадрата запремина волуметричке пумпе испумпаног по обртају, </w:t>
      </w:r>
      <w:r w:rsidRPr="00B03342">
        <w:rPr>
          <w:rFonts w:ascii="Arial" w:hAnsi="Arial" w:cs="Arial"/>
          <w:i/>
          <w:iCs/>
          <w:color w:val="000000"/>
          <w:lang w:eastAsia="sr-Latn-RS"/>
        </w:rPr>
        <w:t>V</w:t>
      </w:r>
      <w:r w:rsidRPr="00B03342">
        <w:rPr>
          <w:rFonts w:ascii="Arial" w:hAnsi="Arial" w:cs="Arial"/>
          <w:color w:val="000000"/>
          <w:lang w:eastAsia="sr-Latn-RS"/>
        </w:rPr>
        <w:t> </w:t>
      </w:r>
      <w:r w:rsidRPr="00B03342">
        <w:rPr>
          <w:rFonts w:ascii="Arial" w:hAnsi="Arial" w:cs="Arial"/>
          <w:color w:val="000000"/>
          <w:vertAlign w:val="subscript"/>
          <w:lang w:eastAsia="sr-Latn-RS"/>
        </w:rPr>
        <w:t>rev</w:t>
      </w:r>
      <w:r w:rsidRPr="00B03342">
        <w:rPr>
          <w:rFonts w:ascii="Arial" w:hAnsi="Arial" w:cs="Arial"/>
          <w:color w:val="000000"/>
          <w:lang w:eastAsia="sr-Latn-RS"/>
        </w:rPr>
        <w:t>, у односу на корекциони фактор за губитак волуметричке пумпе, </w:t>
      </w:r>
      <w:r w:rsidRPr="00B03342">
        <w:rPr>
          <w:rFonts w:ascii="Arial" w:hAnsi="Arial" w:cs="Arial"/>
          <w:i/>
          <w:iCs/>
          <w:color w:val="000000"/>
          <w:lang w:eastAsia="sr-Latn-RS"/>
        </w:rPr>
        <w:t>K s</w:t>
      </w:r>
      <w:r w:rsidRPr="00B03342">
        <w:rPr>
          <w:rFonts w:ascii="Arial" w:hAnsi="Arial" w:cs="Arial"/>
          <w:color w:val="000000"/>
          <w:lang w:eastAsia="sr-Latn-RS"/>
        </w:rPr>
        <w:t>, изводи се рачунањем нагиба,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1</w:t>
      </w:r>
      <w:r w:rsidRPr="00B03342">
        <w:rPr>
          <w:rFonts w:ascii="Arial" w:hAnsi="Arial" w:cs="Arial"/>
          <w:color w:val="000000"/>
          <w:lang w:eastAsia="sr-Latn-RS"/>
        </w:rPr>
        <w:t>, и одсечка,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како је описано у Додатку 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поступак описан у подтачкама (a) до (ц) ове тачке понавља се за сваку брзину на којој ради волуметричка пумпа;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у табели 7.4. приказани су обрачуни за различите вредности за </w:t>
      </w:r>
      <w:r w:rsidRPr="00B03342">
        <w:rPr>
          <w:rFonts w:ascii="Arial" w:hAnsi="Arial" w:cs="Arial"/>
          <w:color w:val="000000"/>
          <w:lang w:val="en-US"/>
        </w:rPr>
        <w:drawing>
          <wp:inline distT="0" distB="0" distL="0" distR="0" wp14:anchorId="30024366" wp14:editId="61E05A0C">
            <wp:extent cx="739775" cy="246380"/>
            <wp:effectExtent l="0" t="0" r="3175" b="1270"/>
            <wp:docPr id="98" name="Picture 98" descr="The image shows the mathematical expression f with a horizontal bar above it, followed by the subscript &quot;nPDP.&qu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The image shows the mathematical expression f with a horizontal bar above it, followed by the subscript &quot;nPDP.&quot;&#10;&#10;Description generated by AI"/>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39775" cy="246380"/>
                    </a:xfrm>
                    <a:prstGeom prst="rect">
                      <a:avLst/>
                    </a:prstGeom>
                    <a:noFill/>
                    <a:ln>
                      <a:noFill/>
                    </a:ln>
                  </pic:spPr>
                </pic:pic>
              </a:graphicData>
            </a:graphic>
          </wp:inline>
        </w:drawing>
      </w:r>
      <w:r w:rsidRPr="00B03342">
        <w:rPr>
          <w:rFonts w:ascii="Arial" w:hAnsi="Arial" w:cs="Arial"/>
          <w:color w:val="000000"/>
          <w:lang w:eastAsia="sr-Latn-RS"/>
        </w:rPr>
        <w:t>.</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7.4. Пример умерених података волуметричке пумпе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6EB6ED3" wp14:editId="41078725">
            <wp:extent cx="6735600" cy="1080000"/>
            <wp:effectExtent l="0" t="0" r="0" b="6350"/>
            <wp:docPr id="97" name="Picture 97" descr="A table displaying numerical data with columns labeled nPDP in revolutions per minute and rotations per second, along with values for flow rates in cubic meters per minute, cubic meters per second, and cubic meters per rot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A table displaying numerical data with columns labeled nPDP in revolutions per minute and rotations per second, along with values for flow rates in cubic meters per minute, cubic meters per second, and cubic meters per rotation.&#10;&#10;Description generated by AI"/>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735600" cy="108000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(ђ) За сваку брзину на којој ради волуметричка пумпа, одговарајући нагиб,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1</w:t>
      </w:r>
      <w:r w:rsidRPr="00B03342">
        <w:rPr>
          <w:rFonts w:ascii="Arial" w:hAnsi="Arial" w:cs="Arial"/>
          <w:color w:val="000000"/>
          <w:lang w:eastAsia="sr-Latn-RS"/>
        </w:rPr>
        <w:t> и одсечак,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0</w:t>
      </w:r>
      <w:r w:rsidRPr="00B03342">
        <w:rPr>
          <w:rFonts w:ascii="Arial" w:hAnsi="Arial" w:cs="Arial"/>
          <w:color w:val="000000"/>
          <w:lang w:eastAsia="sr-Latn-RS"/>
        </w:rPr>
        <w:t>, употребљавају се за рачунање протокa за време испитивања емисија како je описанo у тачки 3.6.3.(б)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3.9.3. Једначине Вентуријеве цеви и допуштене претпоставке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Oвај одељак описује једначине и допуштене претпоставке за умеравање Вентуријеве цеви и рачунање протока употребом Вентуријеве цеви. Подзвучна Вентуријева цев (SSV) и Вентуријева цев критичног протокa (CFV) функционишу на сличан начин, па су њихове једначине за управљање готово потпуно исте, осим једначине која описује њихов однос притисака, </w:t>
      </w:r>
      <w:r w:rsidRPr="00B03342">
        <w:rPr>
          <w:rFonts w:ascii="Arial" w:hAnsi="Arial" w:cs="Arial"/>
          <w:i/>
          <w:iCs/>
          <w:color w:val="000000"/>
          <w:lang w:eastAsia="sr-Latn-RS"/>
        </w:rPr>
        <w:t>r</w:t>
      </w:r>
      <w:r w:rsidRPr="00B03342">
        <w:rPr>
          <w:rFonts w:ascii="Arial" w:hAnsi="Arial" w:cs="Arial"/>
          <w:color w:val="000000"/>
          <w:lang w:eastAsia="sr-Latn-RS"/>
        </w:rPr>
        <w:t> (односно,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у односу на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bscript"/>
          <w:lang w:eastAsia="sr-Latn-RS"/>
        </w:rPr>
        <w:t>CFV</w:t>
      </w:r>
      <w:r w:rsidRPr="00B03342">
        <w:rPr>
          <w:rFonts w:ascii="Arial" w:hAnsi="Arial" w:cs="Arial"/>
          <w:color w:val="000000"/>
          <w:lang w:eastAsia="sr-Latn-RS"/>
        </w:rPr>
        <w:t>). Те једначине за управљање претпостављају једнодимензионални изентропски невискозни подпритисни проток идеалнога гасa. У тачки 3.9.3.(д) овог прилога описују се друге могуће претпоставке. Ако претпоставка о идеалном гасу за измерени проток није допуштена, једначине за управљање укључују корекцију првог реда за понашање правог гаса, односно фактор подпритиска, </w:t>
      </w:r>
      <w:r w:rsidRPr="00B03342">
        <w:rPr>
          <w:rFonts w:ascii="Arial" w:hAnsi="Arial" w:cs="Arial"/>
          <w:i/>
          <w:iCs/>
          <w:color w:val="000000"/>
          <w:lang w:eastAsia="sr-Latn-RS"/>
        </w:rPr>
        <w:t>Z</w:t>
      </w:r>
      <w:r w:rsidRPr="00B03342">
        <w:rPr>
          <w:rFonts w:ascii="Arial" w:hAnsi="Arial" w:cs="Arial"/>
          <w:color w:val="000000"/>
          <w:lang w:eastAsia="sr-Latn-RS"/>
        </w:rPr>
        <w:t>. Ако добра инжењерска процена диктира употребу вредности која није </w:t>
      </w:r>
      <w:r w:rsidRPr="00B03342">
        <w:rPr>
          <w:rFonts w:ascii="Arial" w:hAnsi="Arial" w:cs="Arial"/>
          <w:i/>
          <w:iCs/>
          <w:color w:val="000000"/>
          <w:lang w:eastAsia="sr-Latn-RS"/>
        </w:rPr>
        <w:t>Z</w:t>
      </w:r>
      <w:r w:rsidRPr="00B03342">
        <w:rPr>
          <w:rFonts w:ascii="Arial" w:hAnsi="Arial" w:cs="Arial"/>
          <w:color w:val="000000"/>
          <w:lang w:eastAsia="sr-Latn-RS"/>
        </w:rPr>
        <w:t> = 1, може се употребљавати одговарајућа једначина стања како би се одредиле вредности за </w:t>
      </w:r>
      <w:r w:rsidRPr="00B03342">
        <w:rPr>
          <w:rFonts w:ascii="Arial" w:hAnsi="Arial" w:cs="Arial"/>
          <w:i/>
          <w:iCs/>
          <w:color w:val="000000"/>
          <w:lang w:eastAsia="sr-Latn-RS"/>
        </w:rPr>
        <w:t>Z</w:t>
      </w:r>
      <w:r w:rsidRPr="00B03342">
        <w:rPr>
          <w:rFonts w:ascii="Arial" w:hAnsi="Arial" w:cs="Arial"/>
          <w:color w:val="000000"/>
          <w:lang w:eastAsia="sr-Latn-RS"/>
        </w:rPr>
        <w:t> као функцију измерених притисака и температура, или се могу развити посебне једначине умеравања на основу добре инжењерске праксе. Важно је запамтити да се једначина за коефицијент протока,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 основи на претпоставци идеалног гаса да је изентропски експонент, </w:t>
      </w:r>
      <w:r w:rsidRPr="00B03342">
        <w:rPr>
          <w:rFonts w:ascii="Arial" w:hAnsi="Arial" w:cs="Arial"/>
          <w:i/>
          <w:iCs/>
          <w:color w:val="000000"/>
          <w:lang w:eastAsia="sr-Latn-RS"/>
        </w:rPr>
        <w:t>γ</w:t>
      </w:r>
      <w:r w:rsidRPr="00B03342">
        <w:rPr>
          <w:rFonts w:ascii="Arial" w:hAnsi="Arial" w:cs="Arial"/>
          <w:color w:val="000000"/>
          <w:lang w:eastAsia="sr-Latn-RS"/>
        </w:rPr>
        <w:t>, једнак односу специфичних гасa, </w:t>
      </w:r>
      <w:r w:rsidRPr="00B03342">
        <w:rPr>
          <w:rFonts w:ascii="Arial" w:hAnsi="Arial" w:cs="Arial"/>
          <w:i/>
          <w:iCs/>
          <w:color w:val="000000"/>
          <w:lang w:eastAsia="sr-Latn-RS"/>
        </w:rPr>
        <w:t>c</w:t>
      </w:r>
      <w:r w:rsidRPr="00B03342">
        <w:rPr>
          <w:rFonts w:ascii="Arial" w:hAnsi="Arial" w:cs="Arial"/>
          <w:color w:val="000000"/>
          <w:vertAlign w:val="subscript"/>
          <w:lang w:eastAsia="sr-Latn-RS"/>
        </w:rPr>
        <w:t>p</w:t>
      </w:r>
      <w:r w:rsidRPr="00B03342">
        <w:rPr>
          <w:rFonts w:ascii="Arial" w:hAnsi="Arial" w:cs="Arial"/>
          <w:i/>
          <w:iCs/>
          <w:color w:val="000000"/>
          <w:lang w:eastAsia="sr-Latn-RS"/>
        </w:rPr>
        <w:t> </w:t>
      </w:r>
      <w:r w:rsidRPr="00B03342">
        <w:rPr>
          <w:rFonts w:ascii="Arial" w:hAnsi="Arial" w:cs="Arial"/>
          <w:color w:val="000000"/>
          <w:lang w:eastAsia="sr-Latn-RS"/>
        </w:rPr>
        <w:t>/c</w:t>
      </w:r>
      <w:r w:rsidRPr="00B03342">
        <w:rPr>
          <w:rFonts w:ascii="Arial" w:hAnsi="Arial" w:cs="Arial"/>
          <w:i/>
          <w:iCs/>
          <w:color w:val="000000"/>
          <w:lang w:eastAsia="sr-Latn-RS"/>
        </w:rPr>
        <w:t> </w:t>
      </w:r>
      <w:r w:rsidRPr="00B03342">
        <w:rPr>
          <w:rFonts w:ascii="Arial" w:hAnsi="Arial" w:cs="Arial"/>
          <w:color w:val="000000"/>
          <w:vertAlign w:val="subscript"/>
          <w:lang w:eastAsia="sr-Latn-RS"/>
        </w:rPr>
        <w:t>V</w:t>
      </w:r>
      <w:r w:rsidRPr="00B03342">
        <w:rPr>
          <w:rFonts w:ascii="Arial" w:hAnsi="Arial" w:cs="Arial"/>
          <w:i/>
          <w:iCs/>
          <w:color w:val="000000"/>
          <w:lang w:eastAsia="sr-Latn-RS"/>
        </w:rPr>
        <w:t> </w:t>
      </w:r>
      <w:r w:rsidRPr="00B03342">
        <w:rPr>
          <w:rFonts w:ascii="Arial" w:hAnsi="Arial" w:cs="Arial"/>
          <w:color w:val="000000"/>
          <w:lang w:eastAsia="sr-Latn-RS"/>
        </w:rPr>
        <w:t xml:space="preserve">. Ако добра инжењерска процена диктира употребу изентропског експонента стварног </w:t>
      </w:r>
      <w:r w:rsidRPr="00B03342">
        <w:rPr>
          <w:rFonts w:ascii="Arial" w:hAnsi="Arial" w:cs="Arial"/>
          <w:color w:val="000000"/>
          <w:lang w:eastAsia="sr-Latn-RS"/>
        </w:rPr>
        <w:lastRenderedPageBreak/>
        <w:t>гаса, може се употребити одговарајућа једначина стања како би се одредиле вредности за </w:t>
      </w:r>
      <w:r w:rsidRPr="00B03342">
        <w:rPr>
          <w:rFonts w:ascii="Arial" w:hAnsi="Arial" w:cs="Arial"/>
          <w:i/>
          <w:iCs/>
          <w:color w:val="000000"/>
          <w:lang w:eastAsia="sr-Latn-RS"/>
        </w:rPr>
        <w:t>γ</w:t>
      </w:r>
      <w:r w:rsidRPr="00B03342">
        <w:rPr>
          <w:rFonts w:ascii="Arial" w:hAnsi="Arial" w:cs="Arial"/>
          <w:color w:val="000000"/>
          <w:lang w:eastAsia="sr-Latn-RS"/>
        </w:rPr>
        <w:t> као функцију измерених притисака и температура, или се могу развити посебне једначине за умеравање. Моларни проток </w:t>
      </w:r>
      <w:r w:rsidRPr="00B03342">
        <w:rPr>
          <w:rFonts w:ascii="Arial" w:hAnsi="Arial" w:cs="Arial"/>
          <w:i/>
          <w:iCs/>
          <w:color w:val="000000"/>
          <w:lang w:eastAsia="sr-Latn-RS"/>
        </w:rPr>
        <w:t>ṅ</w:t>
      </w:r>
      <w:r w:rsidRPr="00B03342">
        <w:rPr>
          <w:rFonts w:ascii="Arial" w:hAnsi="Arial" w:cs="Arial"/>
          <w:color w:val="000000"/>
          <w:lang w:eastAsia="sr-Latn-RS"/>
        </w:rPr>
        <w:t> [mol/s] рачуна се помоћу једначине (7-139):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8D85EE5" wp14:editId="7FBD69D4">
            <wp:extent cx="5057140" cy="501015"/>
            <wp:effectExtent l="0" t="0" r="0" b="0"/>
            <wp:docPr id="96" name="Picture 96" descr="A mathematical formula showing a fraction with At times Pin in the numerator and the square root of Z times Mmix times R times Tin in the denominator, multiplied by Cd and Cf, with an equation number 7.139 on the righ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A mathematical formula showing a fraction with At times Pin in the numerator and the square root of Z times Mmix times R times Tin in the denominator, multiplied by Cd and Cf, with an equation number 7.139 on the right.&#10;&#10;Description generated by AI"/>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7"/>
        <w:gridCol w:w="263"/>
        <w:gridCol w:w="953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одређен у ставу тачки 3.9.3.(a) овог прилога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коефицијент протокa, одређен у тачки 3.9.3.(б) овог прилога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површина попречног пречника сужења Вентуријеве цеви[m</w:t>
            </w:r>
            <w:r w:rsidRPr="00B03342">
              <w:rPr>
                <w:rFonts w:ascii="Arial" w:hAnsi="Arial" w:cs="Arial"/>
                <w:vertAlign w:val="superscript"/>
                <w:lang w:eastAsia="sr-Latn-RS"/>
              </w:rPr>
              <w:t>2</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апсолутни статички притисак на улазном отвору Вентуријеве цеви [Pa]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Z</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фактор подпритиска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мешавине гасa [kg/mol]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гасна константа [J/(mol ·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температура на улазном отвору Вентуријеве цеви[K]</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Употребом података прикупљених у тачки 8.1.8.4. Прилога 8 ове уредбе,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се рачуна помоћу једначине (7-140):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091E6C6" wp14:editId="184EFE0B">
            <wp:extent cx="5057140" cy="445135"/>
            <wp:effectExtent l="0" t="0" r="0" b="0"/>
            <wp:docPr id="95" name="Picture 95" descr="A mathematical formula showing Cd as a fraction with the square root of Z times Mmix times R times Tm in the numerator and Cf times At times Pin in the denominator, labeled as equation 7-14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 mathematical formula showing Cd as a fraction with the square root of Z times Mmix times R times Tm in the numerator and Cf times At times Pin in the denominator, labeled as equation 7-140.&#10;&#10;Description generated by AI"/>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1"/>
        <w:gridCol w:w="487"/>
        <w:gridCol w:w="898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референтни моларни проток [mol/s]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Други симболи према једначини (7-139).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 се одређује употребом једне од следећих метода: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Само за мерачe протокa с Вентуревом цеви критичног протокa,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fCFV</w:t>
      </w:r>
      <w:r w:rsidRPr="00B03342">
        <w:rPr>
          <w:rFonts w:ascii="Arial" w:hAnsi="Arial" w:cs="Arial"/>
          <w:color w:val="000000"/>
          <w:lang w:eastAsia="sr-Latn-RS"/>
        </w:rPr>
        <w:t> се узима из табеле 7.5. овог прилога на основу вредности за </w:t>
      </w:r>
      <w:r w:rsidRPr="00B03342">
        <w:rPr>
          <w:rFonts w:ascii="Arial" w:hAnsi="Arial" w:cs="Arial"/>
          <w:i/>
          <w:iCs/>
          <w:color w:val="000000"/>
          <w:lang w:eastAsia="sr-Latn-RS"/>
        </w:rPr>
        <w:t>β</w:t>
      </w:r>
      <w:r w:rsidRPr="00B03342">
        <w:rPr>
          <w:rFonts w:ascii="Arial" w:hAnsi="Arial" w:cs="Arial"/>
          <w:color w:val="000000"/>
          <w:lang w:eastAsia="sr-Latn-RS"/>
        </w:rPr>
        <w:t> (однос сужења Вентуријеве цеви и пречникa улазног отворa) и </w:t>
      </w:r>
      <w:r w:rsidRPr="00B03342">
        <w:rPr>
          <w:rFonts w:ascii="Arial" w:hAnsi="Arial" w:cs="Arial"/>
          <w:i/>
          <w:iCs/>
          <w:color w:val="000000"/>
          <w:lang w:eastAsia="sr-Latn-RS"/>
        </w:rPr>
        <w:t>γ</w:t>
      </w:r>
      <w:r w:rsidRPr="00B03342">
        <w:rPr>
          <w:rFonts w:ascii="Arial" w:hAnsi="Arial" w:cs="Arial"/>
          <w:color w:val="000000"/>
          <w:lang w:eastAsia="sr-Latn-RS"/>
        </w:rPr>
        <w:t> (однос специфичних температура мешавине гасa), применом линеарне интерполације за налажење прелазних вредности:</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7.5. C </w:t>
      </w:r>
      <w:r w:rsidRPr="00B03342">
        <w:rPr>
          <w:rFonts w:ascii="Arial" w:hAnsi="Arial" w:cs="Arial"/>
          <w:color w:val="000000"/>
          <w:vertAlign w:val="subscript"/>
          <w:lang w:eastAsia="sr-Latn-RS"/>
        </w:rPr>
        <w:t>fCFV</w:t>
      </w:r>
      <w:r w:rsidRPr="00B03342">
        <w:rPr>
          <w:rFonts w:ascii="Arial" w:hAnsi="Arial" w:cs="Arial"/>
          <w:color w:val="000000"/>
          <w:lang w:eastAsia="sr-Latn-RS"/>
        </w:rPr>
        <w:t> у односу на </w:t>
      </w:r>
      <w:r w:rsidRPr="00B03342">
        <w:rPr>
          <w:rFonts w:ascii="Arial" w:hAnsi="Arial" w:cs="Arial"/>
          <w:i/>
          <w:iCs/>
          <w:color w:val="000000"/>
          <w:lang w:eastAsia="sr-Latn-RS"/>
        </w:rPr>
        <w:t>β</w:t>
      </w:r>
      <w:r w:rsidRPr="00B03342">
        <w:rPr>
          <w:rFonts w:ascii="Arial" w:hAnsi="Arial" w:cs="Arial"/>
          <w:color w:val="000000"/>
          <w:lang w:eastAsia="sr-Latn-RS"/>
        </w:rPr>
        <w:t> и </w:t>
      </w:r>
      <w:r w:rsidRPr="00B03342">
        <w:rPr>
          <w:rFonts w:ascii="Arial" w:hAnsi="Arial" w:cs="Arial"/>
          <w:i/>
          <w:iCs/>
          <w:color w:val="000000"/>
          <w:lang w:eastAsia="sr-Latn-RS"/>
        </w:rPr>
        <w:t>γ</w:t>
      </w:r>
      <w:r w:rsidRPr="00B03342">
        <w:rPr>
          <w:rFonts w:ascii="Arial" w:hAnsi="Arial" w:cs="Arial"/>
          <w:color w:val="000000"/>
          <w:lang w:eastAsia="sr-Latn-RS"/>
        </w:rPr>
        <w:t> за Вентуријеве цеви критичног протокa</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46"/>
        <w:gridCol w:w="3433"/>
        <w:gridCol w:w="5221"/>
      </w:tblGrid>
      <w:tr w:rsidR="00DA0CD9" w:rsidRPr="00B03342" w:rsidTr="00E26D3C">
        <w:tc>
          <w:tcPr>
            <w:tcW w:w="0" w:type="auto"/>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fCFV</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r w:rsidRPr="00B03342">
              <w:rPr>
                <w:rFonts w:ascii="Arial" w:hAnsi="Arial" w:cs="Arial"/>
                <w:lang w:eastAsia="sr-Latn-RS"/>
              </w:rPr>
              <w:t> </w:t>
            </w:r>
            <w:r w:rsidRPr="00B03342">
              <w:rPr>
                <w:rFonts w:ascii="Arial" w:hAnsi="Arial" w:cs="Arial"/>
                <w:vertAlign w:val="subscript"/>
                <w:lang w:eastAsia="sr-Latn-RS"/>
              </w:rPr>
              <w:t>exh</w:t>
            </w:r>
            <w:r w:rsidRPr="00B03342">
              <w:rPr>
                <w:rFonts w:ascii="Arial" w:hAnsi="Arial" w:cs="Arial"/>
                <w:lang w:eastAsia="sr-Latn-RS"/>
              </w:rPr>
              <w:t>=1,385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r w:rsidRPr="00B03342">
              <w:rPr>
                <w:rFonts w:ascii="Arial" w:hAnsi="Arial" w:cs="Arial"/>
                <w:lang w:eastAsia="sr-Latn-RS"/>
              </w:rPr>
              <w:t> </w:t>
            </w:r>
            <w:r w:rsidRPr="00B03342">
              <w:rPr>
                <w:rFonts w:ascii="Arial" w:hAnsi="Arial" w:cs="Arial"/>
                <w:vertAlign w:val="subscript"/>
                <w:lang w:eastAsia="sr-Latn-RS"/>
              </w:rPr>
              <w:t>dexh</w:t>
            </w:r>
            <w:r w:rsidRPr="00B03342">
              <w:rPr>
                <w:rFonts w:ascii="Arial" w:hAnsi="Arial" w:cs="Arial"/>
                <w:lang w:eastAsia="sr-Latn-RS"/>
              </w:rPr>
              <w:t>=</w:t>
            </w:r>
            <w:r w:rsidRPr="00B03342">
              <w:rPr>
                <w:rFonts w:ascii="Arial" w:hAnsi="Arial" w:cs="Arial"/>
                <w:i/>
                <w:iCs/>
                <w:lang w:eastAsia="sr-Latn-RS"/>
              </w:rPr>
              <w:t>γ</w:t>
            </w:r>
            <w:r w:rsidRPr="00B03342">
              <w:rPr>
                <w:rFonts w:ascii="Arial" w:hAnsi="Arial" w:cs="Arial"/>
                <w:lang w:eastAsia="sr-Latn-RS"/>
              </w:rPr>
              <w:t> </w:t>
            </w:r>
            <w:r w:rsidRPr="00B03342">
              <w:rPr>
                <w:rFonts w:ascii="Arial" w:hAnsi="Arial" w:cs="Arial"/>
                <w:vertAlign w:val="subscript"/>
                <w:lang w:eastAsia="sr-Latn-RS"/>
              </w:rPr>
              <w:t>air</w:t>
            </w:r>
            <w:r w:rsidRPr="00B03342">
              <w:rPr>
                <w:rFonts w:ascii="Arial" w:hAnsi="Arial" w:cs="Arial"/>
                <w:lang w:eastAsia="sr-Latn-RS"/>
              </w:rPr>
              <w:t> </w:t>
            </w:r>
            <w:r w:rsidRPr="00B03342">
              <w:rPr>
                <w:rFonts w:ascii="Arial" w:hAnsi="Arial" w:cs="Arial"/>
                <w:i/>
                <w:iCs/>
                <w:lang w:eastAsia="sr-Latn-RS"/>
              </w:rPr>
              <w:t>=</w:t>
            </w:r>
            <w:r w:rsidRPr="00B03342">
              <w:rPr>
                <w:rFonts w:ascii="Arial" w:hAnsi="Arial" w:cs="Arial"/>
                <w:lang w:eastAsia="sr-Latn-RS"/>
              </w:rPr>
              <w:t>1,399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0,6822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0,6846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0,400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0,6857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0,6881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0,6910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0,6934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0,550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0,6953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0,6977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0,7011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0,7036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0,7047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0,7072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0,7089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0,7114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0,675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0,7137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0,7163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0,700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0,7193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0,7219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0,7245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0,7271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0,7303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0,7329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0,7368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0,7395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0,780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0,7442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0,7470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0,7483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0,7511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0,7527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0,7555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0,7573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0,7602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0,7624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0,7652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0,7677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0,7707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0,7735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0,7765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0,850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0,7798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0,7828</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ii. За сваки мерач протокa с Вентуревом цеви критичног протокa или подзвучном Вентуревом цеви, за рачунање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 може се употребити једначина (7-141):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974A3BF" wp14:editId="7ABA8F41">
            <wp:extent cx="5057140" cy="564515"/>
            <wp:effectExtent l="0" t="0" r="0" b="6985"/>
            <wp:docPr id="94" name="Picture 94" descr="A mathematical formula expressing Cf as a fraction involving gamma, r, and B terms raised to the power of one-fourth.&#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 mathematical formula expressing Cf as a fraction involving gamma, r, and B terms raised to the power of one-fourth.&#10;&#10;Description generated by AI"/>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6"/>
        <w:gridCol w:w="189"/>
        <w:gridCol w:w="1012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γ</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изентропски експонент [–]. За идеални гас ово је однос специфичних температура мешавине гаса, </w:t>
            </w:r>
            <w:r w:rsidRPr="00B03342">
              <w:rPr>
                <w:rFonts w:ascii="Arial" w:hAnsi="Arial" w:cs="Arial"/>
                <w:i/>
                <w:iCs/>
                <w:lang w:eastAsia="sr-Latn-RS"/>
              </w:rPr>
              <w:t>c</w:t>
            </w:r>
            <w:r w:rsidRPr="00B03342">
              <w:rPr>
                <w:rFonts w:ascii="Arial" w:hAnsi="Arial" w:cs="Arial"/>
                <w:vertAlign w:val="subscript"/>
                <w:lang w:eastAsia="sr-Latn-RS"/>
              </w:rPr>
              <w:t>p</w:t>
            </w:r>
            <w:r w:rsidRPr="00B03342">
              <w:rPr>
                <w:rFonts w:ascii="Arial" w:hAnsi="Arial" w:cs="Arial"/>
                <w:i/>
                <w:iCs/>
                <w:lang w:eastAsia="sr-Latn-RS"/>
              </w:rPr>
              <w:t> </w:t>
            </w:r>
            <w:r w:rsidRPr="00B03342">
              <w:rPr>
                <w:rFonts w:ascii="Arial" w:hAnsi="Arial" w:cs="Arial"/>
                <w:lang w:eastAsia="sr-Latn-RS"/>
              </w:rPr>
              <w:t>/c</w:t>
            </w:r>
            <w:r w:rsidRPr="00B03342">
              <w:rPr>
                <w:rFonts w:ascii="Arial" w:hAnsi="Arial" w:cs="Arial"/>
                <w:i/>
                <w:iCs/>
                <w:lang w:eastAsia="sr-Latn-RS"/>
              </w:rPr>
              <w:t> </w:t>
            </w:r>
            <w:r w:rsidRPr="00B03342">
              <w:rPr>
                <w:rFonts w:ascii="Arial" w:hAnsi="Arial" w:cs="Arial"/>
                <w:vertAlign w:val="subscript"/>
                <w:lang w:eastAsia="sr-Latn-RS"/>
              </w:rPr>
              <w:t>V</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притисакa, одређен у ставу 3.(ц) овог одељка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β</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однос сужења Вентуријеве цеви и пречникa улазног отворa</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Однос притисакa </w:t>
      </w:r>
      <w:r w:rsidRPr="00B03342">
        <w:rPr>
          <w:rFonts w:ascii="Arial" w:hAnsi="Arial" w:cs="Arial"/>
          <w:i/>
          <w:iCs/>
          <w:color w:val="000000"/>
          <w:lang w:eastAsia="sr-Latn-RS"/>
        </w:rPr>
        <w:t>r</w:t>
      </w:r>
      <w:r w:rsidRPr="00B03342">
        <w:rPr>
          <w:rFonts w:ascii="Arial" w:hAnsi="Arial" w:cs="Arial"/>
          <w:color w:val="000000"/>
          <w:lang w:eastAsia="sr-Latn-RS"/>
        </w:rPr>
        <w:t> рачуна се како следи: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Само за системe с подзвучном Вентуревом цеви, за рачунање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bscript"/>
          <w:lang w:eastAsia="sr-Latn-RS"/>
        </w:rPr>
        <w:t>SSV</w:t>
      </w:r>
      <w:r w:rsidRPr="00B03342">
        <w:rPr>
          <w:rFonts w:ascii="Arial" w:hAnsi="Arial" w:cs="Arial"/>
          <w:color w:val="000000"/>
          <w:lang w:eastAsia="sr-Latn-RS"/>
        </w:rPr>
        <w:t> примењује се једначина (7-142):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216ABA5" wp14:editId="1AC3BCAC">
            <wp:extent cx="5057140" cy="389890"/>
            <wp:effectExtent l="0" t="0" r="0" b="0"/>
            <wp:docPr id="93" name="Picture 93" descr="A mathematical formula showing the calculation of rssv as one minus the ratio of delta Pssv over Pin, labeled as equation 7-14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A mathematical formula showing the calculation of rssv as one minus the ratio of delta Pssv over Pin, labeled as equation 7-142.&#10;&#10;Description generated by A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1"/>
        <w:gridCol w:w="180"/>
        <w:gridCol w:w="969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Δ</w:t>
            </w:r>
            <w:r w:rsidRPr="00B03342">
              <w:rPr>
                <w:rFonts w:ascii="Arial" w:hAnsi="Arial" w:cs="Arial"/>
                <w:i/>
                <w:iCs/>
                <w:lang w:eastAsia="sr-Latn-RS"/>
              </w:rPr>
              <w:t>p</w:t>
            </w:r>
            <w:r w:rsidRPr="00B03342">
              <w:rPr>
                <w:rFonts w:ascii="Arial" w:hAnsi="Arial" w:cs="Arial"/>
                <w:lang w:eastAsia="sr-Latn-RS"/>
              </w:rPr>
              <w:t> </w:t>
            </w:r>
            <w:r w:rsidRPr="00B03342">
              <w:rPr>
                <w:rFonts w:ascii="Arial" w:hAnsi="Arial" w:cs="Arial"/>
                <w:vertAlign w:val="subscript"/>
                <w:lang w:eastAsia="sr-Latn-RS"/>
              </w:rPr>
              <w:t>SSV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диференцијални статички притисак; улазни отвор Вентуријеве цеви минус сужење Вентуријеве цеви [Pa]</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Само за системe с Вентуревом цеви критичног протокa,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bscript"/>
          <w:lang w:eastAsia="sr-Latn-RS"/>
        </w:rPr>
        <w:t>CFV</w:t>
      </w:r>
      <w:r w:rsidRPr="00B03342">
        <w:rPr>
          <w:rFonts w:ascii="Arial" w:hAnsi="Arial" w:cs="Arial"/>
          <w:color w:val="000000"/>
          <w:lang w:eastAsia="sr-Latn-RS"/>
        </w:rPr>
        <w:t> се рачуна итеративно помоћу једначине (7-143):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229E341" wp14:editId="7C002D78">
            <wp:extent cx="5057140" cy="564515"/>
            <wp:effectExtent l="0" t="0" r="0" b="6985"/>
            <wp:docPr id="92" name="Picture 92" descr="An equation relating variables r, gamma, beta, and r_CFV with fractions and exponents, labeled as equation 7-143.&#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n equation relating variables r, gamma, beta, and r_CFV with fractions and exponents, labeled as equation 7-143.&#10;&#10;Description generated by A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Може се поставити свака од следећих претпоставки за поједностављење једначини за управљање или се може применити добра инжењерска процена како би се добиле прикладније вредности за испитивање: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за испитивање емисије у пуним распонима неразређеног издувног гаса, разређеног издувног гаса и ваздуха за разређивање, може се претпоставити да се мешавина гаса понаша као идеални гас: </w:t>
      </w:r>
      <w:r w:rsidRPr="00B03342">
        <w:rPr>
          <w:rFonts w:ascii="Arial" w:hAnsi="Arial" w:cs="Arial"/>
          <w:i/>
          <w:iCs/>
          <w:color w:val="000000"/>
          <w:lang w:eastAsia="sr-Latn-RS"/>
        </w:rPr>
        <w:t>Z</w:t>
      </w:r>
      <w:r w:rsidRPr="00B03342">
        <w:rPr>
          <w:rFonts w:ascii="Arial" w:hAnsi="Arial" w:cs="Arial"/>
          <w:color w:val="000000"/>
          <w:lang w:eastAsia="sr-Latn-RS"/>
        </w:rPr>
        <w:t> = 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2. за пуни распон неразређеног издувног гаса може се претпоставити константни однос специфичних температура </w:t>
      </w:r>
      <w:r w:rsidRPr="00B03342">
        <w:rPr>
          <w:rFonts w:ascii="Arial" w:hAnsi="Arial" w:cs="Arial"/>
          <w:i/>
          <w:iCs/>
          <w:color w:val="000000"/>
          <w:lang w:eastAsia="sr-Latn-RS"/>
        </w:rPr>
        <w:t>γ</w:t>
      </w:r>
      <w:r w:rsidRPr="00B03342">
        <w:rPr>
          <w:rFonts w:ascii="Arial" w:hAnsi="Arial" w:cs="Arial"/>
          <w:color w:val="000000"/>
          <w:lang w:eastAsia="sr-Latn-RS"/>
        </w:rPr>
        <w:t> = 1,385;</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 за пуни распон разређеног издувног гаса и ваздуха (нпр. ваздух за умеравање или ваздух за разређивање) може се претпоставити константни однос специфичних температура </w:t>
      </w:r>
      <w:r w:rsidRPr="00B03342">
        <w:rPr>
          <w:rFonts w:ascii="Arial" w:hAnsi="Arial" w:cs="Arial"/>
          <w:i/>
          <w:iCs/>
          <w:color w:val="000000"/>
          <w:lang w:eastAsia="sr-Latn-RS"/>
        </w:rPr>
        <w:t>γ</w:t>
      </w:r>
      <w:r w:rsidRPr="00B03342">
        <w:rPr>
          <w:rFonts w:ascii="Arial" w:hAnsi="Arial" w:cs="Arial"/>
          <w:color w:val="000000"/>
          <w:lang w:eastAsia="sr-Latn-RS"/>
        </w:rPr>
        <w:t> = 1,399;</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 за пуни распон разређеног издувног гаса и ваздуха, моларна маса мешавине, </w:t>
      </w:r>
      <w:r w:rsidRPr="00B03342">
        <w:rPr>
          <w:rFonts w:ascii="Arial" w:hAnsi="Arial" w:cs="Arial"/>
          <w:i/>
          <w:iCs/>
          <w:color w:val="000000"/>
          <w:lang w:eastAsia="sr-Latn-RS"/>
        </w:rPr>
        <w:t>М</w:t>
      </w:r>
      <w:r w:rsidRPr="00B03342">
        <w:rPr>
          <w:rFonts w:ascii="Arial" w:hAnsi="Arial" w:cs="Arial"/>
          <w:color w:val="000000"/>
          <w:lang w:eastAsia="sr-Latn-RS"/>
        </w:rPr>
        <w:t> </w:t>
      </w:r>
      <w:r w:rsidRPr="00B03342">
        <w:rPr>
          <w:rFonts w:ascii="Arial" w:hAnsi="Arial" w:cs="Arial"/>
          <w:color w:val="000000"/>
          <w:vertAlign w:val="subscript"/>
          <w:lang w:eastAsia="sr-Latn-RS"/>
        </w:rPr>
        <w:t>миx</w:t>
      </w:r>
      <w:r w:rsidRPr="00B03342">
        <w:rPr>
          <w:rFonts w:ascii="Arial" w:hAnsi="Arial" w:cs="Arial"/>
          <w:color w:val="000000"/>
          <w:lang w:eastAsia="sr-Latn-RS"/>
        </w:rPr>
        <w:t> [g/mol], може се сматрати функцијом само количине воде у ваздуху за разређивање или ваздуху за умеравање,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H2О</w:t>
      </w:r>
      <w:r w:rsidRPr="00B03342">
        <w:rPr>
          <w:rFonts w:ascii="Arial" w:hAnsi="Arial" w:cs="Arial"/>
          <w:color w:val="000000"/>
          <w:lang w:eastAsia="sr-Latn-RS"/>
        </w:rPr>
        <w:t>, одређеној како је описано у тачки 3.3.2., и рачуна се помоћу једначине (7-144):</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37"/>
        <w:gridCol w:w="186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mix</w:t>
            </w:r>
            <w:r w:rsidRPr="00B03342">
              <w:rPr>
                <w:rFonts w:ascii="Arial" w:hAnsi="Arial" w:cs="Arial"/>
                <w:lang w:eastAsia="sr-Latn-RS"/>
              </w:rPr>
              <w:t>=</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air</w:t>
            </w:r>
            <w:r w:rsidRPr="00B03342">
              <w:rPr>
                <w:rFonts w:ascii="Arial" w:hAnsi="Arial" w:cs="Arial"/>
                <w:lang w:eastAsia="sr-Latn-RS"/>
              </w:rPr>
              <w:t>· (1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r w:rsidRPr="00B03342">
              <w:rPr>
                <w:rFonts w:ascii="Arial" w:hAnsi="Arial" w:cs="Arial"/>
                <w:lang w:eastAsia="sr-Latn-RS"/>
              </w:rPr>
              <w:t>)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H2O</w:t>
            </w:r>
            <w:r w:rsidRPr="00B03342">
              <w:rPr>
                <w:rFonts w:ascii="Arial" w:hAnsi="Arial" w:cs="Arial"/>
                <w:lang w:eastAsia="sr-Latn-RS"/>
              </w:rPr>
              <w:t>· (</w:t>
            </w: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H2O</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(7-144)</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7"/>
        <w:gridCol w:w="265"/>
        <w:gridCol w:w="942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air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28,96559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H2O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18,01528 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Х2O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количина воде у ваздуху за разређивање или за умеравање [mol/mol]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 За целокупни распон разређеног издувног гаса и ваздуха претпоставља се константна моларна маса мешавине, </w:t>
      </w:r>
      <w:r w:rsidRPr="00B03342">
        <w:rPr>
          <w:rFonts w:ascii="Arial" w:hAnsi="Arial" w:cs="Arial"/>
          <w:i/>
          <w:iCs/>
          <w:color w:val="000000"/>
          <w:lang w:eastAsia="sr-Latn-RS"/>
        </w:rPr>
        <w:t>М</w:t>
      </w:r>
      <w:r w:rsidRPr="00B03342">
        <w:rPr>
          <w:rFonts w:ascii="Arial" w:hAnsi="Arial" w:cs="Arial"/>
          <w:color w:val="000000"/>
          <w:lang w:eastAsia="sr-Latn-RS"/>
        </w:rPr>
        <w:t> </w:t>
      </w:r>
      <w:r w:rsidRPr="00B03342">
        <w:rPr>
          <w:rFonts w:ascii="Arial" w:hAnsi="Arial" w:cs="Arial"/>
          <w:color w:val="000000"/>
          <w:vertAlign w:val="subscript"/>
          <w:lang w:eastAsia="sr-Latn-RS"/>
        </w:rPr>
        <w:t>mix</w:t>
      </w:r>
      <w:r w:rsidRPr="00B03342">
        <w:rPr>
          <w:rFonts w:ascii="Arial" w:hAnsi="Arial" w:cs="Arial"/>
          <w:color w:val="000000"/>
          <w:lang w:eastAsia="sr-Latn-RS"/>
        </w:rPr>
        <w:t>, за сва умеравања или испитивања под условом да се претпостављена моларна маса не разликује више од ±1 % од процењене минималне и максималне моларне масе током умеравања или испитивања. Наведена претпоставка допуштена је ако је омогућена задовољавајућа ниво контроле над количином воде у ваздуху за умеравање и ваздуху за разређивање, или ако се из њих уклони одговарајућа количина воде. У табели 7.6. налазе се примери дозвољених распона тачке рошења ваздуха за разређивање у односу на тачке рошења ваздуха за умеравање.</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7.6.</w:t>
      </w:r>
      <w:r w:rsidRPr="00B03342">
        <w:rPr>
          <w:rFonts w:ascii="Arial" w:hAnsi="Arial" w:cs="Arial"/>
          <w:i/>
          <w:iCs/>
          <w:color w:val="000000"/>
          <w:lang w:eastAsia="sr-Latn-RS"/>
        </w:rPr>
        <w:t> </w:t>
      </w:r>
      <w:r w:rsidRPr="00B03342">
        <w:rPr>
          <w:rFonts w:ascii="Arial" w:hAnsi="Arial" w:cs="Arial"/>
          <w:color w:val="000000"/>
          <w:lang w:eastAsia="sr-Latn-RS"/>
        </w:rPr>
        <w:t>Примери тачака рошења ваздуха за разређивање и ваздуха за умеравање при којима се може претпоставити константа </w:t>
      </w: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mix</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3"/>
        <w:gridCol w:w="4035"/>
        <w:gridCol w:w="4652"/>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Ако умерена вредност</w:t>
            </w:r>
            <w:r w:rsidRPr="00B03342">
              <w:rPr>
                <w:rFonts w:ascii="Arial" w:hAnsi="Arial" w:cs="Arial"/>
                <w:lang w:eastAsia="sr-Latn-RS"/>
              </w:rPr>
              <w:br/>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dew</w:t>
            </w:r>
            <w:r w:rsidRPr="00B03342">
              <w:rPr>
                <w:rFonts w:ascii="Arial" w:hAnsi="Arial" w:cs="Arial"/>
                <w:lang w:eastAsia="sr-Latn-RS"/>
              </w:rPr>
              <w:t> (°C) износи…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претпостављају се следеће константе </w:t>
            </w: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mix</w:t>
            </w:r>
            <w:r w:rsidRPr="00B03342">
              <w:rPr>
                <w:rFonts w:ascii="Arial" w:hAnsi="Arial" w:cs="Arial"/>
                <w:lang w:eastAsia="sr-Latn-RS"/>
              </w:rPr>
              <w:t> (g/mol)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за следеће распоне </w:t>
            </w: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dew</w:t>
            </w:r>
            <w:r w:rsidRPr="00B03342">
              <w:rPr>
                <w:rFonts w:ascii="Arial" w:hAnsi="Arial" w:cs="Arial"/>
                <w:lang w:eastAsia="sr-Latn-RS"/>
              </w:rPr>
              <w:t> (°C) током испитивања емисија (</w:t>
            </w:r>
            <w:r w:rsidRPr="00B03342">
              <w:rPr>
                <w:rFonts w:ascii="Arial" w:hAnsi="Arial" w:cs="Arial"/>
                <w:vertAlign w:val="superscript"/>
                <w:lang w:eastAsia="sr-Latn-RS"/>
              </w:rPr>
              <w:t>6</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28,96559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сувог до 18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28,89263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сувог до 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28,86148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сувог до 22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28,81911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сувог до 24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28,76224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сувог до 26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28,68685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 8 до 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28,58806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12 до 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28,46005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23 до 34</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3.9.4. Умеравање подзвучне Вентуријеве цеви (SSV-a)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Моларни приступ. Умеравање мерача протокa сa SSV-ом састоји се од следећих корака: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 За сваки референтни моларни проток, Рејнулдсов број </w:t>
      </w:r>
      <w:r w:rsidRPr="00B03342">
        <w:rPr>
          <w:rFonts w:ascii="Arial" w:hAnsi="Arial" w:cs="Arial"/>
          <w:i/>
          <w:iCs/>
          <w:color w:val="000000"/>
          <w:lang w:eastAsia="sr-Latn-RS"/>
        </w:rPr>
        <w:t>Re</w:t>
      </w:r>
      <w:r w:rsidRPr="00B03342">
        <w:rPr>
          <w:rFonts w:ascii="Arial" w:hAnsi="Arial" w:cs="Arial"/>
          <w:color w:val="000000"/>
          <w:lang w:eastAsia="sr-Latn-RS"/>
        </w:rPr>
        <w:t> </w:t>
      </w:r>
      <w:r w:rsidRPr="00B03342">
        <w:rPr>
          <w:rFonts w:ascii="Arial" w:hAnsi="Arial" w:cs="Arial"/>
          <w:color w:val="000000"/>
          <w:vertAlign w:val="superscript"/>
          <w:lang w:eastAsia="sr-Latn-RS"/>
        </w:rPr>
        <w:t>#</w:t>
      </w:r>
      <w:r w:rsidRPr="00B03342">
        <w:rPr>
          <w:rFonts w:ascii="Arial" w:hAnsi="Arial" w:cs="Arial"/>
          <w:color w:val="000000"/>
          <w:lang w:eastAsia="sr-Latn-RS"/>
        </w:rPr>
        <w:t> рачуна се помоћу пречникa сужења Вентуријеве цеви, </w:t>
      </w:r>
      <w:r w:rsidRPr="00B03342">
        <w:rPr>
          <w:rFonts w:ascii="Arial" w:hAnsi="Arial" w:cs="Arial"/>
          <w:i/>
          <w:iCs/>
          <w:color w:val="000000"/>
          <w:lang w:eastAsia="sr-Latn-RS"/>
        </w:rPr>
        <w:t>d</w:t>
      </w:r>
      <w:r w:rsidRPr="00B03342">
        <w:rPr>
          <w:rFonts w:ascii="Arial" w:hAnsi="Arial" w:cs="Arial"/>
          <w:color w:val="000000"/>
          <w:lang w:eastAsia="sr-Latn-RS"/>
        </w:rPr>
        <w:t> </w:t>
      </w:r>
      <w:r w:rsidRPr="00B03342">
        <w:rPr>
          <w:rFonts w:ascii="Arial" w:hAnsi="Arial" w:cs="Arial"/>
          <w:color w:val="000000"/>
          <w:vertAlign w:val="subscript"/>
          <w:lang w:eastAsia="sr-Latn-RS"/>
        </w:rPr>
        <w:t>t</w:t>
      </w:r>
      <w:r w:rsidRPr="00B03342">
        <w:rPr>
          <w:rFonts w:ascii="Arial" w:hAnsi="Arial" w:cs="Arial"/>
          <w:color w:val="000000"/>
          <w:lang w:eastAsia="sr-Latn-RS"/>
        </w:rPr>
        <w:t> [једначина (7-145)]. С обзиром на то да је за обрачун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i/>
          <w:iCs/>
          <w:color w:val="000000"/>
          <w:lang w:eastAsia="sr-Latn-RS"/>
        </w:rPr>
        <w:t> </w:t>
      </w:r>
      <w:r w:rsidRPr="00B03342">
        <w:rPr>
          <w:rFonts w:ascii="Arial" w:hAnsi="Arial" w:cs="Arial"/>
          <w:color w:val="000000"/>
          <w:lang w:eastAsia="sr-Latn-RS"/>
        </w:rPr>
        <w:t>потребна вредност динамичне вискозности </w:t>
      </w:r>
      <w:r w:rsidRPr="00B03342">
        <w:rPr>
          <w:rFonts w:ascii="Arial" w:hAnsi="Arial" w:cs="Arial"/>
          <w:i/>
          <w:iCs/>
          <w:color w:val="000000"/>
          <w:lang w:eastAsia="sr-Latn-RS"/>
        </w:rPr>
        <w:t>μ</w:t>
      </w:r>
      <w:r w:rsidRPr="00B03342">
        <w:rPr>
          <w:rFonts w:ascii="Arial" w:hAnsi="Arial" w:cs="Arial"/>
          <w:color w:val="000000"/>
          <w:lang w:eastAsia="sr-Latn-RS"/>
        </w:rPr>
        <w:t>, може се употребити специфични модел вискозности за oдређивање </w:t>
      </w:r>
      <w:r w:rsidRPr="00B03342">
        <w:rPr>
          <w:rFonts w:ascii="Arial" w:hAnsi="Arial" w:cs="Arial"/>
          <w:i/>
          <w:iCs/>
          <w:color w:val="000000"/>
          <w:lang w:eastAsia="sr-Latn-RS"/>
        </w:rPr>
        <w:t>μ</w:t>
      </w:r>
      <w:r w:rsidRPr="00B03342">
        <w:rPr>
          <w:rFonts w:ascii="Arial" w:hAnsi="Arial" w:cs="Arial"/>
          <w:color w:val="000000"/>
          <w:lang w:eastAsia="sr-Latn-RS"/>
        </w:rPr>
        <w:t> умерног гасa (обично je то ваздух) водећи се добром инжењерском проценом [једначина (7-146)]. Друга могућност је употреба Сутхерландова модела обрачуна вискозности помоћу три коефицијента како би се приближно обрачунала вредност </w:t>
      </w:r>
      <w:r w:rsidRPr="00B03342">
        <w:rPr>
          <w:rFonts w:ascii="Arial" w:hAnsi="Arial" w:cs="Arial"/>
          <w:i/>
          <w:iCs/>
          <w:color w:val="000000"/>
          <w:lang w:eastAsia="sr-Latn-RS"/>
        </w:rPr>
        <w:t>μ</w:t>
      </w:r>
      <w:r w:rsidRPr="00B03342">
        <w:rPr>
          <w:rFonts w:ascii="Arial" w:hAnsi="Arial" w:cs="Arial"/>
          <w:color w:val="000000"/>
          <w:lang w:eastAsia="sr-Latn-RS"/>
        </w:rPr>
        <w:t> (видети табелу 7.7.):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DDD5446" wp14:editId="1EF6C8B0">
            <wp:extent cx="5057140" cy="389890"/>
            <wp:effectExtent l="0" t="0" r="0" b="0"/>
            <wp:docPr id="91" name="Picture 91" descr="A mathematical formula showing the Reynolds number as a fraction with variables including Mmix, ref, dL, and u, labeled as equation 7-145.&#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A mathematical formula showing the Reynolds number as a fraction with variables including Mmix, ref, dL, and u, labeled as equation 7-145.&#10;&#10;Description generated by AI"/>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8"/>
        <w:gridCol w:w="475"/>
        <w:gridCol w:w="874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d</w:t>
            </w:r>
            <w:r w:rsidRPr="00B03342">
              <w:rPr>
                <w:rFonts w:ascii="Arial" w:hAnsi="Arial" w:cs="Arial"/>
                <w:lang w:eastAsia="sr-Latn-RS"/>
              </w:rPr>
              <w:t> </w:t>
            </w:r>
            <w:r w:rsidRPr="00B03342">
              <w:rPr>
                <w:rFonts w:ascii="Arial" w:hAnsi="Arial" w:cs="Arial"/>
                <w:vertAlign w:val="subscript"/>
                <w:lang w:eastAsia="sr-Latn-RS"/>
              </w:rPr>
              <w:t>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пречник сужења SSV-a [m]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M</w:t>
            </w:r>
            <w:r w:rsidRPr="00B03342">
              <w:rPr>
                <w:rFonts w:ascii="Arial" w:hAnsi="Arial" w:cs="Arial"/>
                <w:lang w:eastAsia="sr-Latn-RS"/>
              </w:rPr>
              <w:t> </w:t>
            </w:r>
            <w:r w:rsidRPr="00B03342">
              <w:rPr>
                <w:rFonts w:ascii="Arial" w:hAnsi="Arial" w:cs="Arial"/>
                <w:vertAlign w:val="subscript"/>
                <w:lang w:eastAsia="sr-Latn-RS"/>
              </w:rPr>
              <w:t>mix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смесе [kg/mol]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lang w:eastAsia="sr-Latn-RS"/>
              </w:rPr>
              <w:t> </w:t>
            </w:r>
            <w:r w:rsidRPr="00B03342">
              <w:rPr>
                <w:rFonts w:ascii="Arial" w:hAnsi="Arial" w:cs="Arial"/>
                <w:vertAlign w:val="subscript"/>
                <w:lang w:eastAsia="sr-Latn-RS"/>
              </w:rPr>
              <w:t>ref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референтни моларни проток [mol/s]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 je, употребом Сутхерландова модела обрачуна вискозности помоћу три коефицијента: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C7DD7CF" wp14:editId="02CD122B">
            <wp:extent cx="5057140" cy="445135"/>
            <wp:effectExtent l="0" t="0" r="0" b="0"/>
            <wp:docPr id="90" name="Picture 90" descr="The image shows a mathematical formula expressing mu as mu naught times the ratio of T in over T n raised to the power of three-eighths multiplied by the ratio of T naught plus S over T in plus S, with a reference number 7-146 in a box.&#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The image shows a mathematical formula expressing mu as mu naught times the ratio of T in over T n raised to the power of three-eighths multiplied by the ratio of T naught plus S over T in plus S, with a reference number 7-146 in a box.&#10;&#10;Description generated by AI"/>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3"/>
        <w:gridCol w:w="340"/>
        <w:gridCol w:w="951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динамичка вискозност умереног гасa [kg/(mߦs)]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Сутхерландова референтна вискозност [kg/(m·s)]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Сутхерландова константа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Сутхерландова референтна температура [K]</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lang w:eastAsia="sr-Latn-RS"/>
              </w:rPr>
              <w:t> </w:t>
            </w:r>
            <w:r w:rsidRPr="00B03342">
              <w:rPr>
                <w:rFonts w:ascii="Arial" w:hAnsi="Arial" w:cs="Arial"/>
                <w:vertAlign w:val="subscript"/>
                <w:lang w:eastAsia="sr-Latn-RS"/>
              </w:rPr>
              <w:t>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апсолутна температура на улазу у Вентуријеву цев [K]</w:t>
            </w:r>
          </w:p>
        </w:tc>
      </w:tr>
    </w:tbl>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7.7.</w:t>
      </w:r>
      <w:r w:rsidRPr="00B03342">
        <w:rPr>
          <w:rFonts w:ascii="Arial" w:hAnsi="Arial" w:cs="Arial"/>
          <w:i/>
          <w:iCs/>
          <w:color w:val="000000"/>
          <w:lang w:eastAsia="sr-Latn-RS"/>
        </w:rPr>
        <w:t> </w:t>
      </w:r>
      <w:r w:rsidRPr="00B03342">
        <w:rPr>
          <w:rFonts w:ascii="Arial" w:hAnsi="Arial" w:cs="Arial"/>
          <w:color w:val="000000"/>
          <w:lang w:eastAsia="sr-Latn-RS"/>
        </w:rPr>
        <w:t>Параметри Сутхерландова модела обрачуна вискозности помоћу три коефицијента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2"/>
        <w:gridCol w:w="1201"/>
        <w:gridCol w:w="400"/>
        <w:gridCol w:w="566"/>
        <w:gridCol w:w="4788"/>
        <w:gridCol w:w="2853"/>
      </w:tblGrid>
      <w:tr w:rsidR="00DA0CD9" w:rsidRPr="00B03342" w:rsidTr="00E26D3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Гас (</w:t>
            </w:r>
            <w:r w:rsidRPr="00B03342">
              <w:rPr>
                <w:rFonts w:ascii="Arial" w:hAnsi="Arial" w:cs="Arial"/>
                <w:vertAlign w:val="superscript"/>
                <w:lang w:eastAsia="sr-Latn-RS"/>
              </w:rPr>
              <w:t>7</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μ</w:t>
            </w:r>
            <w:r w:rsidRPr="00B03342">
              <w:rPr>
                <w:rFonts w:ascii="Arial" w:hAnsi="Arial" w:cs="Arial"/>
                <w:lang w:eastAsia="sr-Latn-RS"/>
              </w:rPr>
              <w:t> </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T</w:t>
            </w:r>
            <w:r w:rsidRPr="00B03342">
              <w:rPr>
                <w:rFonts w:ascii="Arial" w:hAnsi="Arial" w:cs="Arial"/>
                <w:vertAlign w:val="subscript"/>
                <w:lang w:eastAsia="sr-Latn-RS"/>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Распон температуре уз допуштену грешку од ±2 %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Гранична вредност притисакa</w:t>
            </w:r>
          </w:p>
        </w:tc>
      </w:tr>
      <w:tr w:rsidR="00DA0CD9" w:rsidRPr="00B03342" w:rsidTr="00E26D3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kg /(m·s)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kPa</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ваздух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1,716 × 10</w:t>
            </w:r>
            <w:r w:rsidRPr="00B03342">
              <w:rPr>
                <w:rFonts w:ascii="Arial" w:hAnsi="Arial" w:cs="Arial"/>
                <w:vertAlign w:val="superscript"/>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170 до 1.900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1.800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1,370 × 10</w:t>
            </w:r>
            <w:r w:rsidRPr="00B03342">
              <w:rPr>
                <w:rFonts w:ascii="Arial" w:hAnsi="Arial" w:cs="Arial"/>
                <w:vertAlign w:val="superscript"/>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190 до 1.700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3.600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H</w:t>
            </w:r>
            <w:r w:rsidRPr="00B03342">
              <w:rPr>
                <w:rFonts w:ascii="Arial" w:hAnsi="Arial" w:cs="Arial"/>
                <w:vertAlign w:val="subscript"/>
                <w:lang w:eastAsia="sr-Latn-RS"/>
              </w:rPr>
              <w:t>2</w:t>
            </w:r>
            <w:r w:rsidRPr="00B03342">
              <w:rPr>
                <w:rFonts w:ascii="Arial" w:hAnsi="Arial" w:cs="Arial"/>
                <w:lang w:eastAsia="sr-Latn-RS"/>
              </w:rPr>
              <w:t>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1,12 × 10</w:t>
            </w:r>
            <w:r w:rsidRPr="00B03342">
              <w:rPr>
                <w:rFonts w:ascii="Arial" w:hAnsi="Arial" w:cs="Arial"/>
                <w:vertAlign w:val="superscript"/>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1,064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360 до 1.500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10.000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O</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1,919 × 10</w:t>
            </w:r>
            <w:r w:rsidRPr="00B03342">
              <w:rPr>
                <w:rFonts w:ascii="Arial" w:hAnsi="Arial" w:cs="Arial"/>
                <w:vertAlign w:val="superscript"/>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190 до 2.000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2.500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1,663 × 10</w:t>
            </w:r>
            <w:r w:rsidRPr="00B03342">
              <w:rPr>
                <w:rFonts w:ascii="Arial" w:hAnsi="Arial" w:cs="Arial"/>
                <w:vertAlign w:val="superscript"/>
                <w:lang w:eastAsia="sr-Latn-RS"/>
              </w:rPr>
              <w:t>– 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 100 до 1.500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1.600</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 Одређује се једначина за обрачун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у односу на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i/>
          <w:iCs/>
          <w:color w:val="000000"/>
          <w:lang w:eastAsia="sr-Latn-RS"/>
        </w:rPr>
        <w:t> </w:t>
      </w:r>
      <w:r w:rsidRPr="00B03342">
        <w:rPr>
          <w:rFonts w:ascii="Arial" w:hAnsi="Arial" w:cs="Arial"/>
          <w:color w:val="000000"/>
          <w:lang w:eastAsia="sr-Latn-RS"/>
        </w:rPr>
        <w:t>уз примену упарених вредности за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color w:val="000000"/>
          <w:lang w:eastAsia="sr-Latn-RS"/>
        </w:rPr>
        <w:t>,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се рачуна према једначини (7-140), уврштавајући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f</w:t>
      </w:r>
      <w:r w:rsidRPr="00B03342">
        <w:rPr>
          <w:rFonts w:ascii="Arial" w:hAnsi="Arial" w:cs="Arial"/>
          <w:color w:val="000000"/>
          <w:lang w:eastAsia="sr-Latn-RS"/>
        </w:rPr>
        <w:t> добијен једначином (7-141), или употребом било којег математичког израза, укључујући полиноме или ред потенција. Једначина (7-147) пример је често употребљаваног математичког израза за рачунање односa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и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03EB9BD" wp14:editId="51685164">
            <wp:extent cx="5057140" cy="334010"/>
            <wp:effectExtent l="0" t="0" r="0" b="8890"/>
            <wp:docPr id="89" name="Picture 89" descr="The image shows a mathematical formula for drag coefficient Cd expressed as a function of variables a0, a1, Reynolds number Re, and a constant expon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The image shows a mathematical formula for drag coefficient Cd expressed as a function of variables a0, a1, Reynolds number Re, and a constant exponent.&#10;&#10;Description generated by AI"/>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 За oдређивање најпримеренијих коефицијената једначине и обрачун регресијске статистике једначине те стандардне грешке процене (</w:t>
      </w:r>
      <w:r w:rsidRPr="00B03342">
        <w:rPr>
          <w:rFonts w:ascii="Arial" w:hAnsi="Arial" w:cs="Arial"/>
          <w:i/>
          <w:iCs/>
          <w:color w:val="000000"/>
          <w:lang w:eastAsia="sr-Latn-RS"/>
        </w:rPr>
        <w:t>СЕE</w:t>
      </w:r>
      <w:r w:rsidRPr="00B03342">
        <w:rPr>
          <w:rFonts w:ascii="Arial" w:hAnsi="Arial" w:cs="Arial"/>
          <w:color w:val="000000"/>
          <w:lang w:eastAsia="sr-Latn-RS"/>
        </w:rPr>
        <w:t>) и коефицијента детерминације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perscript"/>
          <w:lang w:eastAsia="sr-Latn-RS"/>
        </w:rPr>
        <w:t>2</w:t>
      </w:r>
      <w:r w:rsidRPr="00B03342">
        <w:rPr>
          <w:rFonts w:ascii="Arial" w:hAnsi="Arial" w:cs="Arial"/>
          <w:color w:val="000000"/>
          <w:lang w:eastAsia="sr-Latn-RS"/>
        </w:rPr>
        <w:t>, спроводи се регресијска анализа најмањих квадрата, у складу с Додатком 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 Ако једначина испуњава услове </w:t>
      </w:r>
      <w:r w:rsidRPr="00B03342">
        <w:rPr>
          <w:rFonts w:ascii="Arial" w:hAnsi="Arial" w:cs="Arial"/>
          <w:i/>
          <w:iCs/>
          <w:color w:val="000000"/>
          <w:lang w:eastAsia="sr-Latn-RS"/>
        </w:rPr>
        <w:t>СЕE</w:t>
      </w:r>
      <w:r w:rsidRPr="00B03342">
        <w:rPr>
          <w:rFonts w:ascii="Arial" w:hAnsi="Arial" w:cs="Arial"/>
          <w:color w:val="000000"/>
          <w:lang w:eastAsia="sr-Latn-RS"/>
        </w:rPr>
        <w:t> &lt; 0,5 %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ref max</w:t>
      </w:r>
      <w:r w:rsidRPr="00B03342">
        <w:rPr>
          <w:rFonts w:ascii="Arial" w:hAnsi="Arial" w:cs="Arial"/>
          <w:color w:val="000000"/>
          <w:lang w:eastAsia="sr-Latn-RS"/>
        </w:rPr>
        <w:t> (или </w:t>
      </w:r>
      <w:r w:rsidRPr="00B03342">
        <w:rPr>
          <w:rFonts w:ascii="Arial" w:hAnsi="Arial" w:cs="Arial"/>
          <w:i/>
          <w:iCs/>
          <w:color w:val="000000"/>
          <w:lang w:eastAsia="sr-Latn-RS"/>
        </w:rPr>
        <w:t>1E41</w:t>
      </w:r>
      <w:r w:rsidRPr="00B03342">
        <w:rPr>
          <w:rFonts w:ascii="Arial" w:hAnsi="Arial" w:cs="Arial"/>
          <w:color w:val="000000"/>
          <w:lang w:eastAsia="sr-Latn-RS"/>
        </w:rPr>
        <w:t> </w:t>
      </w:r>
      <w:r w:rsidRPr="00B03342">
        <w:rPr>
          <w:rFonts w:ascii="Arial" w:hAnsi="Arial" w:cs="Arial"/>
          <w:color w:val="000000"/>
          <w:vertAlign w:val="subscript"/>
          <w:lang w:eastAsia="sr-Latn-RS"/>
        </w:rPr>
        <w:t>refmax</w:t>
      </w:r>
      <w:r w:rsidRPr="00B03342">
        <w:rPr>
          <w:rFonts w:ascii="Arial" w:hAnsi="Arial" w:cs="Arial"/>
          <w:color w:val="000000"/>
          <w:lang w:eastAsia="sr-Latn-RS"/>
        </w:rPr>
        <w:t>) и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perscript"/>
          <w:lang w:eastAsia="sr-Latn-RS"/>
        </w:rPr>
        <w:t>2</w:t>
      </w:r>
      <w:r w:rsidRPr="00B03342">
        <w:rPr>
          <w:rFonts w:ascii="Arial" w:hAnsi="Arial" w:cs="Arial"/>
          <w:color w:val="000000"/>
          <w:lang w:eastAsia="sr-Latn-RS"/>
        </w:rPr>
        <w:t> ≥ 0,995, може се употребити за oдређивање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приликом испитивања емисија, као што je описанo у тачки 3.6.3. (б)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 Ако нису задовољени услови за </w:t>
      </w:r>
      <w:r w:rsidRPr="00B03342">
        <w:rPr>
          <w:rFonts w:ascii="Arial" w:hAnsi="Arial" w:cs="Arial"/>
          <w:i/>
          <w:iCs/>
          <w:color w:val="000000"/>
          <w:lang w:eastAsia="sr-Latn-RS"/>
        </w:rPr>
        <w:t>СЕE</w:t>
      </w:r>
      <w:r w:rsidRPr="00B03342">
        <w:rPr>
          <w:rFonts w:ascii="Arial" w:hAnsi="Arial" w:cs="Arial"/>
          <w:color w:val="000000"/>
          <w:lang w:eastAsia="sr-Latn-RS"/>
        </w:rPr>
        <w:t> и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perscript"/>
          <w:lang w:eastAsia="sr-Latn-RS"/>
        </w:rPr>
        <w:t>2</w:t>
      </w:r>
      <w:r w:rsidRPr="00B03342">
        <w:rPr>
          <w:rFonts w:ascii="Arial" w:hAnsi="Arial" w:cs="Arial"/>
          <w:color w:val="000000"/>
          <w:lang w:eastAsia="sr-Latn-RS"/>
        </w:rPr>
        <w:t>, добра инжењерска процена може заменити умерне податке како би се задовољила регресијска статистика. Како би се задовољили услови, потребно је располагати с најмање седам умерених података.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 Ако изостављање података не реши проблем нетипичних вредности, морају се подузети корективне мере. На пример, изабире се неки други математички израз за једначину за обрачун односа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и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color w:val="000000"/>
          <w:lang w:eastAsia="sr-Latn-RS"/>
        </w:rPr>
        <w:t>, проверавају се могућа цурења или се понавља поступак умеравања. Ако се поступак понавља, приликом мерења допуштена одступања морају бити мања, а распон времена може бити већи како би се омогућила стабилизација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6. Једном када једначина испуњава регресијске критеријуме, може се примењивати искључиво за одређивање протока који се налазе унутар распона референтних вредности протока које испуњавају регресијске критеријуме једначине за обрачун односа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и </w:t>
      </w:r>
      <w:r w:rsidRPr="00B03342">
        <w:rPr>
          <w:rFonts w:ascii="Arial" w:hAnsi="Arial" w:cs="Arial"/>
          <w:i/>
          <w:iCs/>
          <w:color w:val="000000"/>
          <w:lang w:eastAsia="sr-Latn-RS"/>
        </w:rPr>
        <w:t>Re</w:t>
      </w:r>
      <w:r w:rsidRPr="00B03342">
        <w:rPr>
          <w:rFonts w:ascii="Arial" w:hAnsi="Arial" w:cs="Arial"/>
          <w:color w:val="000000"/>
          <w:vertAlign w:val="superscript"/>
          <w:lang w:eastAsia="sr-Latn-RS"/>
        </w:rPr>
        <w:t>#</w:t>
      </w:r>
      <w:r w:rsidRPr="00B03342">
        <w:rPr>
          <w:rFonts w:ascii="Arial" w:hAnsi="Arial" w:cs="Arial"/>
          <w:i/>
          <w:iCs/>
          <w:color w:val="000000"/>
          <w:lang w:eastAsia="sr-Latn-RS"/>
        </w:rPr>
        <w:t> </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3.9.5. Умеравање Вентуријеве цеви критичног протока (CFV)</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Неки се мерачи протока с CFV-ом састоје од само једне Вентуријеве цеви, а неки од више њих те се у њима за мерење различитих протока употребљавају различите комбинације Вентуријевих цеви. Код мерача протока с CFV-ом који се састоје од више Вентуријевих цеви може се извршити појединачно умеравање сваке Вентуријеве цеви ради одређивања посебног коефицијента протока, C</w:t>
      </w:r>
      <w:r w:rsidRPr="00B03342">
        <w:rPr>
          <w:rFonts w:ascii="Arial" w:hAnsi="Arial" w:cs="Arial"/>
          <w:color w:val="000000"/>
          <w:vertAlign w:val="subscript"/>
          <w:lang w:eastAsia="sr-Latn-RS"/>
        </w:rPr>
        <w:t>d</w:t>
      </w:r>
      <w:r w:rsidRPr="00B03342">
        <w:rPr>
          <w:rFonts w:ascii="Arial" w:hAnsi="Arial" w:cs="Arial"/>
          <w:color w:val="000000"/>
          <w:lang w:eastAsia="sr-Latn-RS"/>
        </w:rPr>
        <w:t>, за сваку од њих или умеравање сваке комбинације Вентуријевих цеви као јединствене Вентуријеве цеви. У случају умеравања комбинације Вентуријевих цеви, за вредност узима се збир површина сужења активних Вентуријевих цеви; за </w:t>
      </w:r>
      <w:r w:rsidRPr="00B03342">
        <w:rPr>
          <w:rFonts w:ascii="Arial" w:hAnsi="Arial" w:cs="Arial"/>
          <w:i/>
          <w:iCs/>
          <w:color w:val="000000"/>
          <w:lang w:eastAsia="sr-Latn-RS"/>
        </w:rPr>
        <w:t>d</w:t>
      </w:r>
      <w:r w:rsidRPr="00B03342">
        <w:rPr>
          <w:rFonts w:ascii="Arial" w:hAnsi="Arial" w:cs="Arial"/>
          <w:color w:val="000000"/>
          <w:lang w:eastAsia="sr-Latn-RS"/>
        </w:rPr>
        <w:t> </w:t>
      </w:r>
      <w:r w:rsidRPr="00B03342">
        <w:rPr>
          <w:rFonts w:ascii="Arial" w:hAnsi="Arial" w:cs="Arial"/>
          <w:color w:val="000000"/>
          <w:vertAlign w:val="subscript"/>
          <w:lang w:eastAsia="sr-Latn-RS"/>
        </w:rPr>
        <w:t>t</w:t>
      </w:r>
      <w:r w:rsidRPr="00B03342">
        <w:rPr>
          <w:rFonts w:ascii="Arial" w:hAnsi="Arial" w:cs="Arial"/>
          <w:color w:val="000000"/>
          <w:lang w:eastAsia="sr-Latn-RS"/>
        </w:rPr>
        <w:t> узима се квадратни корен збира квадрата промера активних Вентуријевих цеви, а однос промера сужења и улазних отвора Вентуријевих цеви једнак је односу квадратног корена збира промера сужења активних Вентуријевих цеви (</w:t>
      </w:r>
      <w:r w:rsidRPr="00B03342">
        <w:rPr>
          <w:rFonts w:ascii="Arial" w:hAnsi="Arial" w:cs="Arial"/>
          <w:i/>
          <w:iCs/>
          <w:color w:val="000000"/>
          <w:lang w:eastAsia="sr-Latn-RS"/>
        </w:rPr>
        <w:t>d</w:t>
      </w:r>
      <w:r w:rsidRPr="00B03342">
        <w:rPr>
          <w:rFonts w:ascii="Arial" w:hAnsi="Arial" w:cs="Arial"/>
          <w:color w:val="000000"/>
          <w:lang w:eastAsia="sr-Latn-RS"/>
        </w:rPr>
        <w:t> </w:t>
      </w:r>
      <w:r w:rsidRPr="00B03342">
        <w:rPr>
          <w:rFonts w:ascii="Arial" w:hAnsi="Arial" w:cs="Arial"/>
          <w:color w:val="000000"/>
          <w:vertAlign w:val="subscript"/>
          <w:lang w:eastAsia="sr-Latn-RS"/>
        </w:rPr>
        <w:t>t</w:t>
      </w:r>
      <w:r w:rsidRPr="00B03342">
        <w:rPr>
          <w:rFonts w:ascii="Arial" w:hAnsi="Arial" w:cs="Arial"/>
          <w:color w:val="000000"/>
          <w:lang w:eastAsia="sr-Latn-RS"/>
        </w:rPr>
        <w:t>) и промера заједничког улаза у све Вентуријеве цеви (</w:t>
      </w:r>
      <w:r w:rsidRPr="00B03342">
        <w:rPr>
          <w:rFonts w:ascii="Arial" w:hAnsi="Arial" w:cs="Arial"/>
          <w:i/>
          <w:iCs/>
          <w:color w:val="000000"/>
          <w:lang w:eastAsia="sr-Latn-RS"/>
        </w:rPr>
        <w:t>D</w:t>
      </w:r>
      <w:r w:rsidRPr="00B03342">
        <w:rPr>
          <w:rFonts w:ascii="Arial" w:hAnsi="Arial" w:cs="Arial"/>
          <w:color w:val="000000"/>
          <w:lang w:eastAsia="sr-Latn-RS"/>
        </w:rPr>
        <w:t>). Одређивање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за једну Вентуријеву цев или једну комбинацију Вентуријевих цеви састоји се од следећих корака: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применом података прикупљених за сваку задату тачку умеравања прорачунава се појединачна вредност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за сваку тачку помоћу једначине (7-140);</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средња вредност и стандардна девијација свих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прорачунавају се према једначинама (7-155) и (7-156);</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(в) ако стандардна девијација за све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није већа од 0,3 % средње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 у једначини (7-120) употребљава се средња вредност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те се CFV употребљава само до најмање вредности измерене током умеравања;</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r</w:t>
      </w:r>
      <w:r w:rsidRPr="00B03342">
        <w:rPr>
          <w:rFonts w:ascii="Arial" w:hAnsi="Arial" w:cs="Arial"/>
          <w:color w:val="000000"/>
          <w:lang w:eastAsia="sr-Latn-RS"/>
        </w:rPr>
        <w:t> = 1 – (Δ</w:t>
      </w:r>
      <w:r w:rsidRPr="00B03342">
        <w:rPr>
          <w:rFonts w:ascii="Arial" w:hAnsi="Arial" w:cs="Arial"/>
          <w:i/>
          <w:iCs/>
          <w:color w:val="000000"/>
          <w:lang w:eastAsia="sr-Latn-RS"/>
        </w:rPr>
        <w:t>p</w:t>
      </w:r>
      <w:r w:rsidRPr="00B03342">
        <w:rPr>
          <w:rFonts w:ascii="Arial" w:hAnsi="Arial" w:cs="Arial"/>
          <w:color w:val="000000"/>
          <w:lang w:eastAsia="sr-Latn-RS"/>
        </w:rPr>
        <w:t>/</w:t>
      </w:r>
      <w:r w:rsidRPr="00B03342">
        <w:rPr>
          <w:rFonts w:ascii="Arial" w:hAnsi="Arial" w:cs="Arial"/>
          <w:i/>
          <w:iCs/>
          <w:color w:val="000000"/>
          <w:lang w:eastAsia="sr-Latn-RS"/>
        </w:rPr>
        <w:t>p</w:t>
      </w:r>
      <w:r w:rsidRPr="00B03342">
        <w:rPr>
          <w:rFonts w:ascii="Arial" w:hAnsi="Arial" w:cs="Arial"/>
          <w:color w:val="000000"/>
          <w:vertAlign w:val="subscript"/>
          <w:lang w:eastAsia="sr-Latn-RS"/>
        </w:rPr>
        <w:t>in</w:t>
      </w:r>
      <w:r w:rsidRPr="00B03342">
        <w:rPr>
          <w:rFonts w:ascii="Arial" w:hAnsi="Arial" w:cs="Arial"/>
          <w:i/>
          <w:iCs/>
          <w:color w:val="000000"/>
          <w:lang w:eastAsia="sr-Latn-RS"/>
        </w:rPr>
        <w:t> </w:t>
      </w:r>
      <w:r w:rsidRPr="00B03342">
        <w:rPr>
          <w:rFonts w:ascii="Arial" w:hAnsi="Arial" w:cs="Arial"/>
          <w:color w:val="000000"/>
          <w:lang w:eastAsia="sr-Latn-RS"/>
        </w:rPr>
        <w:t>) (7-148)</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ако је стандардна девијација за све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већа од 0,3 % средње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изостављају се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које одговарају подацима прикупљенима на најмањем измереном р током умеравања;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ако је број преосталих података мањи од седам, спроводе се корективне мере провером података умеравања или понављањем поступка умеравања. Ако се поступак умеравања понавља, препоручује се провера могућих цурења, мања допуштена одступања приликом мерења те већи временски распон како би се омогућила стабилизација протока;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(ђ) ако број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није мањи од седам, поновно се прорачунавају средња вредност и стандардна девијација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(е) ако стандардна девијација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није већа од 0,3 % средње вредности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у једначини (7-120) примењује се та средња вредност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као и вредности CFV-а само до најмање вредности р повезане с преосталим вредностима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(ж) ако је стандардна девијација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и даље већа од 0,3 % средње вредности преосталих вредности </w:t>
      </w:r>
      <w:r w:rsidRPr="00B03342">
        <w:rPr>
          <w:rFonts w:ascii="Arial" w:hAnsi="Arial" w:cs="Arial"/>
          <w:i/>
          <w:iCs/>
          <w:color w:val="000000"/>
          <w:lang w:eastAsia="sr-Latn-RS"/>
        </w:rPr>
        <w:t>C</w:t>
      </w:r>
      <w:r w:rsidRPr="00B03342">
        <w:rPr>
          <w:rFonts w:ascii="Arial" w:hAnsi="Arial" w:cs="Arial"/>
          <w:color w:val="000000"/>
          <w:lang w:eastAsia="sr-Latn-RS"/>
        </w:rPr>
        <w:t> </w:t>
      </w:r>
      <w:r w:rsidRPr="00B03342">
        <w:rPr>
          <w:rFonts w:ascii="Arial" w:hAnsi="Arial" w:cs="Arial"/>
          <w:color w:val="000000"/>
          <w:vertAlign w:val="subscript"/>
          <w:lang w:eastAsia="sr-Latn-RS"/>
        </w:rPr>
        <w:t>d</w:t>
      </w:r>
      <w:r w:rsidRPr="00B03342">
        <w:rPr>
          <w:rFonts w:ascii="Arial" w:hAnsi="Arial" w:cs="Arial"/>
          <w:color w:val="000000"/>
          <w:lang w:eastAsia="sr-Latn-RS"/>
        </w:rPr>
        <w:t>, понављају се кораци из тачака од (д) до (г).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Корекција за померање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Опсег и учесталост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Обрачуни у овом додатку извршавају се како би се одредило поништава ли померање анализатора гаса резултате испитног интервала. Ако померање не поништава резултате испитног интервала, одзиви анализатора гаса испитног интервала морају се кориговати за померање у складу с овим Додатком. Одзиви анализатора гаса кориговани за померање примењују се у сваком следећем рачунању емисија. Прихватљива гранична вредност померања анализатора гаса током испитног интервала одређена је у тачки 8.2.2.2.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Начела корекције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рачунање у овом Додатку примењују се одзиви анализатора гаса на референтне нулте и распонске концентрације аналитичких гасова, које се одређују пре и после испитног интервала. Овим се обрачунима коригују одзиви анализатора гаса који су били забележени током испитног интервала. Корекција се базира на просечним одзивима анализатора на референтне нулте и распонске гасове, као и на њиховим референтним концентрацијама. Валидација померања и корекција за померање спроводе се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Валидација померања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Након примене свих других корекција на све сигнале анализатора гаса, осим корекције за померање, рачунају се специфичне ефективне емисије у складу с тачком 3.8. Након тога сви се сигнали анализатора гаса коригују за померање према овом Додатку. Специфичне ефективне емисије поново се рачунају применом свих сигнала анализатора гаса који су кориговани за померање. Резултати специфичних ефективних емисија валидирају се и бележе пре и након корекције за померање у складу с тачком 8.2.2.2.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Корекција за померање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Корекција свих сигнала анализатора гасa одвија се на следећи начин:</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свaкa забележена концентрација, </w:t>
      </w:r>
      <w:r w:rsidRPr="00B03342">
        <w:rPr>
          <w:rFonts w:ascii="Arial" w:hAnsi="Arial" w:cs="Arial"/>
          <w:i/>
          <w:iCs/>
          <w:color w:val="000000"/>
          <w:lang w:eastAsia="sr-Latn-RS"/>
        </w:rPr>
        <w:t>x</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 коригује се за континуирано узорковање или групно узорковање </w:t>
      </w:r>
      <w:r w:rsidRPr="00B03342">
        <w:rPr>
          <w:rFonts w:ascii="Arial" w:hAnsi="Arial" w:cs="Arial"/>
          <w:color w:val="000000"/>
          <w:lang w:val="en-US"/>
        </w:rPr>
        <w:drawing>
          <wp:inline distT="0" distB="0" distL="0" distR="0" wp14:anchorId="2A074FFB" wp14:editId="7594242D">
            <wp:extent cx="142875" cy="174625"/>
            <wp:effectExtent l="0" t="0" r="9525" b="0"/>
            <wp:docPr id="88" name="Picture 88" descr="A mathematical notation showing the mean of variable X with a horizontal bar above the letter X.&#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 mathematical notation showing the mean of variable X with a horizontal bar above the letter X.&#10;&#10;Description generated by AI"/>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B03342">
        <w:rPr>
          <w:rFonts w:ascii="Arial" w:hAnsi="Arial" w:cs="Arial"/>
          <w:color w:val="000000"/>
          <w:lang w:eastAsia="sr-Latn-RS"/>
        </w:rPr>
        <w:t>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корекција за померање рачуна се помоћу једначине (7-149):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F3CC3F0" wp14:editId="6935B61C">
            <wp:extent cx="5057140" cy="501015"/>
            <wp:effectExtent l="0" t="0" r="0" b="0"/>
            <wp:docPr id="87" name="Picture 87" descr="A mathematical formula expressing x_idriftcur as a combination of x_refzero, x_refspan, x_prespan, x_postspan, x_prezero, and x_postzero variables with fractions and subtraction oper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A mathematical formula expressing x_idriftcur as a combination of x_refzero, x_refspan, x_prespan, x_postspan, x_prezero, and x_postzero variables with fractions and subtraction operations.&#10;&#10;Description generated by AI"/>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3"/>
        <w:gridCol w:w="166"/>
        <w:gridCol w:w="951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vertAlign w:val="subscript"/>
                <w:lang w:eastAsia="sr-Latn-RS"/>
              </w:rPr>
              <w:t>driftcor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коригована за померање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x</w:t>
            </w:r>
            <w:r w:rsidRPr="00B03342">
              <w:rPr>
                <w:rFonts w:ascii="Arial" w:hAnsi="Arial" w:cs="Arial"/>
                <w:lang w:eastAsia="sr-Latn-RS"/>
              </w:rPr>
              <w:t> </w:t>
            </w:r>
            <w:r w:rsidRPr="00B03342">
              <w:rPr>
                <w:rFonts w:ascii="Arial" w:hAnsi="Arial" w:cs="Arial"/>
                <w:vertAlign w:val="subscript"/>
                <w:lang w:eastAsia="sr-Latn-RS"/>
              </w:rPr>
              <w:t>refzero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концентрација нултог гасa koja обично износи 0, осим ако није позната нека друга вредност исте[μmol/mol]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refspan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референтна концентрација распонског гасa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prespan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распонског гасa у интервалу пре испитивања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postspan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распонског гасa у интервалу након испитивања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vertAlign w:val="subscript"/>
                <w:lang w:eastAsia="sr-Latn-RS"/>
              </w:rPr>
              <w:t>i</w:t>
            </w:r>
            <w:r w:rsidRPr="00B03342">
              <w:rPr>
                <w:rFonts w:ascii="Arial" w:hAnsi="Arial" w:cs="Arial"/>
                <w:i/>
                <w:iCs/>
                <w:lang w:eastAsia="sr-Latn-RS"/>
              </w:rPr>
              <w:t> </w:t>
            </w:r>
            <w:r w:rsidRPr="00B03342">
              <w:rPr>
                <w:rFonts w:ascii="Arial" w:hAnsi="Arial" w:cs="Arial"/>
                <w:lang w:eastAsia="sr-Latn-RS"/>
              </w:rPr>
              <w:t>или </w:t>
            </w:r>
            <w:r w:rsidRPr="00B03342">
              <w:rPr>
                <w:rFonts w:ascii="Arial" w:hAnsi="Arial" w:cs="Arial"/>
                <w:lang w:val="en-US"/>
              </w:rPr>
              <w:drawing>
                <wp:inline distT="0" distB="0" distL="0" distR="0" wp14:anchorId="4C984DE7" wp14:editId="09F168D1">
                  <wp:extent cx="142875" cy="174625"/>
                  <wp:effectExtent l="0" t="0" r="9525" b="0"/>
                  <wp:docPr id="86" name="Picture 86" descr="A mathematical notation showing the variable X with a bar over it, indicating the mean or average valu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 mathematical notation showing the variable X with a bar over it, indicating the mean or average value.&#10;&#10;Description generated by AI"/>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забележена, односно измерена, концентрација током испитивања, пре корекције за померање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prezero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нултог гасa у интервалу пре испитивања [μmol/mol]</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x</w:t>
            </w:r>
            <w:r w:rsidRPr="00B03342">
              <w:rPr>
                <w:rFonts w:ascii="Arial" w:hAnsi="Arial" w:cs="Arial"/>
                <w:lang w:eastAsia="sr-Latn-RS"/>
              </w:rPr>
              <w:t> </w:t>
            </w:r>
            <w:r w:rsidRPr="00B03342">
              <w:rPr>
                <w:rFonts w:ascii="Arial" w:hAnsi="Arial" w:cs="Arial"/>
                <w:vertAlign w:val="subscript"/>
                <w:lang w:eastAsia="sr-Latn-RS"/>
              </w:rPr>
              <w:t>postzero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одзив анализатора гасa на концентрацију нултог гасa у интервалу након испитивања [μmol/mol];</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за било коју концентрацију из интервала пре испитивања потребно је употребити последње утврђене концентрације пре испитног интервала. За неке испитне интервале, последње утврђене вредности пре испитивања за нулти и распонски гас можда су биле измерене пре једног или више претходних испитних интервала;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за било коју концентрацију из интервала након испитивања, потребно је употребити последње утврђене концентрације након испитног интервала. За неке испитне интервале, задње одређене вредности након испитивања за нулти и распонски гас можда су биле измерене након једног или више накнадних испитних интервала;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e) ако одзив анализатора на концентрацију распонског гаса у интервалу пре испитивања,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prespan</w:t>
      </w:r>
      <w:r w:rsidRPr="00B03342">
        <w:rPr>
          <w:rFonts w:ascii="Arial" w:hAnsi="Arial" w:cs="Arial"/>
          <w:color w:val="000000"/>
          <w:lang w:eastAsia="sr-Latn-RS"/>
        </w:rPr>
        <w:t>, није забележен, његову вредност потребно је изједначити с референтном концентрацијом распонског гаса: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prespan</w:t>
      </w:r>
      <w:r w:rsidRPr="00B03342">
        <w:rPr>
          <w:rFonts w:ascii="Arial" w:hAnsi="Arial" w:cs="Arial"/>
          <w:color w:val="000000"/>
          <w:lang w:eastAsia="sr-Latn-RS"/>
        </w:rPr>
        <w:t> =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refspan</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ф) ако одзив анализатора на концентрацију нултог гаса у интервалу пре испитивања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презеро</w:t>
      </w:r>
      <w:r w:rsidRPr="00B03342">
        <w:rPr>
          <w:rFonts w:ascii="Arial" w:hAnsi="Arial" w:cs="Arial"/>
          <w:color w:val="000000"/>
          <w:lang w:eastAsia="sr-Latn-RS"/>
        </w:rPr>
        <w:t>, није забележен, његову вредност потребно је изједначити с референтном концентрацијом нултог гаса: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prezero</w:t>
      </w:r>
      <w:r w:rsidRPr="00B03342">
        <w:rPr>
          <w:rFonts w:ascii="Arial" w:hAnsi="Arial" w:cs="Arial"/>
          <w:color w:val="000000"/>
          <w:lang w:eastAsia="sr-Latn-RS"/>
        </w:rPr>
        <w:t> = </w:t>
      </w:r>
      <w:r w:rsidRPr="00B03342">
        <w:rPr>
          <w:rFonts w:ascii="Arial" w:hAnsi="Arial" w:cs="Arial"/>
          <w:i/>
          <w:iCs/>
          <w:color w:val="000000"/>
          <w:lang w:eastAsia="sr-Latn-RS"/>
        </w:rPr>
        <w:t>x</w:t>
      </w:r>
      <w:r w:rsidRPr="00B03342">
        <w:rPr>
          <w:rFonts w:ascii="Arial" w:hAnsi="Arial" w:cs="Arial"/>
          <w:color w:val="000000"/>
          <w:lang w:eastAsia="sr-Latn-RS"/>
        </w:rPr>
        <w:t> </w:t>
      </w:r>
      <w:r w:rsidRPr="00B03342">
        <w:rPr>
          <w:rFonts w:ascii="Arial" w:hAnsi="Arial" w:cs="Arial"/>
          <w:color w:val="000000"/>
          <w:vertAlign w:val="subscript"/>
          <w:lang w:eastAsia="sr-Latn-RS"/>
        </w:rPr>
        <w:t>refzero</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г) уобичајено је да референтна концентрација нултог гаса, x</w:t>
      </w:r>
      <w:r w:rsidRPr="00B03342">
        <w:rPr>
          <w:rFonts w:ascii="Arial" w:hAnsi="Arial" w:cs="Arial"/>
          <w:color w:val="000000"/>
          <w:vertAlign w:val="subscript"/>
          <w:lang w:eastAsia="sr-Latn-RS"/>
        </w:rPr>
        <w:t>refzero</w:t>
      </w:r>
      <w:r w:rsidRPr="00B03342">
        <w:rPr>
          <w:rFonts w:ascii="Arial" w:hAnsi="Arial" w:cs="Arial"/>
          <w:color w:val="000000"/>
          <w:lang w:eastAsia="sr-Latn-RS"/>
        </w:rPr>
        <w:t>, износи нула: x</w:t>
      </w:r>
      <w:r w:rsidRPr="00B03342">
        <w:rPr>
          <w:rFonts w:ascii="Arial" w:hAnsi="Arial" w:cs="Arial"/>
          <w:color w:val="000000"/>
          <w:vertAlign w:val="subscript"/>
          <w:lang w:eastAsia="sr-Latn-RS"/>
        </w:rPr>
        <w:t>refzero</w:t>
      </w:r>
      <w:r w:rsidRPr="00B03342">
        <w:rPr>
          <w:rFonts w:ascii="Arial" w:hAnsi="Arial" w:cs="Arial"/>
          <w:color w:val="000000"/>
          <w:lang w:eastAsia="sr-Latn-RS"/>
        </w:rPr>
        <w:t> = 0 μмол/мол. Но, у неким случајевима може бити познато да x</w:t>
      </w:r>
      <w:r w:rsidRPr="00B03342">
        <w:rPr>
          <w:rFonts w:ascii="Arial" w:hAnsi="Arial" w:cs="Arial"/>
          <w:color w:val="000000"/>
          <w:vertAlign w:val="subscript"/>
          <w:lang w:eastAsia="sr-Latn-RS"/>
        </w:rPr>
        <w:t>refzero</w:t>
      </w:r>
      <w:r w:rsidRPr="00B03342">
        <w:rPr>
          <w:rFonts w:ascii="Arial" w:hAnsi="Arial" w:cs="Arial"/>
          <w:color w:val="000000"/>
          <w:lang w:eastAsia="sr-Latn-RS"/>
        </w:rPr>
        <w:t> има концентрацију која није једнака нули. На пример, ако се анализатор за CO</w:t>
      </w:r>
      <w:r w:rsidRPr="00B03342">
        <w:rPr>
          <w:rFonts w:ascii="Arial" w:hAnsi="Arial" w:cs="Arial"/>
          <w:color w:val="000000"/>
          <w:vertAlign w:val="subscript"/>
          <w:lang w:eastAsia="sr-Latn-RS"/>
        </w:rPr>
        <w:t>2</w:t>
      </w:r>
      <w:r w:rsidRPr="00B03342">
        <w:rPr>
          <w:rFonts w:ascii="Arial" w:hAnsi="Arial" w:cs="Arial"/>
          <w:color w:val="000000"/>
          <w:lang w:eastAsia="sr-Latn-RS"/>
        </w:rPr>
        <w:t> умерава на нулу помоћу ваздуха из околине, може се употребити стандардна концентрација CO2 у ваздуху из околине, која износи 375 μmol/mol. У том случају, x</w:t>
      </w:r>
      <w:r w:rsidRPr="00B03342">
        <w:rPr>
          <w:rFonts w:ascii="Arial" w:hAnsi="Arial" w:cs="Arial"/>
          <w:color w:val="000000"/>
          <w:vertAlign w:val="subscript"/>
          <w:lang w:eastAsia="sr-Latn-RS"/>
        </w:rPr>
        <w:t>refzero</w:t>
      </w:r>
      <w:r w:rsidRPr="00B03342">
        <w:rPr>
          <w:rFonts w:ascii="Arial" w:hAnsi="Arial" w:cs="Arial"/>
          <w:color w:val="000000"/>
          <w:lang w:eastAsia="sr-Latn-RS"/>
        </w:rPr>
        <w:t> = 375 μmol/mol. Када се анализатор умерава на нулу помоћу x</w:t>
      </w:r>
      <w:r w:rsidRPr="00B03342">
        <w:rPr>
          <w:rFonts w:ascii="Arial" w:hAnsi="Arial" w:cs="Arial"/>
          <w:color w:val="000000"/>
          <w:vertAlign w:val="subscript"/>
          <w:lang w:eastAsia="sr-Latn-RS"/>
        </w:rPr>
        <w:t>refzero</w:t>
      </w:r>
      <w:r w:rsidRPr="00B03342">
        <w:rPr>
          <w:rFonts w:ascii="Arial" w:hAnsi="Arial" w:cs="Arial"/>
          <w:color w:val="000000"/>
          <w:lang w:eastAsia="sr-Latn-RS"/>
        </w:rPr>
        <w:t> који није једнак нули, анализатор се подешава тако да показује стварну концентрацију x</w:t>
      </w:r>
      <w:r w:rsidRPr="00B03342">
        <w:rPr>
          <w:rFonts w:ascii="Arial" w:hAnsi="Arial" w:cs="Arial"/>
          <w:color w:val="000000"/>
          <w:vertAlign w:val="subscript"/>
          <w:lang w:eastAsia="sr-Latn-RS"/>
        </w:rPr>
        <w:t>refzero</w:t>
      </w:r>
      <w:r w:rsidRPr="00B03342">
        <w:rPr>
          <w:rFonts w:ascii="Arial" w:hAnsi="Arial" w:cs="Arial"/>
          <w:color w:val="000000"/>
          <w:lang w:eastAsia="sr-Latn-RS"/>
        </w:rPr>
        <w:t>. На пример, ако је x</w:t>
      </w:r>
      <w:r w:rsidRPr="00B03342">
        <w:rPr>
          <w:rFonts w:ascii="Arial" w:hAnsi="Arial" w:cs="Arial"/>
          <w:color w:val="000000"/>
          <w:vertAlign w:val="subscript"/>
          <w:lang w:eastAsia="sr-Latn-RS"/>
        </w:rPr>
        <w:t>refzero</w:t>
      </w:r>
      <w:r w:rsidRPr="00B03342">
        <w:rPr>
          <w:rFonts w:ascii="Arial" w:hAnsi="Arial" w:cs="Arial"/>
          <w:color w:val="000000"/>
          <w:lang w:eastAsia="sr-Latn-RS"/>
        </w:rPr>
        <w:t> = 375 μmol/mol, анализатор се подешава да показује вредност 375 μmol/mol када нулти гас тече у анализатор.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Провера протокa угљеника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Сав угљеник у издувном гасу осим малог дела долази из горива те се сав осим малог дела исказује у издувном гасу као CO</w:t>
      </w:r>
      <w:r w:rsidRPr="00B03342">
        <w:rPr>
          <w:rFonts w:ascii="Arial" w:hAnsi="Arial" w:cs="Arial"/>
          <w:color w:val="000000"/>
          <w:vertAlign w:val="subscript"/>
          <w:lang w:eastAsia="sr-Latn-RS"/>
        </w:rPr>
        <w:t>2</w:t>
      </w:r>
      <w:r w:rsidRPr="00B03342">
        <w:rPr>
          <w:rFonts w:ascii="Arial" w:hAnsi="Arial" w:cs="Arial"/>
          <w:color w:val="000000"/>
          <w:lang w:eastAsia="sr-Latn-RS"/>
        </w:rPr>
        <w:t>. То је основа за верификацију система која се основи на мерењима CO</w:t>
      </w:r>
      <w:r w:rsidRPr="00B03342">
        <w:rPr>
          <w:rFonts w:ascii="Arial" w:hAnsi="Arial" w:cs="Arial"/>
          <w:color w:val="000000"/>
          <w:vertAlign w:val="subscript"/>
          <w:lang w:eastAsia="sr-Latn-RS"/>
        </w:rPr>
        <w:t>2</w:t>
      </w:r>
      <w:r w:rsidRPr="00B03342">
        <w:rPr>
          <w:rFonts w:ascii="Arial" w:hAnsi="Arial" w:cs="Arial"/>
          <w:color w:val="000000"/>
          <w:lang w:eastAsia="sr-Latn-RS"/>
        </w:rPr>
        <w:t>. У случају мотора с паљењем електричном варницом који немају контролу коефицијента вишка ваздуха λ или мотора с електричном варницом који радe изван распона 0,97 ≤ λ ≤ 1,03, у поступак се додатно укључује мерење HC и CO.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Доток угљеника у системe за мерење издувних гасoва одређује се из протокa горива. Проток угљеника у различитим тачкама узорковања у системима за узорковање емисија и честица одређује се из концентрација CO</w:t>
      </w:r>
      <w:r w:rsidRPr="00B03342">
        <w:rPr>
          <w:rFonts w:ascii="Arial" w:hAnsi="Arial" w:cs="Arial"/>
          <w:color w:val="000000"/>
          <w:vertAlign w:val="subscript"/>
          <w:lang w:eastAsia="sr-Latn-RS"/>
        </w:rPr>
        <w:t>2</w:t>
      </w:r>
      <w:r w:rsidRPr="00B03342">
        <w:rPr>
          <w:rFonts w:ascii="Arial" w:hAnsi="Arial" w:cs="Arial"/>
          <w:color w:val="000000"/>
          <w:lang w:eastAsia="sr-Latn-RS"/>
        </w:rPr>
        <w:t> (или CO</w:t>
      </w:r>
      <w:r w:rsidRPr="00B03342">
        <w:rPr>
          <w:rFonts w:ascii="Arial" w:hAnsi="Arial" w:cs="Arial"/>
          <w:color w:val="000000"/>
          <w:vertAlign w:val="subscript"/>
          <w:lang w:eastAsia="sr-Latn-RS"/>
        </w:rPr>
        <w:t>2</w:t>
      </w:r>
      <w:r w:rsidRPr="00B03342">
        <w:rPr>
          <w:rFonts w:ascii="Arial" w:hAnsi="Arial" w:cs="Arial"/>
          <w:color w:val="000000"/>
          <w:lang w:eastAsia="sr-Latn-RS"/>
        </w:rPr>
        <w:t>, HC и CO) и протокa гасa у тим тачкама.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том смислу, мотор је познати извор протока угљеника, а проматрање тог протока угљеника у издувној цеви те на излазу из система за узорковање честица материја с делимичним протоком потврђује непропусност и тачност мерења протока. Предност је ове провере да саставни делови раде у стварним условима температуре и протока испитивања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слици 7.1. приказане су тачке узорковања на којима се проверава проток угљеника. Специфичне једначине за протоке угљеника на појединим тачкама узорковања наведене су у следећим тачкама.</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7.1. Мерне тачке за проверу протока угљеника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0D4EE1DC" wp14:editId="263B76C9">
            <wp:extent cx="5057140" cy="2194560"/>
            <wp:effectExtent l="0" t="0" r="0" b="0"/>
            <wp:docPr id="85" name="Picture 85" descr="A schematic diagram shows a motor receiving air and fuel, connected to a system for partial exhaust gas recirculation with labeled points indicating CO2 in diluted and undiluted exhaust ga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A schematic diagram shows a motor receiving air and fuel, connected to a system for partial exhaust gas recirculation with labeled points indicating CO2 in diluted and undiluted exhaust gas.&#10;&#10;Description generated by AI"/>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57140" cy="219456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Доток угљеника у мотор (тачка 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Масени проток угљеника у мотор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Cf</w:t>
      </w:r>
      <w:r w:rsidRPr="00B03342">
        <w:rPr>
          <w:rFonts w:ascii="Arial" w:hAnsi="Arial" w:cs="Arial"/>
          <w:color w:val="000000"/>
          <w:lang w:eastAsia="sr-Latn-RS"/>
        </w:rPr>
        <w:t> [kg/s] за гориво CH</w:t>
      </w:r>
      <w:r w:rsidRPr="00B03342">
        <w:rPr>
          <w:rFonts w:ascii="Arial" w:hAnsi="Arial" w:cs="Arial"/>
          <w:i/>
          <w:iCs/>
          <w:color w:val="000000"/>
          <w:lang w:eastAsia="sr-Latn-RS"/>
        </w:rPr>
        <w:t> </w:t>
      </w:r>
      <w:r w:rsidRPr="00B03342">
        <w:rPr>
          <w:rFonts w:ascii="Arial" w:hAnsi="Arial" w:cs="Arial"/>
          <w:color w:val="000000"/>
          <w:vertAlign w:val="subscript"/>
          <w:lang w:eastAsia="sr-Latn-RS"/>
        </w:rPr>
        <w:t>α</w:t>
      </w:r>
      <w:r w:rsidRPr="00B03342">
        <w:rPr>
          <w:rFonts w:ascii="Arial" w:hAnsi="Arial" w:cs="Arial"/>
          <w:i/>
          <w:iCs/>
          <w:color w:val="000000"/>
          <w:lang w:eastAsia="sr-Latn-RS"/>
        </w:rPr>
        <w:t> </w:t>
      </w:r>
      <w:r w:rsidRPr="00B03342">
        <w:rPr>
          <w:rFonts w:ascii="Arial" w:hAnsi="Arial" w:cs="Arial"/>
          <w:color w:val="000000"/>
          <w:lang w:eastAsia="sr-Latn-RS"/>
        </w:rPr>
        <w:t>O</w:t>
      </w:r>
      <w:r w:rsidRPr="00B03342">
        <w:rPr>
          <w:rFonts w:ascii="Arial" w:hAnsi="Arial" w:cs="Arial"/>
          <w:i/>
          <w:iCs/>
          <w:color w:val="000000"/>
          <w:lang w:eastAsia="sr-Latn-RS"/>
        </w:rPr>
        <w:t> </w:t>
      </w:r>
      <w:r w:rsidRPr="00B03342">
        <w:rPr>
          <w:rFonts w:ascii="Arial" w:hAnsi="Arial" w:cs="Arial"/>
          <w:color w:val="000000"/>
          <w:vertAlign w:val="subscript"/>
          <w:lang w:eastAsia="sr-Latn-RS"/>
        </w:rPr>
        <w:t>ε</w:t>
      </w:r>
      <w:r w:rsidRPr="00B03342">
        <w:rPr>
          <w:rFonts w:ascii="Arial" w:hAnsi="Arial" w:cs="Arial"/>
          <w:i/>
          <w:iCs/>
          <w:color w:val="000000"/>
          <w:lang w:eastAsia="sr-Latn-RS"/>
        </w:rPr>
        <w:t> </w:t>
      </w:r>
      <w:r w:rsidRPr="00B03342">
        <w:rPr>
          <w:rFonts w:ascii="Arial" w:hAnsi="Arial" w:cs="Arial"/>
          <w:color w:val="000000"/>
          <w:lang w:eastAsia="sr-Latn-RS"/>
        </w:rPr>
        <w:t>добија се помоћу једначине (7-150):</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248C9E5" wp14:editId="4D763DF7">
            <wp:extent cx="5057140" cy="389890"/>
            <wp:effectExtent l="0" t="0" r="0" b="0"/>
            <wp:docPr id="84" name="Picture 84" descr="A mathematical formula expressing q_mCF as a fraction involving constants, variables, and exponential ter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 mathematical formula expressing q_mCF as a fraction involving constants, variables, and exponential terms.&#10;&#10;Description generated by AI"/>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52"/>
        <w:gridCol w:w="604"/>
        <w:gridCol w:w="864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горива [kg/s]</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Масени проток угљеника у неразређеном издувном гасу (тачка 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3.1. На основу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Масени проток угљеника у издувној цеви мотора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Ce</w:t>
      </w:r>
      <w:r w:rsidRPr="00B03342">
        <w:rPr>
          <w:rFonts w:ascii="Arial" w:hAnsi="Arial" w:cs="Arial"/>
          <w:color w:val="000000"/>
          <w:lang w:eastAsia="sr-Latn-RS"/>
        </w:rPr>
        <w:t> [kg/s] одређује се из неразређенe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и масеног протокa издувних гасoва помоћу једначине (7-151):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C341C86" wp14:editId="06371AD3">
            <wp:extent cx="5057140" cy="564515"/>
            <wp:effectExtent l="0" t="0" r="0" b="6985"/>
            <wp:docPr id="83" name="Picture 83" descr="The image shows a mathematical formula for q_mCe involving variables cCO2,r, cCO2,u, q_mew, a constant 12.011, and M_e, with the equation labeled as 7-15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The image shows a mathematical formula for q_mCe involving variables cCO2,r, cCO2,u, q_mew, a constant 12.011, and M_e, with the equation labeled as 7-151.&#10;&#10;Description generated by AI"/>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51"/>
        <w:gridCol w:w="289"/>
        <w:gridCol w:w="926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неразређеном издувном гасу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издувних гасoва на влажној основи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издувног гасa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w:t>
      </w:r>
      <w:r w:rsidRPr="00B03342">
        <w:rPr>
          <w:rFonts w:ascii="Arial" w:hAnsi="Arial" w:cs="Arial"/>
          <w:color w:val="000000"/>
          <w:vertAlign w:val="subscript"/>
          <w:lang w:eastAsia="sr-Latn-RS"/>
        </w:rPr>
        <w:t>2</w:t>
      </w:r>
      <w:r w:rsidRPr="00B03342">
        <w:rPr>
          <w:rFonts w:ascii="Arial" w:hAnsi="Arial" w:cs="Arial"/>
          <w:color w:val="000000"/>
          <w:lang w:eastAsia="sr-Latn-RS"/>
        </w:rPr>
        <w:t> мери на сувоj основи, мора се претворити у влажну основу у складу с тачком 2.1.3. или тачком 3.5.2.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 На основу CO</w:t>
      </w:r>
      <w:r w:rsidRPr="00B03342">
        <w:rPr>
          <w:rFonts w:ascii="Arial" w:hAnsi="Arial" w:cs="Arial"/>
          <w:color w:val="000000"/>
          <w:vertAlign w:val="subscript"/>
          <w:lang w:eastAsia="sr-Latn-RS"/>
        </w:rPr>
        <w:t>2</w:t>
      </w:r>
      <w:r w:rsidRPr="00B03342">
        <w:rPr>
          <w:rFonts w:ascii="Arial" w:hAnsi="Arial" w:cs="Arial"/>
          <w:color w:val="000000"/>
          <w:lang w:eastAsia="sr-Latn-RS"/>
        </w:rPr>
        <w:t>, HC и CO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Као алтернатива рачунау у искључиво на основу CO</w:t>
      </w:r>
      <w:r w:rsidRPr="00B03342">
        <w:rPr>
          <w:rFonts w:ascii="Arial" w:hAnsi="Arial" w:cs="Arial"/>
          <w:color w:val="000000"/>
          <w:vertAlign w:val="subscript"/>
          <w:lang w:eastAsia="sr-Latn-RS"/>
        </w:rPr>
        <w:t>2</w:t>
      </w:r>
      <w:r w:rsidRPr="00B03342">
        <w:rPr>
          <w:rFonts w:ascii="Arial" w:hAnsi="Arial" w:cs="Arial"/>
          <w:color w:val="000000"/>
          <w:lang w:eastAsia="sr-Latn-RS"/>
        </w:rPr>
        <w:t> у тачки 3.1., масени проток угљеника у издувној цеви мотора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Ce</w:t>
      </w:r>
      <w:r w:rsidRPr="00B03342">
        <w:rPr>
          <w:rFonts w:ascii="Arial" w:hAnsi="Arial" w:cs="Arial"/>
          <w:color w:val="000000"/>
          <w:lang w:eastAsia="sr-Latn-RS"/>
        </w:rPr>
        <w:t>[ kg/s] одређује се из неразређенe концентрације CO</w:t>
      </w:r>
      <w:r w:rsidRPr="00B03342">
        <w:rPr>
          <w:rFonts w:ascii="Arial" w:hAnsi="Arial" w:cs="Arial"/>
          <w:color w:val="000000"/>
          <w:vertAlign w:val="subscript"/>
          <w:lang w:eastAsia="sr-Latn-RS"/>
        </w:rPr>
        <w:t>2</w:t>
      </w:r>
      <w:r w:rsidRPr="00B03342">
        <w:rPr>
          <w:rFonts w:ascii="Arial" w:hAnsi="Arial" w:cs="Arial"/>
          <w:color w:val="000000"/>
          <w:lang w:eastAsia="sr-Latn-RS"/>
        </w:rPr>
        <w:t>, HC и CO те масеног протокa издувних гасoва помоћу једначине (7-152):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B0CB179" wp14:editId="010137DE">
            <wp:extent cx="5057140" cy="501015"/>
            <wp:effectExtent l="0" t="0" r="0" b="0"/>
            <wp:docPr id="82" name="Picture 82" descr="A mathematical formula expressing q_mCe as a function of concentrations of CO2, OTHC, and CCO, divided by 100, multiplied by q_mnew over M_c, with a reference to equation 7-15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A mathematical formula expressing q_mCe as a function of concentrations of CO2, OTHC, and CCO, divided by 100, multiplied by q_mnew over M_c, with a reference to equation 7-152.&#10;&#10;Description generated by AI"/>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08"/>
        <w:gridCol w:w="278"/>
        <w:gridCol w:w="8914"/>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неразређеном издувном гасу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THC(C1),r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THC(C1) у неразређеном издувном гасу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c</w:t>
            </w:r>
            <w:r w:rsidRPr="00B03342">
              <w:rPr>
                <w:rFonts w:ascii="Arial" w:hAnsi="Arial" w:cs="Arial"/>
                <w:lang w:eastAsia="sr-Latn-RS"/>
              </w:rPr>
              <w:t> </w:t>
            </w:r>
            <w:r w:rsidRPr="00B03342">
              <w:rPr>
                <w:rFonts w:ascii="Arial" w:hAnsi="Arial" w:cs="Arial"/>
                <w:vertAlign w:val="subscript"/>
                <w:lang w:eastAsia="sr-Latn-RS"/>
              </w:rPr>
              <w:t>THC(C1),a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THC(C1)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концентрација CO у неразређеном издувном гасу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концентрација CO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издувних гасoва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издувног гасa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w:t>
      </w:r>
      <w:r w:rsidRPr="00B03342">
        <w:rPr>
          <w:rFonts w:ascii="Arial" w:hAnsi="Arial" w:cs="Arial"/>
          <w:color w:val="000000"/>
          <w:vertAlign w:val="subscript"/>
          <w:lang w:eastAsia="sr-Latn-RS"/>
        </w:rPr>
        <w:t>2</w:t>
      </w:r>
      <w:r w:rsidRPr="00B03342">
        <w:rPr>
          <w:rFonts w:ascii="Arial" w:hAnsi="Arial" w:cs="Arial"/>
          <w:color w:val="000000"/>
          <w:lang w:eastAsia="sr-Latn-RS"/>
        </w:rPr>
        <w:t> или CO мере на сувоj основи, морају се претворити у влажну основу у складу с тачком 2.1.3. или тачком 3.5.2.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Проток угљеника у систему за разређивање (тачка 3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4.1. На основу CO</w:t>
      </w:r>
      <w:r w:rsidRPr="00B03342">
        <w:rPr>
          <w:rFonts w:ascii="Arial" w:hAnsi="Arial" w:cs="Arial"/>
          <w:color w:val="000000"/>
          <w:vertAlign w:val="subscript"/>
          <w:lang w:eastAsia="sr-Latn-RS"/>
        </w:rPr>
        <w:t>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Код система за разређивање с делимичним протоком, у обзир се треба узети и однос раздвајања. Проток угљеника у еквивалентном систему за разређивање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Cp</w:t>
      </w:r>
      <w:r w:rsidRPr="00B03342">
        <w:rPr>
          <w:rFonts w:ascii="Arial" w:hAnsi="Arial" w:cs="Arial"/>
          <w:color w:val="000000"/>
          <w:lang w:eastAsia="sr-Latn-RS"/>
        </w:rPr>
        <w:t> [kg/s] (где еквивалентан значи једнак систему пуног протока у којем се пуни проток разређује) одређује се из концентрације разређеног CO</w:t>
      </w:r>
      <w:r w:rsidRPr="00B03342">
        <w:rPr>
          <w:rFonts w:ascii="Arial" w:hAnsi="Arial" w:cs="Arial"/>
          <w:color w:val="000000"/>
          <w:vertAlign w:val="subscript"/>
          <w:lang w:eastAsia="sr-Latn-RS"/>
        </w:rPr>
        <w:t>2</w:t>
      </w:r>
      <w:r w:rsidRPr="00B03342">
        <w:rPr>
          <w:rFonts w:ascii="Arial" w:hAnsi="Arial" w:cs="Arial"/>
          <w:color w:val="000000"/>
          <w:lang w:eastAsia="sr-Latn-RS"/>
        </w:rPr>
        <w:t>, масеног протокa издувних гасoва и протокa узорка; нова једначина (7-153) идентична је једначини (7-151), надопуњеној само фактором разређивања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mde</w:t>
      </w:r>
      <w:r w:rsidRPr="00B03342">
        <w:rPr>
          <w:rFonts w:ascii="Arial" w:hAnsi="Arial" w:cs="Arial"/>
          <w:i/>
          <w:iCs/>
          <w:color w:val="000000"/>
          <w:lang w:eastAsia="sr-Latn-RS"/>
        </w:rPr>
        <w:t> </w:t>
      </w:r>
      <w:r w:rsidRPr="00B03342">
        <w:rPr>
          <w:rFonts w:ascii="Arial" w:hAnsi="Arial" w:cs="Arial"/>
          <w:color w:val="000000"/>
          <w:vertAlign w:val="subscript"/>
          <w:lang w:eastAsia="sr-Latn-RS"/>
        </w:rPr>
        <w:t>w</w:t>
      </w:r>
      <w:r w:rsidRPr="00B03342">
        <w:rPr>
          <w:rFonts w:ascii="Arial" w:hAnsi="Arial" w:cs="Arial"/>
          <w:color w:val="000000"/>
          <w:lang w:eastAsia="sr-Latn-RS"/>
        </w:rPr>
        <w:t>/</w:t>
      </w:r>
      <w:r w:rsidRPr="00B03342">
        <w:rPr>
          <w:rFonts w:ascii="Arial" w:hAnsi="Arial" w:cs="Arial"/>
          <w:i/>
          <w:iCs/>
          <w:color w:val="000000"/>
          <w:lang w:eastAsia="sr-Latn-RS"/>
        </w:rPr>
        <w:t>q</w:t>
      </w:r>
      <w:r w:rsidRPr="00B03342">
        <w:rPr>
          <w:rFonts w:ascii="Arial" w:hAnsi="Arial" w:cs="Arial"/>
          <w:color w:val="000000"/>
          <w:vertAlign w:val="subscript"/>
          <w:lang w:eastAsia="sr-Latn-RS"/>
        </w:rPr>
        <w:t>mp</w:t>
      </w:r>
      <w:r w:rsidRPr="00B03342">
        <w:rPr>
          <w:rFonts w:ascii="Arial" w:hAnsi="Arial" w:cs="Arial"/>
          <w:i/>
          <w:iCs/>
          <w:color w:val="000000"/>
          <w:lang w:eastAsia="sr-Latn-RS"/>
        </w:rPr>
        <w:t> </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6C8E903" wp14:editId="049FD5C3">
            <wp:extent cx="5057140" cy="501015"/>
            <wp:effectExtent l="0" t="0" r="0" b="0"/>
            <wp:docPr id="81" name="Picture 81" descr="The image shows a mathematical formula expressing q sub m Cp as a product of a fraction involving CO2 concentrations, q new, a constant 12.011 divided by M sub a, q mdew, and divided by q mp.&#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The image shows a mathematical formula expressing q sub m Cp as a product of a fraction involving CO2 concentrations, q new, a constant 12.011 divided by M sub a, q mdew, and divided by q mp.&#10;&#10;Description generated by AI"/>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2"/>
        <w:gridCol w:w="185"/>
        <w:gridCol w:w="970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разређеним издувним гасoвима на излазу из тунела за разређивање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разређеног узорка у систему за разређивање делимичног протокa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издувних гасoва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узорка издувног гасa у систем за разређивање делимичног протокa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издувног гасa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w:t>
      </w:r>
      <w:r w:rsidRPr="00B03342">
        <w:rPr>
          <w:rFonts w:ascii="Arial" w:hAnsi="Arial" w:cs="Arial"/>
          <w:color w:val="000000"/>
          <w:vertAlign w:val="subscript"/>
          <w:lang w:eastAsia="sr-Latn-RS"/>
        </w:rPr>
        <w:t>2</w:t>
      </w:r>
      <w:r w:rsidRPr="00B03342">
        <w:rPr>
          <w:rFonts w:ascii="Arial" w:hAnsi="Arial" w:cs="Arial"/>
          <w:color w:val="000000"/>
          <w:lang w:eastAsia="sr-Latn-RS"/>
        </w:rPr>
        <w:t> мери на сувоj основи, мора се претворити у влажну основу у складу с тачком 2.1.3. или тачком 3.5.2. овог прилога.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4.2. На основу CO</w:t>
      </w:r>
      <w:r w:rsidRPr="00B03342">
        <w:rPr>
          <w:rFonts w:ascii="Arial" w:hAnsi="Arial" w:cs="Arial"/>
          <w:color w:val="000000"/>
          <w:vertAlign w:val="subscript"/>
          <w:lang w:eastAsia="sr-Latn-RS"/>
        </w:rPr>
        <w:t>2</w:t>
      </w:r>
      <w:r w:rsidRPr="00B03342">
        <w:rPr>
          <w:rFonts w:ascii="Arial" w:hAnsi="Arial" w:cs="Arial"/>
          <w:color w:val="000000"/>
          <w:lang w:eastAsia="sr-Latn-RS"/>
        </w:rPr>
        <w:t>, HC и CO</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Код система за разређивање с делимичним протоком у обзир се треба узети и однос раздвајања. Као алтернатива рачунању искључиво на основу CO</w:t>
      </w:r>
      <w:r w:rsidRPr="00B03342">
        <w:rPr>
          <w:rFonts w:ascii="Arial" w:hAnsi="Arial" w:cs="Arial"/>
          <w:color w:val="000000"/>
          <w:vertAlign w:val="subscript"/>
          <w:lang w:eastAsia="sr-Latn-RS"/>
        </w:rPr>
        <w:t>2</w:t>
      </w:r>
      <w:r w:rsidRPr="00B03342">
        <w:rPr>
          <w:rFonts w:ascii="Arial" w:hAnsi="Arial" w:cs="Arial"/>
          <w:color w:val="000000"/>
          <w:lang w:eastAsia="sr-Latn-RS"/>
        </w:rPr>
        <w:t> у тачки 4.1., проток угљеника у еквивалентном систему за разређивање </w:t>
      </w:r>
      <w:r w:rsidRPr="00B03342">
        <w:rPr>
          <w:rFonts w:ascii="Arial" w:hAnsi="Arial" w:cs="Arial"/>
          <w:i/>
          <w:iCs/>
          <w:color w:val="000000"/>
          <w:lang w:eastAsia="sr-Latn-RS"/>
        </w:rPr>
        <w:t>q</w:t>
      </w:r>
      <w:r w:rsidRPr="00B03342">
        <w:rPr>
          <w:rFonts w:ascii="Arial" w:hAnsi="Arial" w:cs="Arial"/>
          <w:color w:val="000000"/>
          <w:vertAlign w:val="subscript"/>
          <w:lang w:eastAsia="sr-Latn-RS"/>
        </w:rPr>
        <w:t>m</w:t>
      </w:r>
      <w:r w:rsidRPr="00B03342">
        <w:rPr>
          <w:rFonts w:ascii="Arial" w:hAnsi="Arial" w:cs="Arial"/>
          <w:i/>
          <w:iCs/>
          <w:color w:val="000000"/>
          <w:lang w:eastAsia="sr-Latn-RS"/>
        </w:rPr>
        <w:t> </w:t>
      </w:r>
      <w:r w:rsidRPr="00B03342">
        <w:rPr>
          <w:rFonts w:ascii="Arial" w:hAnsi="Arial" w:cs="Arial"/>
          <w:color w:val="000000"/>
          <w:vertAlign w:val="subscript"/>
          <w:lang w:eastAsia="sr-Latn-RS"/>
        </w:rPr>
        <w:t>Cp</w:t>
      </w:r>
      <w:r w:rsidRPr="00B03342">
        <w:rPr>
          <w:rFonts w:ascii="Arial" w:hAnsi="Arial" w:cs="Arial"/>
          <w:color w:val="000000"/>
          <w:lang w:eastAsia="sr-Latn-RS"/>
        </w:rPr>
        <w:t> [kg/s] (где еквивалентан значи једнак систему пуног протока у којем се пуни проток разређује) одређује се из концентрација разређеног CO</w:t>
      </w:r>
      <w:r w:rsidRPr="00B03342">
        <w:rPr>
          <w:rFonts w:ascii="Arial" w:hAnsi="Arial" w:cs="Arial"/>
          <w:color w:val="000000"/>
          <w:vertAlign w:val="subscript"/>
          <w:lang w:eastAsia="sr-Latn-RS"/>
        </w:rPr>
        <w:t>2</w:t>
      </w:r>
      <w:r w:rsidRPr="00B03342">
        <w:rPr>
          <w:rFonts w:ascii="Arial" w:hAnsi="Arial" w:cs="Arial"/>
          <w:color w:val="000000"/>
          <w:lang w:eastAsia="sr-Latn-RS"/>
        </w:rPr>
        <w:t>, HC и CO те масеног протокa издувних гасoва и протокa узорка; нова једначина (7-154) идентична je једначини (7-152), надопуњеној само фактором разређивања </w:t>
      </w:r>
      <w:r w:rsidRPr="00B03342">
        <w:rPr>
          <w:rFonts w:ascii="Arial" w:hAnsi="Arial" w:cs="Arial"/>
          <w:i/>
          <w:iCs/>
          <w:color w:val="000000"/>
          <w:lang w:eastAsia="sr-Latn-RS"/>
        </w:rPr>
        <w:t>q</w:t>
      </w:r>
      <w:r w:rsidRPr="00B03342">
        <w:rPr>
          <w:rFonts w:ascii="Arial" w:hAnsi="Arial" w:cs="Arial"/>
          <w:color w:val="000000"/>
          <w:vertAlign w:val="subscript"/>
          <w:lang w:eastAsia="sr-Latn-RS"/>
        </w:rPr>
        <w:t>mde</w:t>
      </w:r>
      <w:r w:rsidRPr="00B03342">
        <w:rPr>
          <w:rFonts w:ascii="Arial" w:hAnsi="Arial" w:cs="Arial"/>
          <w:i/>
          <w:iCs/>
          <w:color w:val="000000"/>
          <w:lang w:eastAsia="sr-Latn-RS"/>
        </w:rPr>
        <w:t> </w:t>
      </w:r>
      <w:r w:rsidRPr="00B03342">
        <w:rPr>
          <w:rFonts w:ascii="Arial" w:hAnsi="Arial" w:cs="Arial"/>
          <w:color w:val="000000"/>
          <w:vertAlign w:val="subscript"/>
          <w:lang w:eastAsia="sr-Latn-RS"/>
        </w:rPr>
        <w:t>w</w:t>
      </w:r>
      <w:r w:rsidRPr="00B03342">
        <w:rPr>
          <w:rFonts w:ascii="Arial" w:hAnsi="Arial" w:cs="Arial"/>
          <w:color w:val="000000"/>
          <w:lang w:eastAsia="sr-Latn-RS"/>
        </w:rPr>
        <w:t>/</w:t>
      </w:r>
      <w:r w:rsidRPr="00B03342">
        <w:rPr>
          <w:rFonts w:ascii="Arial" w:hAnsi="Arial" w:cs="Arial"/>
          <w:i/>
          <w:iCs/>
          <w:color w:val="000000"/>
          <w:lang w:eastAsia="sr-Latn-RS"/>
        </w:rPr>
        <w:t>q</w:t>
      </w:r>
      <w:r w:rsidRPr="00B03342">
        <w:rPr>
          <w:rFonts w:ascii="Arial" w:hAnsi="Arial" w:cs="Arial"/>
          <w:color w:val="000000"/>
          <w:vertAlign w:val="subscript"/>
          <w:lang w:eastAsia="sr-Latn-RS"/>
        </w:rPr>
        <w:t>mp</w:t>
      </w:r>
      <w:r w:rsidRPr="00B03342">
        <w:rPr>
          <w:rFonts w:ascii="Arial" w:hAnsi="Arial" w:cs="Arial"/>
          <w:i/>
          <w:iCs/>
          <w:color w:val="000000"/>
          <w:lang w:eastAsia="sr-Latn-RS"/>
        </w:rPr>
        <w:t> </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2D84544" wp14:editId="3DE5EC00">
            <wp:extent cx="5057140" cy="564515"/>
            <wp:effectExtent l="0" t="0" r="0" b="0"/>
            <wp:docPr id="80" name="Picture 80" descr="A mathematical formula expressing q_mCe as a function of concentrations of CO2 and THC, molecular weights, and other vari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 mathematical formula expressing q_mCe as a function of concentrations of CO2 and THC, molecular weights, and other variables.&#10;&#10;Description generated by AI"/>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2"/>
        <w:gridCol w:w="189"/>
        <w:gridCol w:w="941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разређеном издувном гасу на излазу из тунела за разређивање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CO2,a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влажна концентрација CO</w:t>
            </w:r>
            <w:r w:rsidRPr="00B03342">
              <w:rPr>
                <w:rFonts w:ascii="Arial" w:hAnsi="Arial" w:cs="Arial"/>
                <w:vertAlign w:val="subscript"/>
                <w:lang w:eastAsia="sr-Latn-RS"/>
              </w:rPr>
              <w:t>2</w:t>
            </w:r>
            <w:r w:rsidRPr="00B03342">
              <w:rPr>
                <w:rFonts w:ascii="Arial" w:hAnsi="Arial" w:cs="Arial"/>
                <w:lang w:eastAsia="sr-Latn-RS"/>
              </w:rPr>
              <w:t>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THC(C1),d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THC(C1) у разређеном издувном гасу на излазу из тунела за разређивање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THC(C1),a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концентрација THC(C1)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lang w:eastAsia="sr-Latn-RS"/>
              </w:rPr>
              <w:t> </w:t>
            </w:r>
            <w:r w:rsidRPr="00B03342">
              <w:rPr>
                <w:rFonts w:ascii="Arial" w:hAnsi="Arial" w:cs="Arial"/>
                <w:vertAlign w:val="subscript"/>
                <w:lang w:eastAsia="sr-Latn-RS"/>
              </w:rPr>
              <w:t>CO,d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концентрација CO у разређеном издувном гасу на излазу из тунела за разређивање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c</w:t>
            </w:r>
            <w:r w:rsidRPr="00B03342">
              <w:rPr>
                <w:rFonts w:ascii="Arial" w:hAnsi="Arial" w:cs="Arial"/>
                <w:lang w:eastAsia="sr-Latn-RS"/>
              </w:rPr>
              <w:t> </w:t>
            </w:r>
            <w:r w:rsidRPr="00B03342">
              <w:rPr>
                <w:rFonts w:ascii="Arial" w:hAnsi="Arial" w:cs="Arial"/>
                <w:vertAlign w:val="subscript"/>
                <w:lang w:eastAsia="sr-Latn-RS"/>
              </w:rPr>
              <w:t>CO,a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влажна концентрација CO у околном ваздуху [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разређеног узорка у систему за разређивање делимичног протокa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масени проток издувних гасoва на влажној основи[kg/s]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w:t>
            </w:r>
            <w:r w:rsidRPr="00B03342">
              <w:rPr>
                <w:rFonts w:ascii="Arial" w:hAnsi="Arial" w:cs="Arial"/>
                <w:i/>
                <w:iCs/>
                <w:lang w:eastAsia="sr-Latn-RS"/>
              </w:rPr>
              <w:t> </w:t>
            </w:r>
            <w:r w:rsidRPr="00B03342">
              <w:rPr>
                <w:rFonts w:ascii="Arial" w:hAnsi="Arial" w:cs="Arial"/>
                <w:vertAlign w:val="subscript"/>
                <w:lang w:eastAsia="sr-Latn-RS"/>
              </w:rPr>
              <w:t>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проток узорка издувног гасa у систем за разређивање делимичног протокa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lang w:eastAsia="sr-Latn-RS"/>
              </w:rPr>
              <w:t> </w:t>
            </w:r>
            <w:r w:rsidRPr="00B03342">
              <w:rPr>
                <w:rFonts w:ascii="Arial" w:hAnsi="Arial" w:cs="Arial"/>
                <w:vertAlign w:val="subscript"/>
                <w:lang w:eastAsia="sr-Latn-RS"/>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моларна маса издувног гасa [g/mol]</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се CO</w:t>
      </w:r>
      <w:r w:rsidRPr="00B03342">
        <w:rPr>
          <w:rFonts w:ascii="Arial" w:hAnsi="Arial" w:cs="Arial"/>
          <w:color w:val="000000"/>
          <w:vertAlign w:val="subscript"/>
          <w:lang w:eastAsia="sr-Latn-RS"/>
        </w:rPr>
        <w:t>2</w:t>
      </w:r>
      <w:r w:rsidRPr="00B03342">
        <w:rPr>
          <w:rFonts w:ascii="Arial" w:hAnsi="Arial" w:cs="Arial"/>
          <w:color w:val="000000"/>
          <w:lang w:eastAsia="sr-Latn-RS"/>
        </w:rPr>
        <w:t> или CO мере на сувоj основи, морају се претворити у влажну основу у складу с тачком 2.1.3. или тачком 3.5.2.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Обрачун моларне масе издувног гасa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Моларна маса издувног гасa рачуна се у складу с једначином (7-13) (види тачку 2.1.5.2.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Уместо тогa, могу се употребљавати следеће моларне масе издувног гасa:</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(дизел)= 28,9 g/mol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(UNP)= 28,6 g/mol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(природни гас/биометан)= 28,3 g/mol</w:t>
      </w:r>
    </w:p>
    <w:p w:rsidR="00DA0CD9" w:rsidRPr="00B03342" w:rsidRDefault="00DA0CD9" w:rsidP="00DA0CD9">
      <w:pPr>
        <w:ind w:firstLine="480"/>
        <w:rPr>
          <w:rFonts w:ascii="Arial" w:hAnsi="Arial" w:cs="Arial"/>
          <w:color w:val="000000"/>
          <w:lang w:eastAsia="sr-Latn-RS"/>
        </w:rPr>
      </w:pPr>
      <w:r w:rsidRPr="00B03342">
        <w:rPr>
          <w:rFonts w:ascii="Arial" w:hAnsi="Arial" w:cs="Arial"/>
          <w:i/>
          <w:iCs/>
          <w:color w:val="000000"/>
          <w:lang w:eastAsia="sr-Latn-RS"/>
        </w:rPr>
        <w:t>M</w:t>
      </w:r>
      <w:r w:rsidRPr="00B03342">
        <w:rPr>
          <w:rFonts w:ascii="Arial" w:hAnsi="Arial" w:cs="Arial"/>
          <w:color w:val="000000"/>
          <w:lang w:eastAsia="sr-Latn-RS"/>
        </w:rPr>
        <w:t> </w:t>
      </w:r>
      <w:r w:rsidRPr="00B03342">
        <w:rPr>
          <w:rFonts w:ascii="Arial" w:hAnsi="Arial" w:cs="Arial"/>
          <w:color w:val="000000"/>
          <w:vertAlign w:val="subscript"/>
          <w:lang w:eastAsia="sr-Latn-RS"/>
        </w:rPr>
        <w:t>e</w:t>
      </w:r>
      <w:r w:rsidRPr="00B03342">
        <w:rPr>
          <w:rFonts w:ascii="Arial" w:hAnsi="Arial" w:cs="Arial"/>
          <w:color w:val="000000"/>
          <w:lang w:eastAsia="sr-Latn-RS"/>
        </w:rPr>
        <w:t> (бензин)= 29,0 g/mol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Статистика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Аритметичка средина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Аритметичка средина,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val="en-US"/>
        </w:rPr>
        <w:drawing>
          <wp:inline distT="0" distB="0" distL="0" distR="0" wp14:anchorId="389B973A" wp14:editId="44056F5A">
            <wp:extent cx="151130" cy="222885"/>
            <wp:effectExtent l="0" t="0" r="1270" b="5715"/>
            <wp:docPr id="79" name="Picture 79" descr="A lowercase letter y with a horizontal bar above i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A lowercase letter y with a horizontal bar above it.&#10;&#10;Description generated by AI"/>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1130" cy="222885"/>
                    </a:xfrm>
                    <a:prstGeom prst="rect">
                      <a:avLst/>
                    </a:prstGeom>
                    <a:noFill/>
                    <a:ln>
                      <a:noFill/>
                    </a:ln>
                  </pic:spPr>
                </pic:pic>
              </a:graphicData>
            </a:graphic>
          </wp:inline>
        </w:drawing>
      </w:r>
      <w:r w:rsidRPr="00B03342">
        <w:rPr>
          <w:rFonts w:ascii="Arial" w:hAnsi="Arial" w:cs="Arial"/>
          <w:color w:val="000000"/>
          <w:lang w:eastAsia="sr-Latn-RS"/>
        </w:rPr>
        <w:t>, рачуна се помоћу једначине (7-155):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F8D9D06" wp14:editId="16CDB40B">
            <wp:extent cx="5057140" cy="389890"/>
            <wp:effectExtent l="0" t="0" r="0" b="0"/>
            <wp:docPr id="78" name="Picture 78" descr="The image shows the mathematical formula for the mean, represented as the sum of values divided by the number of valu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The image shows the mathematical formula for the mean, represented as the sum of values divided by the number of values.&#10;&#10;Description generated by AI"/>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Стандардна девијација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Стандардна девијација за узорак без системе грешке (нпр. </w:t>
      </w:r>
      <w:r w:rsidRPr="00B03342">
        <w:rPr>
          <w:rFonts w:ascii="Arial" w:hAnsi="Arial" w:cs="Arial"/>
          <w:i/>
          <w:iCs/>
          <w:color w:val="000000"/>
          <w:lang w:eastAsia="sr-Latn-RS"/>
        </w:rPr>
        <w:t>N</w:t>
      </w:r>
      <w:r w:rsidRPr="00B03342">
        <w:rPr>
          <w:rFonts w:ascii="Arial" w:hAnsi="Arial" w:cs="Arial"/>
          <w:color w:val="000000"/>
          <w:lang w:eastAsia="sr-Latn-RS"/>
        </w:rPr>
        <w:t>–1), σ, рачуна се помоћу једначине (7-156):</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C80BAB2" wp14:editId="2187416B">
            <wp:extent cx="5057140" cy="389890"/>
            <wp:effectExtent l="0" t="0" r="0" b="0"/>
            <wp:docPr id="77" name="Picture 77" descr="The formula shows the calculation of the sample standard deviation using the square root of the sum of squared differences between each data point and the mean, divided by the sample size minus on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The formula shows the calculation of the sample standard deviation using the square root of the sum of squared differences between each data point and the mean, divided by the sample size minus one.&#10;&#10;Description generated by AI"/>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Eфективна вредност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Eфективна средња вредност, </w:t>
      </w:r>
      <w:r w:rsidRPr="00B03342">
        <w:rPr>
          <w:rFonts w:ascii="Arial" w:hAnsi="Arial" w:cs="Arial"/>
          <w:i/>
          <w:iCs/>
          <w:color w:val="000000"/>
          <w:lang w:eastAsia="sr-Latn-RS"/>
        </w:rPr>
        <w:t>rms</w:t>
      </w:r>
      <w:r w:rsidRPr="00B03342">
        <w:rPr>
          <w:rFonts w:ascii="Arial" w:hAnsi="Arial" w:cs="Arial"/>
          <w:color w:val="000000"/>
          <w:lang w:eastAsia="sr-Latn-RS"/>
        </w:rPr>
        <w:t> </w:t>
      </w:r>
      <w:r w:rsidRPr="00B03342">
        <w:rPr>
          <w:rFonts w:ascii="Arial" w:hAnsi="Arial" w:cs="Arial"/>
          <w:color w:val="000000"/>
          <w:vertAlign w:val="subscript"/>
          <w:lang w:eastAsia="sr-Latn-RS"/>
        </w:rPr>
        <w:t>y</w:t>
      </w:r>
      <w:r w:rsidRPr="00B03342">
        <w:rPr>
          <w:rFonts w:ascii="Arial" w:hAnsi="Arial" w:cs="Arial"/>
          <w:color w:val="000000"/>
          <w:lang w:eastAsia="sr-Latn-RS"/>
        </w:rPr>
        <w:t>, рачуна се помоћу једначине (7-157):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CE557FF" wp14:editId="656DBF54">
            <wp:extent cx="5057140" cy="334010"/>
            <wp:effectExtent l="0" t="0" r="0" b="8890"/>
            <wp:docPr id="76" name="Picture 76" descr="The image shows a mathematical formula for root mean square error labeled as equation 7-157.&#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The image shows a mathematical formula for root mean square error labeled as equation 7-157.&#10;&#10;Description generated by AI"/>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4. </w:t>
      </w:r>
      <w:r w:rsidRPr="00B03342">
        <w:rPr>
          <w:rFonts w:ascii="Arial" w:hAnsi="Arial" w:cs="Arial"/>
          <w:i/>
          <w:iCs/>
          <w:color w:val="000000"/>
          <w:lang w:eastAsia="sr-Latn-RS"/>
        </w:rPr>
        <w:t>t</w:t>
      </w:r>
      <w:r w:rsidRPr="00B03342">
        <w:rPr>
          <w:rFonts w:ascii="Arial" w:hAnsi="Arial" w:cs="Arial"/>
          <w:color w:val="000000"/>
          <w:lang w:eastAsia="sr-Latn-RS"/>
        </w:rPr>
        <w:t>-тест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Одређује се ако подаци прођу </w:t>
      </w:r>
      <w:r w:rsidRPr="00B03342">
        <w:rPr>
          <w:rFonts w:ascii="Arial" w:hAnsi="Arial" w:cs="Arial"/>
          <w:i/>
          <w:iCs/>
          <w:color w:val="000000"/>
          <w:lang w:eastAsia="sr-Latn-RS"/>
        </w:rPr>
        <w:t>t</w:t>
      </w:r>
      <w:r w:rsidRPr="00B03342">
        <w:rPr>
          <w:rFonts w:ascii="Arial" w:hAnsi="Arial" w:cs="Arial"/>
          <w:color w:val="000000"/>
          <w:lang w:eastAsia="sr-Latn-RS"/>
        </w:rPr>
        <w:t>–тест помоћу следећих једначина и табеле 7.8.:</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За не упарени </w:t>
      </w:r>
      <w:r w:rsidRPr="00B03342">
        <w:rPr>
          <w:rFonts w:ascii="Arial" w:hAnsi="Arial" w:cs="Arial"/>
          <w:i/>
          <w:iCs/>
          <w:color w:val="000000"/>
          <w:lang w:eastAsia="sr-Latn-RS"/>
        </w:rPr>
        <w:t>t</w:t>
      </w:r>
      <w:r w:rsidRPr="00B03342">
        <w:rPr>
          <w:rFonts w:ascii="Arial" w:hAnsi="Arial" w:cs="Arial"/>
          <w:color w:val="000000"/>
          <w:lang w:eastAsia="sr-Latn-RS"/>
        </w:rPr>
        <w:t>-тест, статистичка вредност </w:t>
      </w:r>
      <w:r w:rsidRPr="00B03342">
        <w:rPr>
          <w:rFonts w:ascii="Arial" w:hAnsi="Arial" w:cs="Arial"/>
          <w:i/>
          <w:iCs/>
          <w:color w:val="000000"/>
          <w:lang w:eastAsia="sr-Latn-RS"/>
        </w:rPr>
        <w:t>t</w:t>
      </w:r>
      <w:r w:rsidRPr="00B03342">
        <w:rPr>
          <w:rFonts w:ascii="Arial" w:hAnsi="Arial" w:cs="Arial"/>
          <w:color w:val="000000"/>
          <w:lang w:eastAsia="sr-Latn-RS"/>
        </w:rPr>
        <w:t> и припадајући број степени слободе, </w:t>
      </w:r>
      <w:r w:rsidRPr="00B03342">
        <w:rPr>
          <w:rFonts w:ascii="Arial" w:hAnsi="Arial" w:cs="Arial"/>
          <w:i/>
          <w:iCs/>
          <w:color w:val="000000"/>
          <w:lang w:eastAsia="sr-Latn-RS"/>
        </w:rPr>
        <w:t>v</w:t>
      </w:r>
      <w:r w:rsidRPr="00B03342">
        <w:rPr>
          <w:rFonts w:ascii="Arial" w:hAnsi="Arial" w:cs="Arial"/>
          <w:color w:val="000000"/>
          <w:lang w:eastAsia="sr-Latn-RS"/>
        </w:rPr>
        <w:t>, рачунаjу се помоћу једначина (7-158) и (7-159):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E51F6B9" wp14:editId="6972DEB0">
            <wp:extent cx="5057140" cy="954405"/>
            <wp:effectExtent l="0" t="0" r="0" b="0"/>
            <wp:docPr id="75" name="Picture 75" descr="The image shows two mathematical formulas labeled 7-158 and 7-159 involving variables t and y with fractions, square roots, and summ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The image shows two mathematical formulas labeled 7-158 and 7-159 involving variables t and y with fractions, square roots, and summations.&#10;&#10;Description generated by AI"/>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057140" cy="954405"/>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За упарени </w:t>
      </w:r>
      <w:r w:rsidRPr="00B03342">
        <w:rPr>
          <w:rFonts w:ascii="Arial" w:hAnsi="Arial" w:cs="Arial"/>
          <w:i/>
          <w:iCs/>
          <w:color w:val="000000"/>
          <w:lang w:eastAsia="sr-Latn-RS"/>
        </w:rPr>
        <w:t>t</w:t>
      </w:r>
      <w:r w:rsidRPr="00B03342">
        <w:rPr>
          <w:rFonts w:ascii="Arial" w:hAnsi="Arial" w:cs="Arial"/>
          <w:color w:val="000000"/>
          <w:lang w:eastAsia="sr-Latn-RS"/>
        </w:rPr>
        <w:t>-тест, статистичка вредност </w:t>
      </w:r>
      <w:r w:rsidRPr="00B03342">
        <w:rPr>
          <w:rFonts w:ascii="Arial" w:hAnsi="Arial" w:cs="Arial"/>
          <w:i/>
          <w:iCs/>
          <w:color w:val="000000"/>
          <w:lang w:eastAsia="sr-Latn-RS"/>
        </w:rPr>
        <w:t>t</w:t>
      </w:r>
      <w:r w:rsidRPr="00B03342">
        <w:rPr>
          <w:rFonts w:ascii="Arial" w:hAnsi="Arial" w:cs="Arial"/>
          <w:color w:val="000000"/>
          <w:lang w:eastAsia="sr-Latn-RS"/>
        </w:rPr>
        <w:t> и припадајући број степени слободе, </w:t>
      </w:r>
      <w:r w:rsidRPr="00B03342">
        <w:rPr>
          <w:rFonts w:ascii="Arial" w:hAnsi="Arial" w:cs="Arial"/>
          <w:i/>
          <w:iCs/>
          <w:color w:val="000000"/>
          <w:lang w:eastAsia="sr-Latn-RS"/>
        </w:rPr>
        <w:t>v</w:t>
      </w:r>
      <w:r w:rsidRPr="00B03342">
        <w:rPr>
          <w:rFonts w:ascii="Arial" w:hAnsi="Arial" w:cs="Arial"/>
          <w:color w:val="000000"/>
          <w:lang w:eastAsia="sr-Latn-RS"/>
        </w:rPr>
        <w:t>, обрачунаjу се помоћу једначине (7-160), уз напомену да су ε</w:t>
      </w:r>
      <w:r w:rsidRPr="00B03342">
        <w:rPr>
          <w:rFonts w:ascii="Arial" w:hAnsi="Arial" w:cs="Arial"/>
          <w:i/>
          <w:iCs/>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грешке (нпр. разлике) између сваког пара од </w:t>
      </w:r>
      <w:r w:rsidRPr="00B03342">
        <w:rPr>
          <w:rFonts w:ascii="Arial" w:hAnsi="Arial" w:cs="Arial"/>
          <w:i/>
          <w:iCs/>
          <w:color w:val="000000"/>
          <w:lang w:eastAsia="sr-Latn-RS"/>
        </w:rPr>
        <w:t>y</w:t>
      </w:r>
      <w:r w:rsidRPr="00B03342">
        <w:rPr>
          <w:rFonts w:ascii="Arial" w:hAnsi="Arial" w:cs="Arial"/>
          <w:color w:val="000000"/>
          <w:lang w:eastAsia="sr-Latn-RS"/>
        </w:rPr>
        <w:t> </w:t>
      </w:r>
      <w:r w:rsidRPr="00B03342">
        <w:rPr>
          <w:rFonts w:ascii="Arial" w:hAnsi="Arial" w:cs="Arial"/>
          <w:color w:val="000000"/>
          <w:vertAlign w:val="subscript"/>
          <w:lang w:eastAsia="sr-Latn-RS"/>
        </w:rPr>
        <w:t>ref</w:t>
      </w:r>
      <w:r w:rsidRPr="00B03342">
        <w:rPr>
          <w:rFonts w:ascii="Arial" w:hAnsi="Arial" w:cs="Arial"/>
          <w:color w:val="000000"/>
          <w:lang w:eastAsia="sr-Latn-RS"/>
        </w:rPr>
        <w:t> </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и </w:t>
      </w:r>
      <w:r w:rsidRPr="00B03342">
        <w:rPr>
          <w:rFonts w:ascii="Arial" w:hAnsi="Arial" w:cs="Arial"/>
          <w:i/>
          <w:iCs/>
          <w:color w:val="000000"/>
          <w:lang w:eastAsia="sr-Latn-RS"/>
        </w:rPr>
        <w:t>y</w:t>
      </w:r>
      <w:r w:rsidRPr="00B03342">
        <w:rPr>
          <w:rFonts w:ascii="Arial" w:hAnsi="Arial" w:cs="Arial"/>
          <w:color w:val="000000"/>
          <w:vertAlign w:val="subscript"/>
          <w:lang w:eastAsia="sr-Latn-RS"/>
        </w:rPr>
        <w:t>i</w:t>
      </w:r>
      <w:r w:rsidRPr="00B03342">
        <w:rPr>
          <w:rFonts w:ascii="Arial" w:hAnsi="Arial" w:cs="Arial"/>
          <w:i/>
          <w:iCs/>
          <w:color w:val="000000"/>
          <w:lang w:eastAsia="sr-Latn-RS"/>
        </w:rPr>
        <w:t> </w:t>
      </w:r>
      <w:r w:rsidRPr="00B03342">
        <w:rPr>
          <w:rFonts w:ascii="Arial" w:hAnsi="Arial" w:cs="Arial"/>
          <w:color w:val="000000"/>
          <w:lang w:eastAsia="sr-Latn-RS"/>
        </w:rPr>
        <w:t>:</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6D5EAB7" wp14:editId="079A5416">
            <wp:extent cx="5057140" cy="389890"/>
            <wp:effectExtent l="0" t="0" r="0" b="0"/>
            <wp:docPr id="74" name="Picture 74" descr="A mathematical formula for the t-statistic is shown with variables including the sample mean, population mean, sample size, sample standard deviation, and degrees of freedo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 mathematical formula for the t-statistic is shown with variables including the sample mean, population mean, sample size, sample standard deviation, and degrees of freedom.&#10;&#10;Description generated by AI"/>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(в) Табела 7.8. употребљава се се за упоређивање вредности </w:t>
      </w:r>
      <w:r w:rsidRPr="00B03342">
        <w:rPr>
          <w:rFonts w:ascii="Arial" w:hAnsi="Arial" w:cs="Arial"/>
          <w:i/>
          <w:iCs/>
          <w:color w:val="000000"/>
          <w:lang w:eastAsia="sr-Latn-RS"/>
        </w:rPr>
        <w:t>t</w:t>
      </w:r>
      <w:r w:rsidRPr="00B03342">
        <w:rPr>
          <w:rFonts w:ascii="Arial" w:hAnsi="Arial" w:cs="Arial"/>
          <w:color w:val="000000"/>
          <w:lang w:eastAsia="sr-Latn-RS"/>
        </w:rPr>
        <w:t> s </w:t>
      </w:r>
      <w:r w:rsidRPr="00B03342">
        <w:rPr>
          <w:rFonts w:ascii="Arial" w:hAnsi="Arial" w:cs="Arial"/>
          <w:i/>
          <w:iCs/>
          <w:color w:val="000000"/>
          <w:lang w:eastAsia="sr-Latn-RS"/>
        </w:rPr>
        <w:t>t</w:t>
      </w:r>
      <w:r w:rsidRPr="00B03342">
        <w:rPr>
          <w:rFonts w:ascii="Arial" w:hAnsi="Arial" w:cs="Arial"/>
          <w:color w:val="000000"/>
          <w:lang w:eastAsia="sr-Latn-RS"/>
        </w:rPr>
        <w:t> </w:t>
      </w:r>
      <w:r w:rsidRPr="00B03342">
        <w:rPr>
          <w:rFonts w:ascii="Arial" w:hAnsi="Arial" w:cs="Arial"/>
          <w:color w:val="000000"/>
          <w:vertAlign w:val="subscript"/>
          <w:lang w:eastAsia="sr-Latn-RS"/>
        </w:rPr>
        <w:t>crit</w:t>
      </w:r>
      <w:r w:rsidRPr="00B03342">
        <w:rPr>
          <w:rFonts w:ascii="Arial" w:hAnsi="Arial" w:cs="Arial"/>
          <w:color w:val="000000"/>
          <w:lang w:eastAsia="sr-Latn-RS"/>
        </w:rPr>
        <w:t> из табеле у односу на број степени слободе. Ако je </w:t>
      </w:r>
      <w:r w:rsidRPr="00B03342">
        <w:rPr>
          <w:rFonts w:ascii="Arial" w:hAnsi="Arial" w:cs="Arial"/>
          <w:i/>
          <w:iCs/>
          <w:color w:val="000000"/>
          <w:lang w:eastAsia="sr-Latn-RS"/>
        </w:rPr>
        <w:t>t</w:t>
      </w:r>
      <w:r w:rsidRPr="00B03342">
        <w:rPr>
          <w:rFonts w:ascii="Arial" w:hAnsi="Arial" w:cs="Arial"/>
          <w:color w:val="000000"/>
          <w:lang w:eastAsia="sr-Latn-RS"/>
        </w:rPr>
        <w:t> мање од </w:t>
      </w:r>
      <w:r w:rsidRPr="00B03342">
        <w:rPr>
          <w:rFonts w:ascii="Arial" w:hAnsi="Arial" w:cs="Arial"/>
          <w:i/>
          <w:iCs/>
          <w:color w:val="000000"/>
          <w:lang w:eastAsia="sr-Latn-RS"/>
        </w:rPr>
        <w:t>t</w:t>
      </w:r>
      <w:r w:rsidRPr="00B03342">
        <w:rPr>
          <w:rFonts w:ascii="Arial" w:hAnsi="Arial" w:cs="Arial"/>
          <w:color w:val="000000"/>
          <w:lang w:eastAsia="sr-Latn-RS"/>
        </w:rPr>
        <w:t> </w:t>
      </w:r>
      <w:r w:rsidRPr="00B03342">
        <w:rPr>
          <w:rFonts w:ascii="Arial" w:hAnsi="Arial" w:cs="Arial"/>
          <w:color w:val="000000"/>
          <w:vertAlign w:val="subscript"/>
          <w:lang w:eastAsia="sr-Latn-RS"/>
        </w:rPr>
        <w:t>crit</w:t>
      </w:r>
      <w:r w:rsidRPr="00B03342">
        <w:rPr>
          <w:rFonts w:ascii="Arial" w:hAnsi="Arial" w:cs="Arial"/>
          <w:color w:val="000000"/>
          <w:lang w:eastAsia="sr-Latn-RS"/>
        </w:rPr>
        <w:t>, тада </w:t>
      </w:r>
      <w:r w:rsidRPr="00B03342">
        <w:rPr>
          <w:rFonts w:ascii="Arial" w:hAnsi="Arial" w:cs="Arial"/>
          <w:i/>
          <w:iCs/>
          <w:color w:val="000000"/>
          <w:lang w:eastAsia="sr-Latn-RS"/>
        </w:rPr>
        <w:t>t</w:t>
      </w:r>
      <w:r w:rsidRPr="00B03342">
        <w:rPr>
          <w:rFonts w:ascii="Arial" w:hAnsi="Arial" w:cs="Arial"/>
          <w:color w:val="000000"/>
          <w:lang w:eastAsia="sr-Latn-RS"/>
        </w:rPr>
        <w:t> пролази </w:t>
      </w:r>
      <w:r w:rsidRPr="00B03342">
        <w:rPr>
          <w:rFonts w:ascii="Arial" w:hAnsi="Arial" w:cs="Arial"/>
          <w:i/>
          <w:iCs/>
          <w:color w:val="000000"/>
          <w:lang w:eastAsia="sr-Latn-RS"/>
        </w:rPr>
        <w:t>t</w:t>
      </w:r>
      <w:r w:rsidRPr="00B03342">
        <w:rPr>
          <w:rFonts w:ascii="Arial" w:hAnsi="Arial" w:cs="Arial"/>
          <w:color w:val="000000"/>
          <w:lang w:eastAsia="sr-Latn-RS"/>
        </w:rPr>
        <w:t>-тест.</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7.8. Критичне </w:t>
      </w:r>
      <w:r w:rsidRPr="00B03342">
        <w:rPr>
          <w:rFonts w:ascii="Arial" w:hAnsi="Arial" w:cs="Arial"/>
          <w:i/>
          <w:iCs/>
          <w:color w:val="000000"/>
          <w:lang w:eastAsia="sr-Latn-RS"/>
        </w:rPr>
        <w:t>t</w:t>
      </w:r>
      <w:r w:rsidRPr="00B03342">
        <w:rPr>
          <w:rFonts w:ascii="Arial" w:hAnsi="Arial" w:cs="Arial"/>
          <w:color w:val="000000"/>
          <w:lang w:eastAsia="sr-Latn-RS"/>
        </w:rPr>
        <w:t> вредности у односу на број степени слободе, </w:t>
      </w:r>
      <w:r w:rsidRPr="00B03342">
        <w:rPr>
          <w:rFonts w:ascii="Arial" w:hAnsi="Arial" w:cs="Arial"/>
          <w:i/>
          <w:iCs/>
          <w:color w:val="000000"/>
          <w:lang w:eastAsia="sr-Latn-RS"/>
        </w:rPr>
        <w:t>v</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11"/>
        <w:gridCol w:w="3001"/>
        <w:gridCol w:w="358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v</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Поузданост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12,706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4,303</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3,182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2,447</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2,145</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2,056</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50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2,009</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1,667</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1,984</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1 000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утврђивање вредности које овде нису приказане употребљава се линеарна интерполација.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5. </w:t>
      </w:r>
      <w:r w:rsidRPr="00B03342">
        <w:rPr>
          <w:rFonts w:ascii="Arial" w:hAnsi="Arial" w:cs="Arial"/>
          <w:i/>
          <w:iCs/>
          <w:color w:val="000000"/>
          <w:lang w:eastAsia="sr-Latn-RS"/>
        </w:rPr>
        <w:t>F</w:t>
      </w:r>
      <w:r w:rsidRPr="00B03342">
        <w:rPr>
          <w:rFonts w:ascii="Arial" w:hAnsi="Arial" w:cs="Arial"/>
          <w:color w:val="000000"/>
          <w:lang w:eastAsia="sr-Latn-RS"/>
        </w:rPr>
        <w:t>-тест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Статистичка вредност </w:t>
      </w:r>
      <w:r w:rsidRPr="00B03342">
        <w:rPr>
          <w:rFonts w:ascii="Arial" w:hAnsi="Arial" w:cs="Arial"/>
          <w:i/>
          <w:iCs/>
          <w:color w:val="000000"/>
          <w:lang w:eastAsia="sr-Latn-RS"/>
        </w:rPr>
        <w:t>F</w:t>
      </w:r>
      <w:r w:rsidRPr="00B03342">
        <w:rPr>
          <w:rFonts w:ascii="Arial" w:hAnsi="Arial" w:cs="Arial"/>
          <w:color w:val="000000"/>
          <w:lang w:eastAsia="sr-Latn-RS"/>
        </w:rPr>
        <w:t> рачуна се помоћу једначине (7-161):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6988F28" wp14:editId="65B8D017">
            <wp:extent cx="5057140" cy="389890"/>
            <wp:effectExtent l="0" t="0" r="0" b="0"/>
            <wp:docPr id="73" name="Picture 73" descr="A mathematical formula showing Fy as the ratio of sigma squared y to sigma squared ref with a reference to equation 7-16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A mathematical formula showing Fy as the ratio of sigma squared y to sigma squared ref with a reference to equation 7-161.&#10;&#10;Description generated by AI"/>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(a) За </w:t>
      </w:r>
      <w:r w:rsidRPr="00B03342">
        <w:rPr>
          <w:rFonts w:ascii="Arial" w:hAnsi="Arial" w:cs="Arial"/>
          <w:i/>
          <w:iCs/>
          <w:color w:val="000000"/>
          <w:lang w:eastAsia="sr-Latn-RS"/>
        </w:rPr>
        <w:t>F</w:t>
      </w:r>
      <w:r w:rsidRPr="00B03342">
        <w:rPr>
          <w:rFonts w:ascii="Arial" w:hAnsi="Arial" w:cs="Arial"/>
          <w:color w:val="000000"/>
          <w:lang w:eastAsia="sr-Latn-RS"/>
        </w:rPr>
        <w:t>-тест с 90-постотном поузданошћу употребљава се табела 7.9. за упоређивање вредности </w:t>
      </w:r>
      <w:r w:rsidRPr="00B03342">
        <w:rPr>
          <w:rFonts w:ascii="Arial" w:hAnsi="Arial" w:cs="Arial"/>
          <w:i/>
          <w:iCs/>
          <w:color w:val="000000"/>
          <w:lang w:eastAsia="sr-Latn-RS"/>
        </w:rPr>
        <w:t>F</w:t>
      </w:r>
      <w:r w:rsidRPr="00B03342">
        <w:rPr>
          <w:rFonts w:ascii="Arial" w:hAnsi="Arial" w:cs="Arial"/>
          <w:color w:val="000000"/>
          <w:lang w:eastAsia="sr-Latn-RS"/>
        </w:rPr>
        <w:t> и </w:t>
      </w:r>
      <w:r w:rsidRPr="00B03342">
        <w:rPr>
          <w:rFonts w:ascii="Arial" w:hAnsi="Arial" w:cs="Arial"/>
          <w:i/>
          <w:iCs/>
          <w:color w:val="000000"/>
          <w:lang w:eastAsia="sr-Latn-RS"/>
        </w:rPr>
        <w:t>F</w:t>
      </w:r>
      <w:r w:rsidRPr="00B03342">
        <w:rPr>
          <w:rFonts w:ascii="Arial" w:hAnsi="Arial" w:cs="Arial"/>
          <w:color w:val="000000"/>
          <w:lang w:eastAsia="sr-Latn-RS"/>
        </w:rPr>
        <w:t> </w:t>
      </w:r>
      <w:r w:rsidRPr="00B03342">
        <w:rPr>
          <w:rFonts w:ascii="Arial" w:hAnsi="Arial" w:cs="Arial"/>
          <w:color w:val="000000"/>
          <w:vertAlign w:val="subscript"/>
          <w:lang w:eastAsia="sr-Latn-RS"/>
        </w:rPr>
        <w:t>crit90</w:t>
      </w:r>
      <w:r w:rsidRPr="00B03342">
        <w:rPr>
          <w:rFonts w:ascii="Arial" w:hAnsi="Arial" w:cs="Arial"/>
          <w:color w:val="000000"/>
          <w:lang w:eastAsia="sr-Latn-RS"/>
        </w:rPr>
        <w:t> наведених у табели у односу на (</w:t>
      </w:r>
      <w:r w:rsidRPr="00B03342">
        <w:rPr>
          <w:rFonts w:ascii="Arial" w:hAnsi="Arial" w:cs="Arial"/>
          <w:i/>
          <w:iCs/>
          <w:color w:val="000000"/>
          <w:lang w:eastAsia="sr-Latn-RS"/>
        </w:rPr>
        <w:t>N</w:t>
      </w:r>
      <w:r w:rsidRPr="00B03342">
        <w:rPr>
          <w:rFonts w:ascii="Arial" w:hAnsi="Arial" w:cs="Arial"/>
          <w:color w:val="000000"/>
          <w:lang w:eastAsia="sr-Latn-RS"/>
        </w:rPr>
        <w:t>–1) и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ref</w:t>
      </w:r>
      <w:r w:rsidRPr="00B03342">
        <w:rPr>
          <w:rFonts w:ascii="Arial" w:hAnsi="Arial" w:cs="Arial"/>
          <w:color w:val="000000"/>
          <w:lang w:eastAsia="sr-Latn-RS"/>
        </w:rPr>
        <w:t>–1). Ако je вредност </w:t>
      </w:r>
      <w:r w:rsidRPr="00B03342">
        <w:rPr>
          <w:rFonts w:ascii="Arial" w:hAnsi="Arial" w:cs="Arial"/>
          <w:i/>
          <w:iCs/>
          <w:color w:val="000000"/>
          <w:lang w:eastAsia="sr-Latn-RS"/>
        </w:rPr>
        <w:t>F</w:t>
      </w:r>
      <w:r w:rsidRPr="00B03342">
        <w:rPr>
          <w:rFonts w:ascii="Arial" w:hAnsi="Arial" w:cs="Arial"/>
          <w:color w:val="000000"/>
          <w:lang w:eastAsia="sr-Latn-RS"/>
        </w:rPr>
        <w:t> мања од </w:t>
      </w:r>
      <w:r w:rsidRPr="00B03342">
        <w:rPr>
          <w:rFonts w:ascii="Arial" w:hAnsi="Arial" w:cs="Arial"/>
          <w:i/>
          <w:iCs/>
          <w:color w:val="000000"/>
          <w:lang w:eastAsia="sr-Latn-RS"/>
        </w:rPr>
        <w:t>F</w:t>
      </w:r>
      <w:r w:rsidRPr="00B03342">
        <w:rPr>
          <w:rFonts w:ascii="Arial" w:hAnsi="Arial" w:cs="Arial"/>
          <w:color w:val="000000"/>
          <w:lang w:eastAsia="sr-Latn-RS"/>
        </w:rPr>
        <w:t> </w:t>
      </w:r>
      <w:r w:rsidRPr="00B03342">
        <w:rPr>
          <w:rFonts w:ascii="Arial" w:hAnsi="Arial" w:cs="Arial"/>
          <w:color w:val="000000"/>
          <w:vertAlign w:val="subscript"/>
          <w:lang w:eastAsia="sr-Latn-RS"/>
        </w:rPr>
        <w:t>crit90</w:t>
      </w:r>
      <w:r w:rsidRPr="00B03342">
        <w:rPr>
          <w:rFonts w:ascii="Arial" w:hAnsi="Arial" w:cs="Arial"/>
          <w:color w:val="000000"/>
          <w:lang w:eastAsia="sr-Latn-RS"/>
        </w:rPr>
        <w:t>, тада </w:t>
      </w:r>
      <w:r w:rsidRPr="00B03342">
        <w:rPr>
          <w:rFonts w:ascii="Arial" w:hAnsi="Arial" w:cs="Arial"/>
          <w:i/>
          <w:iCs/>
          <w:color w:val="000000"/>
          <w:lang w:eastAsia="sr-Latn-RS"/>
        </w:rPr>
        <w:t>F</w:t>
      </w:r>
      <w:r w:rsidRPr="00B03342">
        <w:rPr>
          <w:rFonts w:ascii="Arial" w:hAnsi="Arial" w:cs="Arial"/>
          <w:color w:val="000000"/>
          <w:lang w:eastAsia="sr-Latn-RS"/>
        </w:rPr>
        <w:t> пролази </w:t>
      </w:r>
      <w:r w:rsidRPr="00B03342">
        <w:rPr>
          <w:rFonts w:ascii="Arial" w:hAnsi="Arial" w:cs="Arial"/>
          <w:i/>
          <w:iCs/>
          <w:color w:val="000000"/>
          <w:lang w:eastAsia="sr-Latn-RS"/>
        </w:rPr>
        <w:t>F</w:t>
      </w:r>
      <w:r w:rsidRPr="00B03342">
        <w:rPr>
          <w:rFonts w:ascii="Arial" w:hAnsi="Arial" w:cs="Arial"/>
          <w:color w:val="000000"/>
          <w:lang w:eastAsia="sr-Latn-RS"/>
        </w:rPr>
        <w:t>-тест при 90-постотној поузданости.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За </w:t>
      </w:r>
      <w:r w:rsidRPr="00B03342">
        <w:rPr>
          <w:rFonts w:ascii="Arial" w:hAnsi="Arial" w:cs="Arial"/>
          <w:i/>
          <w:iCs/>
          <w:color w:val="000000"/>
          <w:lang w:eastAsia="sr-Latn-RS"/>
        </w:rPr>
        <w:t>F</w:t>
      </w:r>
      <w:r w:rsidRPr="00B03342">
        <w:rPr>
          <w:rFonts w:ascii="Arial" w:hAnsi="Arial" w:cs="Arial"/>
          <w:color w:val="000000"/>
          <w:lang w:eastAsia="sr-Latn-RS"/>
        </w:rPr>
        <w:t>-тест с 95-постотном поузданошћу употребљава се табела 7.10. за упоређивање вредности </w:t>
      </w:r>
      <w:r w:rsidRPr="00B03342">
        <w:rPr>
          <w:rFonts w:ascii="Arial" w:hAnsi="Arial" w:cs="Arial"/>
          <w:i/>
          <w:iCs/>
          <w:color w:val="000000"/>
          <w:lang w:eastAsia="sr-Latn-RS"/>
        </w:rPr>
        <w:t>F</w:t>
      </w:r>
      <w:r w:rsidRPr="00B03342">
        <w:rPr>
          <w:rFonts w:ascii="Arial" w:hAnsi="Arial" w:cs="Arial"/>
          <w:color w:val="000000"/>
          <w:lang w:eastAsia="sr-Latn-RS"/>
        </w:rPr>
        <w:t> и </w:t>
      </w:r>
      <w:r w:rsidRPr="00B03342">
        <w:rPr>
          <w:rFonts w:ascii="Arial" w:hAnsi="Arial" w:cs="Arial"/>
          <w:i/>
          <w:iCs/>
          <w:color w:val="000000"/>
          <w:lang w:eastAsia="sr-Latn-RS"/>
        </w:rPr>
        <w:t>F</w:t>
      </w:r>
      <w:r w:rsidRPr="00B03342">
        <w:rPr>
          <w:rFonts w:ascii="Arial" w:hAnsi="Arial" w:cs="Arial"/>
          <w:color w:val="000000"/>
          <w:lang w:eastAsia="sr-Latn-RS"/>
        </w:rPr>
        <w:t> </w:t>
      </w:r>
      <w:r w:rsidRPr="00B03342">
        <w:rPr>
          <w:rFonts w:ascii="Arial" w:hAnsi="Arial" w:cs="Arial"/>
          <w:color w:val="000000"/>
          <w:vertAlign w:val="subscript"/>
          <w:lang w:eastAsia="sr-Latn-RS"/>
        </w:rPr>
        <w:t>crit95</w:t>
      </w:r>
      <w:r w:rsidRPr="00B03342">
        <w:rPr>
          <w:rFonts w:ascii="Arial" w:hAnsi="Arial" w:cs="Arial"/>
          <w:color w:val="000000"/>
          <w:lang w:eastAsia="sr-Latn-RS"/>
        </w:rPr>
        <w:t> наведених у табели у односу на (</w:t>
      </w:r>
      <w:r w:rsidRPr="00B03342">
        <w:rPr>
          <w:rFonts w:ascii="Arial" w:hAnsi="Arial" w:cs="Arial"/>
          <w:i/>
          <w:iCs/>
          <w:color w:val="000000"/>
          <w:lang w:eastAsia="sr-Latn-RS"/>
        </w:rPr>
        <w:t>N</w:t>
      </w:r>
      <w:r w:rsidRPr="00B03342">
        <w:rPr>
          <w:rFonts w:ascii="Arial" w:hAnsi="Arial" w:cs="Arial"/>
          <w:color w:val="000000"/>
          <w:lang w:eastAsia="sr-Latn-RS"/>
        </w:rPr>
        <w:t>–1) и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ref</w:t>
      </w:r>
      <w:r w:rsidRPr="00B03342">
        <w:rPr>
          <w:rFonts w:ascii="Arial" w:hAnsi="Arial" w:cs="Arial"/>
          <w:color w:val="000000"/>
          <w:lang w:eastAsia="sr-Latn-RS"/>
        </w:rPr>
        <w:t>–1). Ако je вредност </w:t>
      </w:r>
      <w:r w:rsidRPr="00B03342">
        <w:rPr>
          <w:rFonts w:ascii="Arial" w:hAnsi="Arial" w:cs="Arial"/>
          <w:i/>
          <w:iCs/>
          <w:color w:val="000000"/>
          <w:lang w:eastAsia="sr-Latn-RS"/>
        </w:rPr>
        <w:t>F</w:t>
      </w:r>
      <w:r w:rsidRPr="00B03342">
        <w:rPr>
          <w:rFonts w:ascii="Arial" w:hAnsi="Arial" w:cs="Arial"/>
          <w:color w:val="000000"/>
          <w:lang w:eastAsia="sr-Latn-RS"/>
        </w:rPr>
        <w:t> мања од </w:t>
      </w:r>
      <w:r w:rsidRPr="00B03342">
        <w:rPr>
          <w:rFonts w:ascii="Arial" w:hAnsi="Arial" w:cs="Arial"/>
          <w:i/>
          <w:iCs/>
          <w:color w:val="000000"/>
          <w:lang w:eastAsia="sr-Latn-RS"/>
        </w:rPr>
        <w:t>F</w:t>
      </w:r>
      <w:r w:rsidRPr="00B03342">
        <w:rPr>
          <w:rFonts w:ascii="Arial" w:hAnsi="Arial" w:cs="Arial"/>
          <w:color w:val="000000"/>
          <w:lang w:eastAsia="sr-Latn-RS"/>
        </w:rPr>
        <w:t> </w:t>
      </w:r>
      <w:r w:rsidRPr="00B03342">
        <w:rPr>
          <w:rFonts w:ascii="Arial" w:hAnsi="Arial" w:cs="Arial"/>
          <w:color w:val="000000"/>
          <w:vertAlign w:val="subscript"/>
          <w:lang w:eastAsia="sr-Latn-RS"/>
        </w:rPr>
        <w:t>crit95</w:t>
      </w:r>
      <w:r w:rsidRPr="00B03342">
        <w:rPr>
          <w:rFonts w:ascii="Arial" w:hAnsi="Arial" w:cs="Arial"/>
          <w:color w:val="000000"/>
          <w:lang w:eastAsia="sr-Latn-RS"/>
        </w:rPr>
        <w:t>, тада </w:t>
      </w:r>
      <w:r w:rsidRPr="00B03342">
        <w:rPr>
          <w:rFonts w:ascii="Arial" w:hAnsi="Arial" w:cs="Arial"/>
          <w:i/>
          <w:iCs/>
          <w:color w:val="000000"/>
          <w:lang w:eastAsia="sr-Latn-RS"/>
        </w:rPr>
        <w:t>F</w:t>
      </w:r>
      <w:r w:rsidRPr="00B03342">
        <w:rPr>
          <w:rFonts w:ascii="Arial" w:hAnsi="Arial" w:cs="Arial"/>
          <w:color w:val="000000"/>
          <w:lang w:eastAsia="sr-Latn-RS"/>
        </w:rPr>
        <w:t> пролази </w:t>
      </w:r>
      <w:r w:rsidRPr="00B03342">
        <w:rPr>
          <w:rFonts w:ascii="Arial" w:hAnsi="Arial" w:cs="Arial"/>
          <w:i/>
          <w:iCs/>
          <w:color w:val="000000"/>
          <w:lang w:eastAsia="sr-Latn-RS"/>
        </w:rPr>
        <w:t>F</w:t>
      </w:r>
      <w:r w:rsidRPr="00B03342">
        <w:rPr>
          <w:rFonts w:ascii="Arial" w:hAnsi="Arial" w:cs="Arial"/>
          <w:color w:val="000000"/>
          <w:lang w:eastAsia="sr-Latn-RS"/>
        </w:rPr>
        <w:t>-тест при 95-постотној поузданости.</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7-9. Критичне F вредности, F</w:t>
      </w:r>
      <w:r w:rsidRPr="00B03342">
        <w:rPr>
          <w:rFonts w:ascii="Arial" w:hAnsi="Arial" w:cs="Arial"/>
          <w:color w:val="000000"/>
          <w:vertAlign w:val="subscript"/>
          <w:lang w:eastAsia="sr-Latn-RS"/>
        </w:rPr>
        <w:t>crit90</w:t>
      </w:r>
      <w:r w:rsidRPr="00B03342">
        <w:rPr>
          <w:rFonts w:ascii="Arial" w:hAnsi="Arial" w:cs="Arial"/>
          <w:color w:val="000000"/>
          <w:lang w:eastAsia="sr-Latn-RS"/>
        </w:rPr>
        <w:t>, у односу на N – 1 и Nref – 1 при 90-постотној поузданости</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5"/>
        <w:gridCol w:w="538"/>
        <w:gridCol w:w="538"/>
        <w:gridCol w:w="538"/>
        <w:gridCol w:w="538"/>
        <w:gridCol w:w="538"/>
        <w:gridCol w:w="538"/>
        <w:gridCol w:w="538"/>
        <w:gridCol w:w="537"/>
        <w:gridCol w:w="537"/>
        <w:gridCol w:w="537"/>
        <w:gridCol w:w="537"/>
        <w:gridCol w:w="537"/>
        <w:gridCol w:w="537"/>
        <w:gridCol w:w="537"/>
        <w:gridCol w:w="537"/>
        <w:gridCol w:w="537"/>
        <w:gridCol w:w="537"/>
        <w:gridCol w:w="537"/>
        <w:gridCol w:w="680"/>
      </w:tblGrid>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b/>
                <w:bCs/>
                <w:lang w:eastAsia="sr-Latn-RS"/>
              </w:rPr>
              <w:t> – 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120</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1000+</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ref</w:t>
            </w:r>
            <w:r w:rsidRPr="00B03342">
              <w:rPr>
                <w:rFonts w:ascii="Arial" w:hAnsi="Arial" w:cs="Arial"/>
                <w:lang w:eastAsia="sr-Latn-RS"/>
              </w:rPr>
              <w:t> – 1</w:t>
            </w:r>
          </w:p>
        </w:tc>
        <w:tc>
          <w:tcPr>
            <w:tcW w:w="4720" w:type="pct"/>
            <w:gridSpan w:val="19"/>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39,86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49,50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60,70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62,79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63,06</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63,32</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9,392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9,441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9,450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9,483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9,491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5,200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5,143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5,134</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4,010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3,979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3,896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3,870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3,844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3,831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3,804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3,775</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3,761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3,780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3,453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3,339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3,297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3,123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3,105</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3,463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2,871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2,742</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2,722</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2,632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3,113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2,316</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2,293</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2,184</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2,159</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2,082</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2,055</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2,000</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1,972</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1,932</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1,904</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1,876</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1,846</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1,828</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1,787</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1,755</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3,048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1,751</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1,718</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1,719</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1,686</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1,691</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1,666</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1,623</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1,586</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1,604</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1,567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1,587</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1,549</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1,571</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1,533</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2,918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1,557</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1,518</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1,615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1,544</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1,504</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1,569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1,531</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1,491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1,558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1,520</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1,478</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1,616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1,509</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1,467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2,881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1,499</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1,456</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1,425</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1,377</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1,511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1,476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1,437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1,348</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1,291</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1,722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1,482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1,409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1,368</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1,320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1,265</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1,193</w:t>
            </w:r>
          </w:p>
        </w:tc>
      </w:tr>
      <w:tr w:rsidR="00DA0CD9" w:rsidRPr="00B03342" w:rsidTr="00E26D3C">
        <w:tc>
          <w:tcPr>
            <w:tcW w:w="28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1,774</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1,599</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1,546</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1,487</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1,421</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1,383</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1,342</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1,295</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1,240</w:t>
            </w:r>
          </w:p>
        </w:tc>
        <w:tc>
          <w:tcPr>
            <w:tcW w:w="24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1,169</w:t>
            </w:r>
          </w:p>
        </w:tc>
        <w:tc>
          <w:tcPr>
            <w:tcW w:w="30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Табела</w:t>
      </w:r>
      <w:r w:rsidRPr="00B03342">
        <w:rPr>
          <w:rFonts w:ascii="Arial" w:hAnsi="Arial" w:cs="Arial"/>
          <w:i/>
          <w:iCs/>
          <w:color w:val="000000"/>
          <w:lang w:eastAsia="sr-Latn-RS"/>
        </w:rPr>
        <w:t> </w:t>
      </w:r>
      <w:r w:rsidRPr="00B03342">
        <w:rPr>
          <w:rFonts w:ascii="Arial" w:hAnsi="Arial" w:cs="Arial"/>
          <w:color w:val="000000"/>
          <w:lang w:eastAsia="sr-Latn-RS"/>
        </w:rPr>
        <w:t>7-10 Критичне F вредности, F</w:t>
      </w:r>
      <w:r w:rsidRPr="00B03342">
        <w:rPr>
          <w:rFonts w:ascii="Arial" w:hAnsi="Arial" w:cs="Arial"/>
          <w:color w:val="000000"/>
          <w:vertAlign w:val="subscript"/>
          <w:lang w:eastAsia="sr-Latn-RS"/>
        </w:rPr>
        <w:t>crit95</w:t>
      </w:r>
      <w:r w:rsidRPr="00B03342">
        <w:rPr>
          <w:rFonts w:ascii="Arial" w:hAnsi="Arial" w:cs="Arial"/>
          <w:color w:val="000000"/>
          <w:lang w:eastAsia="sr-Latn-RS"/>
        </w:rPr>
        <w:t>, у односу на N – 1 и Nref – 1 при 95-постотној поузданости</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81"/>
        <w:gridCol w:w="536"/>
        <w:gridCol w:w="536"/>
        <w:gridCol w:w="536"/>
        <w:gridCol w:w="535"/>
        <w:gridCol w:w="535"/>
        <w:gridCol w:w="535"/>
        <w:gridCol w:w="535"/>
        <w:gridCol w:w="535"/>
        <w:gridCol w:w="535"/>
        <w:gridCol w:w="535"/>
        <w:gridCol w:w="535"/>
        <w:gridCol w:w="535"/>
        <w:gridCol w:w="535"/>
        <w:gridCol w:w="535"/>
        <w:gridCol w:w="535"/>
        <w:gridCol w:w="535"/>
        <w:gridCol w:w="535"/>
        <w:gridCol w:w="535"/>
        <w:gridCol w:w="654"/>
      </w:tblGrid>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b/>
                <w:bCs/>
                <w:lang w:eastAsia="sr-Latn-RS"/>
              </w:rPr>
              <w:t> – 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24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30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120</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b/>
                <w:bCs/>
                <w:lang w:eastAsia="sr-Latn-RS"/>
              </w:rPr>
              <w:t>1000+</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lang w:eastAsia="sr-Latn-RS"/>
              </w:rPr>
              <w:t> </w:t>
            </w:r>
            <w:r w:rsidRPr="00B03342">
              <w:rPr>
                <w:rFonts w:ascii="Arial" w:hAnsi="Arial" w:cs="Arial"/>
                <w:vertAlign w:val="subscript"/>
                <w:lang w:eastAsia="sr-Latn-RS"/>
              </w:rPr>
              <w:t>ref</w:t>
            </w:r>
            <w:r w:rsidRPr="00B03342">
              <w:rPr>
                <w:rFonts w:ascii="Arial" w:hAnsi="Arial" w:cs="Arial"/>
                <w:lang w:eastAsia="sr-Latn-RS"/>
              </w:rPr>
              <w:t> – 1</w:t>
            </w:r>
          </w:p>
        </w:tc>
        <w:tc>
          <w:tcPr>
            <w:tcW w:w="4690" w:type="pct"/>
            <w:gridSpan w:val="19"/>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253,2</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254,3</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19,49</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9,552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9,277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9,117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9,014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8,941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8,812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8,786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8,703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8,617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8,549</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8,526</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7,709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6,944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6,591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6,388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6,256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6,163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5,803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5,658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5,628</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6,608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5,786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5,410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5,192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5,050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4,876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4,735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4,619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4,527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4,431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4,399</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4,365</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5,987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5,143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4,757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4,207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3,705</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3,669</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5,591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3,267</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3,230</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5,318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3,581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3,043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2,967</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2,928</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5,117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4,257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3,863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3,633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3,482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2,707</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4,965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3,136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2,913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2,580</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2,538</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4,844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3,982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3,357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3,095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2,405</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4,747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3,885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2,913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2,341</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2,296</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4,667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3,179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2,252</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2,206</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4,600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3,739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2,131</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4,543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3,682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3,056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2,114</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2,066</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3,634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2,852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2,657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2,059</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2,010</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3,592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3,197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2,011</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1,960</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4,414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3,555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2,412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2,063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1,917</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4,381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3,522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3,127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2,895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1,930</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1,878</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3,098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1,896</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1,843</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3,467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2,685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1,866</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1,812</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4,301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3,443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2,661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2,397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1,783</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4,279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1,813</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1,757</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3,403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3,009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2,776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1,892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1,790</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1,733</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3,385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2,282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1,964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1,711</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3,369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2,743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2,388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1,749</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1,691</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4,210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2,132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2,056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1,974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1,785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1,731</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1,672</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2,236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1,869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1,769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1,714</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1,654</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4,183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2,432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2,346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2,278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2,223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2,028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1,945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1,698</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1,638</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4,171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3,316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2,922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2,421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1,841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1,684</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1,622</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4,085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3,232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2,839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2,336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2,124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2,077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2,004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1,637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1,577</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1,509</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4,001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3,150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2,758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2,525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2,368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2,167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2,040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1,993</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1,748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1,649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1,467</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1,389</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3,920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3,072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2,447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2,290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2,175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2,087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1,911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1,608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1,554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1,495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1,429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1,352</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1,254</w:t>
            </w:r>
          </w:p>
        </w:tc>
      </w:tr>
      <w:tr w:rsidR="00DA0CD9" w:rsidRPr="00B03342" w:rsidTr="00D41FFB">
        <w:tc>
          <w:tcPr>
            <w:tcW w:w="3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3,842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2,996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2,605</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2,372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2,214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2,099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2,010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1,938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1,880</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1,831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1,752</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1,666</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1,571</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1,517</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1,459</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1,394</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1,318</w:t>
            </w:r>
          </w:p>
        </w:tc>
        <w:tc>
          <w:tcPr>
            <w:tcW w:w="24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1,221</w:t>
            </w:r>
          </w:p>
        </w:tc>
        <w:tc>
          <w:tcPr>
            <w:tcW w:w="29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1,000”;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Нагиб</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Нагиб регресије најмањих квадрата,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1y</w:t>
      </w:r>
      <w:r w:rsidRPr="00B03342">
        <w:rPr>
          <w:rFonts w:ascii="Arial" w:hAnsi="Arial" w:cs="Arial"/>
          <w:color w:val="000000"/>
          <w:lang w:eastAsia="sr-Latn-RS"/>
        </w:rPr>
        <w:t>, рачуна се помоћу једначине (7-162):</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E13E508" wp14:editId="5C466C93">
            <wp:extent cx="5057140" cy="445135"/>
            <wp:effectExtent l="0" t="0" r="0" b="0"/>
            <wp:docPr id="72" name="Picture 72" descr="A mathematical formula showing the calculation of a slope coefficient using summations of differences between variables and their mea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 mathematical formula showing the calculation of a slope coefficient using summations of differences between variables and their means.&#10;&#10;Description generated by AI"/>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Одсечак</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Одсечак регресије најмањих квадрата,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0y</w:t>
      </w:r>
      <w:r w:rsidRPr="00B03342">
        <w:rPr>
          <w:rFonts w:ascii="Arial" w:hAnsi="Arial" w:cs="Arial"/>
          <w:color w:val="000000"/>
          <w:lang w:eastAsia="sr-Latn-RS"/>
        </w:rPr>
        <w:t>, рачуна се помоћу једначине (7-163):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4C0293C" wp14:editId="2AFA9081">
            <wp:extent cx="5057140" cy="334010"/>
            <wp:effectExtent l="0" t="0" r="0" b="8890"/>
            <wp:docPr id="71" name="Picture 71" descr="The image shows a mathematical equation expressing a subscripted variable a_0y as the difference between y-bar and the product of a subscripted variable a_1y and y_ref-bar, with a reference number 7-163 in the corn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The image shows a mathematical equation expressing a subscripted variable a_0y as the difference between y-bar and the product of a subscripted variable a_1y and y_ref-bar, with a reference number 7-163 in the corner.&#10;&#10;Description generated by A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057140" cy="33401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 Стандардна процена грешке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Стандардна грешка процене, </w:t>
      </w:r>
      <w:r w:rsidRPr="00B03342">
        <w:rPr>
          <w:rFonts w:ascii="Arial" w:hAnsi="Arial" w:cs="Arial"/>
          <w:i/>
          <w:iCs/>
          <w:color w:val="000000"/>
          <w:lang w:eastAsia="sr-Latn-RS"/>
        </w:rPr>
        <w:t>СЕE</w:t>
      </w:r>
      <w:r w:rsidRPr="00B03342">
        <w:rPr>
          <w:rFonts w:ascii="Arial" w:hAnsi="Arial" w:cs="Arial"/>
          <w:color w:val="000000"/>
          <w:lang w:eastAsia="sr-Latn-RS"/>
        </w:rPr>
        <w:t>, рачуна се помоћу једначине (7-164):</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986770F" wp14:editId="66925E40">
            <wp:extent cx="5057140" cy="501015"/>
            <wp:effectExtent l="0" t="0" r="0" b="0"/>
            <wp:docPr id="70" name="Picture 70" descr="The image shows a mathematical formula for the standard error of estimate, involving a square root of the sum of squared differences between observed and predicted values divided by the degrees of freedo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The image shows a mathematical formula for the standard error of estimate, involving a square root of the sum of squared differences between observed and predicted values divided by the degrees of freedom.&#10;&#10;Description generated by AI"/>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 Коефицијент детерминације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Коефицијент детерминације, </w:t>
      </w:r>
      <w:r w:rsidRPr="00B03342">
        <w:rPr>
          <w:rFonts w:ascii="Arial" w:hAnsi="Arial" w:cs="Arial"/>
          <w:i/>
          <w:iCs/>
          <w:color w:val="000000"/>
          <w:lang w:eastAsia="sr-Latn-RS"/>
        </w:rPr>
        <w:t>r</w:t>
      </w:r>
      <w:r w:rsidRPr="00B03342">
        <w:rPr>
          <w:rFonts w:ascii="Arial" w:hAnsi="Arial" w:cs="Arial"/>
          <w:color w:val="000000"/>
          <w:lang w:eastAsia="sr-Latn-RS"/>
        </w:rPr>
        <w:t> </w:t>
      </w:r>
      <w:r w:rsidRPr="00B03342">
        <w:rPr>
          <w:rFonts w:ascii="Arial" w:hAnsi="Arial" w:cs="Arial"/>
          <w:color w:val="000000"/>
          <w:vertAlign w:val="superscript"/>
          <w:lang w:eastAsia="sr-Latn-RS"/>
        </w:rPr>
        <w:t>2</w:t>
      </w:r>
      <w:r w:rsidRPr="00B03342">
        <w:rPr>
          <w:rFonts w:ascii="Arial" w:hAnsi="Arial" w:cs="Arial"/>
          <w:color w:val="000000"/>
          <w:lang w:eastAsia="sr-Latn-RS"/>
        </w:rPr>
        <w:t>, рачуна се помоћу једначине (7-165):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836BB5B" wp14:editId="06BE6070">
            <wp:extent cx="5057140" cy="501015"/>
            <wp:effectExtent l="0" t="0" r="0" b="0"/>
            <wp:docPr id="69" name="Picture 69" descr="The equation shows the formula for the coefficient of determination, R squared, expressed as one minus the ratio of the sum of squared residuals to the total sum of squa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The equation shows the formula for the coefficient of determination, R squared, expressed as one minus the ratio of the sum of squared residuals to the total sum of squares.&#10;&#10;Description generated by AI"/>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Међународна формула за нормалну вредност убрзања силе теже из 1980.</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Убрзање Земљине силе теже, </w:t>
      </w:r>
      <w:r w:rsidRPr="00B03342">
        <w:rPr>
          <w:rFonts w:ascii="Arial" w:hAnsi="Arial" w:cs="Arial"/>
          <w:i/>
          <w:iCs/>
          <w:color w:val="000000"/>
          <w:lang w:eastAsia="sr-Latn-RS"/>
        </w:rPr>
        <w:t>a</w:t>
      </w:r>
      <w:r w:rsidRPr="00B03342">
        <w:rPr>
          <w:rFonts w:ascii="Arial" w:hAnsi="Arial" w:cs="Arial"/>
          <w:color w:val="000000"/>
          <w:lang w:eastAsia="sr-Latn-RS"/>
        </w:rPr>
        <w:t> </w:t>
      </w:r>
      <w:r w:rsidRPr="00B03342">
        <w:rPr>
          <w:rFonts w:ascii="Arial" w:hAnsi="Arial" w:cs="Arial"/>
          <w:color w:val="000000"/>
          <w:vertAlign w:val="subscript"/>
          <w:lang w:eastAsia="sr-Latn-RS"/>
        </w:rPr>
        <w:t>g</w:t>
      </w:r>
      <w:r w:rsidRPr="00B03342">
        <w:rPr>
          <w:rFonts w:ascii="Arial" w:hAnsi="Arial" w:cs="Arial"/>
          <w:color w:val="000000"/>
          <w:lang w:eastAsia="sr-Latn-RS"/>
        </w:rPr>
        <w:t>, варира зависно о положају, и рачуна се за одговарајућу географску ширину помоћу једначине (7-166):</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794"/>
        <w:gridCol w:w="70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a</w:t>
            </w:r>
            <w:r w:rsidRPr="00B03342">
              <w:rPr>
                <w:rFonts w:ascii="Arial" w:hAnsi="Arial" w:cs="Arial"/>
                <w:vertAlign w:val="subscript"/>
                <w:lang w:eastAsia="sr-Latn-RS"/>
              </w:rPr>
              <w:t>g</w:t>
            </w:r>
            <w:r w:rsidRPr="00B03342">
              <w:rPr>
                <w:rFonts w:ascii="Arial" w:hAnsi="Arial" w:cs="Arial"/>
                <w:i/>
                <w:iCs/>
                <w:lang w:eastAsia="sr-Latn-RS"/>
              </w:rPr>
              <w:t> </w:t>
            </w:r>
            <w:r w:rsidRPr="00B03342">
              <w:rPr>
                <w:rFonts w:ascii="Arial" w:hAnsi="Arial" w:cs="Arial"/>
                <w:lang w:eastAsia="sr-Latn-RS"/>
              </w:rPr>
              <w:t>= 9,7803267715 [1 + 5,2790414 × 10</w:t>
            </w:r>
            <w:r w:rsidRPr="00B03342">
              <w:rPr>
                <w:rFonts w:ascii="Arial" w:hAnsi="Arial" w:cs="Arial"/>
                <w:vertAlign w:val="superscript"/>
                <w:lang w:eastAsia="sr-Latn-RS"/>
              </w:rPr>
              <w:t>– 3</w:t>
            </w:r>
            <w:r w:rsidRPr="00B03342">
              <w:rPr>
                <w:rFonts w:ascii="Arial" w:hAnsi="Arial" w:cs="Arial"/>
                <w:lang w:eastAsia="sr-Latn-RS"/>
              </w:rPr>
              <w:t> сin</w:t>
            </w:r>
            <w:r w:rsidRPr="00B03342">
              <w:rPr>
                <w:rFonts w:ascii="Arial" w:hAnsi="Arial" w:cs="Arial"/>
                <w:vertAlign w:val="superscript"/>
                <w:lang w:eastAsia="sr-Latn-RS"/>
              </w:rPr>
              <w:t>2</w:t>
            </w:r>
            <w:r w:rsidRPr="00B03342">
              <w:rPr>
                <w:rFonts w:ascii="Arial" w:hAnsi="Arial" w:cs="Arial"/>
                <w:lang w:eastAsia="sr-Latn-RS"/>
              </w:rPr>
              <w:t> </w:t>
            </w:r>
            <w:r w:rsidRPr="00B03342">
              <w:rPr>
                <w:rFonts w:ascii="Arial" w:hAnsi="Arial" w:cs="Arial"/>
                <w:i/>
                <w:iCs/>
                <w:lang w:eastAsia="sr-Latn-RS"/>
              </w:rPr>
              <w:t>θ</w:t>
            </w:r>
            <w:r w:rsidRPr="00B03342">
              <w:rPr>
                <w:rFonts w:ascii="Arial" w:hAnsi="Arial" w:cs="Arial"/>
                <w:lang w:eastAsia="sr-Latn-RS"/>
              </w:rPr>
              <w:t>+ 2,32718 × 10</w:t>
            </w:r>
            <w:r w:rsidRPr="00B03342">
              <w:rPr>
                <w:rFonts w:ascii="Arial" w:hAnsi="Arial" w:cs="Arial"/>
                <w:vertAlign w:val="superscript"/>
                <w:lang w:eastAsia="sr-Latn-RS"/>
              </w:rPr>
              <w:t>– 5</w:t>
            </w:r>
            <w:r w:rsidRPr="00B03342">
              <w:rPr>
                <w:rFonts w:ascii="Arial" w:hAnsi="Arial" w:cs="Arial"/>
                <w:lang w:eastAsia="sr-Latn-RS"/>
              </w:rPr>
              <w:t> сin</w:t>
            </w:r>
            <w:r w:rsidRPr="00B03342">
              <w:rPr>
                <w:rFonts w:ascii="Arial" w:hAnsi="Arial" w:cs="Arial"/>
                <w:vertAlign w:val="superscript"/>
                <w:lang w:eastAsia="sr-Latn-RS"/>
              </w:rPr>
              <w:t>4</w:t>
            </w:r>
            <w:r w:rsidRPr="00B03342">
              <w:rPr>
                <w:rFonts w:ascii="Arial" w:hAnsi="Arial" w:cs="Arial"/>
                <w:lang w:eastAsia="sr-Latn-RS"/>
              </w:rPr>
              <w:t> </w:t>
            </w:r>
            <w:r w:rsidRPr="00B03342">
              <w:rPr>
                <w:rFonts w:ascii="Arial" w:hAnsi="Arial" w:cs="Arial"/>
                <w:i/>
                <w:iCs/>
                <w:lang w:eastAsia="sr-Latn-RS"/>
              </w:rPr>
              <w:t>θ</w:t>
            </w:r>
            <w:r w:rsidRPr="00B03342">
              <w:rPr>
                <w:rFonts w:ascii="Arial" w:hAnsi="Arial" w:cs="Arial"/>
                <w:lang w:eastAsia="sr-Latn-RS"/>
              </w:rPr>
              <w:t>+ 1,262 × 10</w:t>
            </w:r>
            <w:r w:rsidRPr="00B03342">
              <w:rPr>
                <w:rFonts w:ascii="Arial" w:hAnsi="Arial" w:cs="Arial"/>
                <w:vertAlign w:val="superscript"/>
                <w:lang w:eastAsia="sr-Latn-RS"/>
              </w:rPr>
              <w:t>– 7</w:t>
            </w:r>
            <w:r w:rsidRPr="00B03342">
              <w:rPr>
                <w:rFonts w:ascii="Arial" w:hAnsi="Arial" w:cs="Arial"/>
                <w:lang w:eastAsia="sr-Latn-RS"/>
              </w:rPr>
              <w:t> сin</w:t>
            </w:r>
            <w:r w:rsidRPr="00B03342">
              <w:rPr>
                <w:rFonts w:ascii="Arial" w:hAnsi="Arial" w:cs="Arial"/>
                <w:vertAlign w:val="superscript"/>
                <w:lang w:eastAsia="sr-Latn-RS"/>
              </w:rPr>
              <w:t>6</w:t>
            </w:r>
            <w:r w:rsidRPr="00B03342">
              <w:rPr>
                <w:rFonts w:ascii="Arial" w:hAnsi="Arial" w:cs="Arial"/>
                <w:lang w:eastAsia="sr-Latn-RS"/>
              </w:rPr>
              <w:t> </w:t>
            </w:r>
            <w:r w:rsidRPr="00B03342">
              <w:rPr>
                <w:rFonts w:ascii="Arial" w:hAnsi="Arial" w:cs="Arial"/>
                <w:i/>
                <w:iCs/>
                <w:lang w:eastAsia="sr-Latn-RS"/>
              </w:rPr>
              <w:t>θ</w:t>
            </w:r>
            <w:r w:rsidRPr="00B03342">
              <w:rPr>
                <w:rFonts w:ascii="Arial" w:hAnsi="Arial" w:cs="Arial"/>
                <w:lang w:eastAsia="sr-Latn-RS"/>
              </w:rPr>
              <w:t>+ 7 × 10</w:t>
            </w:r>
            <w:r w:rsidRPr="00B03342">
              <w:rPr>
                <w:rFonts w:ascii="Arial" w:hAnsi="Arial" w:cs="Arial"/>
                <w:vertAlign w:val="superscript"/>
                <w:lang w:eastAsia="sr-Latn-RS"/>
              </w:rPr>
              <w:t>– 10</w:t>
            </w:r>
            <w:r w:rsidRPr="00B03342">
              <w:rPr>
                <w:rFonts w:ascii="Arial" w:hAnsi="Arial" w:cs="Arial"/>
                <w:lang w:eastAsia="sr-Latn-RS"/>
              </w:rPr>
              <w:t> сin</w:t>
            </w:r>
            <w:r w:rsidRPr="00B03342">
              <w:rPr>
                <w:rFonts w:ascii="Arial" w:hAnsi="Arial" w:cs="Arial"/>
                <w:vertAlign w:val="superscript"/>
                <w:lang w:eastAsia="sr-Latn-RS"/>
              </w:rPr>
              <w:t>8</w:t>
            </w:r>
            <w:r w:rsidRPr="00B03342">
              <w:rPr>
                <w:rFonts w:ascii="Arial" w:hAnsi="Arial" w:cs="Arial"/>
                <w:lang w:eastAsia="sr-Latn-RS"/>
              </w:rPr>
              <w:t> </w:t>
            </w:r>
            <w:r w:rsidRPr="00B03342">
              <w:rPr>
                <w:rFonts w:ascii="Arial" w:hAnsi="Arial" w:cs="Arial"/>
                <w:i/>
                <w:iCs/>
                <w:lang w:eastAsia="sr-Latn-RS"/>
              </w:rPr>
              <w:t>θ</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(7-166)</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8"/>
        <w:gridCol w:w="397"/>
        <w:gridCol w:w="972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степени северне или јужне географске ширине.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Рачунање бројa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Oдређивање бројa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Усклађивање времена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системe разређивања делимичног протокa време задржавања у систему за узорковање и мерења броја честица узима се у обзир временским усклађивањем сигнала броја честица с испитним циклусом и масеним протоком издувног гаса у складу с поступком из тачке 8.2.1.2. Прилога 8 ове уредбе Време трансформације система за узорковање и мерења броја честица одређује се у складу с тачком 2.1.3.7. Додатка 1. Прилога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Одређивање бројева честица за динамичке (NRTC и LSI-NRTC) испитне циклусе и RMC испитивања системом разређивања делимичног протокa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када се бројеви честица узоркују применом система разређивања делимичног протока у складу са спецификацијама утврђенима у тачки 9.2.3. Прилога 8 ове уредбе, број честица емитованих током испитног циклуса рачуна се применом једначине (7-167):</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0865C03" wp14:editId="4D84C930">
            <wp:extent cx="5057140" cy="445135"/>
            <wp:effectExtent l="0" t="0" r="0" b="0"/>
            <wp:docPr id="68" name="Picture 68" descr="A mathematical formula showing N as a fraction with m_exif in the numerator and 1.293 in the denominator, multiplied by k, c_s, r, and 10 to the power of 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A mathematical formula showing N as a fraction with m_exif in the numerator and 1.293 in the denominator, multiplied by k, c_s, r, and 10 to the power of 6.&#10;&#10;Description generated by AI"/>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0"/>
        <w:gridCol w:w="99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честица емитованих током испитног циклуса [#/испитивање]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vertAlign w:val="subscript"/>
                <w:lang w:eastAsia="sr-Latn-RS"/>
              </w:rPr>
              <w:t>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маса истоветног разређеног издувног гаса током циклуса, одређена помоћу једначине (7-45) (тачка 2.3.1.1.2. овог прилога) [kg/испитивање]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умеравања за коригује мерења бројача честица до нивоа референтног инструмента ако се тај фактор не примењује интерно у бројачу. Ако се фактор умеравања примењује интерно унутар бројача честица, за </w:t>
            </w:r>
            <w:r w:rsidRPr="00B03342">
              <w:rPr>
                <w:rFonts w:ascii="Arial" w:hAnsi="Arial" w:cs="Arial"/>
                <w:i/>
                <w:iCs/>
                <w:lang w:eastAsia="sr-Latn-RS"/>
              </w:rPr>
              <w:t>k </w:t>
            </w:r>
            <w:r w:rsidRPr="00B03342">
              <w:rPr>
                <w:rFonts w:ascii="Arial" w:hAnsi="Arial" w:cs="Arial"/>
                <w:lang w:eastAsia="sr-Latn-RS"/>
              </w:rPr>
              <w:t>у једначини (7-167) употребљава се вредност 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A271811" wp14:editId="48D33804">
                  <wp:extent cx="334010" cy="334010"/>
                  <wp:effectExtent l="0" t="0" r="8890" b="8890"/>
                  <wp:docPr id="67" name="Picture 67" descr="A mathematical symbol showing the letter C with a subscript s and a horizontal bar above the entire ex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A mathematical symbol showing the letter C with a subscript s and a horizontal bar above the entire expression.&#10;&#10;Description generated by AI"/>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4010" cy="33401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концентрација честица из разређеног издувног гасa коригована за стандардне услове (273,2 K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lastRenderedPageBreak/>
              <w:drawing>
                <wp:inline distT="0" distB="0" distL="0" distR="0" wp14:anchorId="6A18C466" wp14:editId="533359D1">
                  <wp:extent cx="182880" cy="230505"/>
                  <wp:effectExtent l="0" t="0" r="7620" b="0"/>
                  <wp:docPr id="66" name="Picture 66" descr="A black uppercase letter T with a thick horizontal bar above i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A black uppercase letter T with a thick horizontal bar above it on a white background.&#10;&#10;Description generated by AI"/>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288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редукцијски фактор средње концентрације честица уређаја за уклањање испаривих честица специфичан за поставе разређивања које се примењују за испитивање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4097BD1" wp14:editId="2ADFF969">
            <wp:extent cx="5057140" cy="389890"/>
            <wp:effectExtent l="0" t="0" r="0" b="0"/>
            <wp:docPr id="65" name="Picture 65" descr="A mathematical formula showing the average value of c sub s as the sum of c sub s,i from i equals 1 to n divided by n, labeled as equation 7-168.&#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A mathematical formula showing the average value of c sub s as the sum of c sub s,i from i equals 1 to n divided by n, labeled as equation 7-168.&#10;&#10;Description generated by AI"/>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7"/>
        <w:gridCol w:w="1022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с,I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посебно мерење концентрације честица у разређеном издувном гасу из бројача честица, кориговано за поклапање i за стандардне услове (273,2 K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концентрације честица проведених током трајања испитивања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Oдређивање бројева честица за динамичке (NRTC и LSI-NRTC) испитне циклусе и RMC испитивања системом разређивања потпуног протокa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бројеви честица узоркују применом системa за разређивање потпуног протокa у складу сa спецификацијама утврђенима у тачки 9.2.2. Прилога 8 ове уредбе, број честица емитованих током испитног циклуса рачуна се применом једначине (7-169):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6D700DFA" wp14:editId="7ED5320B">
            <wp:extent cx="5057140" cy="389890"/>
            <wp:effectExtent l="0" t="0" r="0" b="0"/>
            <wp:docPr id="64" name="Picture 64" descr="A mathematical formula showing N as a fraction with medf in the numerator and 1.293 in the denominator, multiplied by k, c-bar, r, and 10 to the power of 6.&#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A mathematical formula showing N as a fraction with medf in the numerator and 1.293 in the denominator, multiplied by k, c-bar, r, and 10 to the power of 6.&#10;&#10;Description generated by AI"/>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0"/>
        <w:gridCol w:w="99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честица емитованих током испитног циклуса [#/испитивање]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m</w:t>
            </w:r>
            <w:r w:rsidRPr="00B03342">
              <w:rPr>
                <w:rFonts w:ascii="Arial" w:hAnsi="Arial" w:cs="Arial"/>
                <w:vertAlign w:val="subscript"/>
                <w:lang w:eastAsia="sr-Latn-RS"/>
              </w:rPr>
              <w:t>ed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укупан проток разређеног издувног гасa током циклуса обрачунан у складу с било којом од метода описаних у тач. 2.2.4.1. до 2.2.4.3. Прилога 10 ове уредбе [kg/испитивање]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умерени фактор за кориговање мерења бројача броја честица на нивоу референтног инструмента ако се тај фактор не примењује интерно у бројачу. Ако се фактор умеравања примењује интерно унутар бројача честица, за </w:t>
            </w:r>
            <w:r w:rsidRPr="00B03342">
              <w:rPr>
                <w:rFonts w:ascii="Arial" w:hAnsi="Arial" w:cs="Arial"/>
                <w:i/>
                <w:iCs/>
                <w:lang w:eastAsia="sr-Latn-RS"/>
              </w:rPr>
              <w:t>k</w:t>
            </w:r>
            <w:r w:rsidRPr="00B03342">
              <w:rPr>
                <w:rFonts w:ascii="Arial" w:hAnsi="Arial" w:cs="Arial"/>
                <w:lang w:eastAsia="sr-Latn-RS"/>
              </w:rPr>
              <w:t> у једначини (7-169) употребљава се вредност 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53EDC482" wp14:editId="63989A72">
                  <wp:extent cx="334010" cy="334010"/>
                  <wp:effectExtent l="0" t="0" r="8890" b="8890"/>
                  <wp:docPr id="63" name="Picture 63" descr="A mathematical symbol showing the letter C with a subscript s and a horizontal bar above the entire ex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A mathematical symbol showing the letter C with a subscript s and a horizontal bar above the entire expression.&#10;&#10;Description generated by AI"/>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4010" cy="33401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коригована концентрација честица из разређеног издувног гасa коригована за стандардне услове (273,2 K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706A04D7" wp14:editId="2E48AEDB">
                  <wp:extent cx="182880" cy="230505"/>
                  <wp:effectExtent l="0" t="0" r="7620" b="0"/>
                  <wp:docPr id="62" name="Picture 62" descr="A black uppercase letter T with a thick horizontal bar above i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A black uppercase letter T with a thick horizontal bar above it on a white background.&#10;&#10;Description generated by AI"/>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288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редукцијски фактор средње концентрације честица уређаја за уклањање испаривих честица специфичан за поставе разређивања које се примењују за испитивање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568E00D" wp14:editId="13681A0F">
            <wp:extent cx="5057140" cy="445135"/>
            <wp:effectExtent l="0" t="0" r="0" b="0"/>
            <wp:docPr id="61" name="Picture 61" descr="A mathematical formula showing the average value c as the sum of c sub i from i equals 1 to n divided by n, labeled as equation 7-17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A mathematical formula showing the average value c as the sum of c sub i from i equals 1 to n divided by n, labeled as equation 7-170.&#10;&#10;Description generated by AI"/>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7"/>
        <w:gridCol w:w="1022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s,I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посебно мерење концентрације честица у разређеном издувном гасу из бројача честица, кориговано за поклапање и за стандардне услове (273,2 K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концентрације честица спроведених током трајања испитивања.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1.4. Oдређивање бројева честица за NRSC с дискретним начинима системом разређивања делимичног протокa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бројеви честица узоркују применом система разређивања делимичног протока у складу са спецификацијама утврђенима у тачки 9.2.3. Прилога 8 ове уредбе, стопа емисија честица током сваког појединачног дискретног начина рачуна се помоћу једначине (7-171) у којој се употребљавају просечне вредности за начин радa:</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1BBC61EE" wp14:editId="2505AEF2">
            <wp:extent cx="5057140" cy="389890"/>
            <wp:effectExtent l="0" t="0" r="0" b="0"/>
            <wp:docPr id="60" name="Picture 60" descr="A mathematical formula showing a fraction with variables and constants multiplied and divided, including q_med, k, c_s, r, 10 to the power of 6, and 3600, with a reference number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 mathematical formula showing a fraction with variables and constants multiplied and divided, including q_med, k, c_s, r, 10 to the power of 6, and 3600, with a reference number in parentheses.&#10;&#10;Description generated by AI"/>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0"/>
        <w:gridCol w:w="99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стопa емисија честица током појединачног дискретног начина [#/х]</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medf</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еквивалентни масени проток издувног гасa на влажној основи током појединачног дискретног начина, одређен у складу с једначином (7-51) (тачка 2.3.2.1. овог прилога) [kg/s]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умерени фактор за кориговање мерења бројача броја честица на нивоу референтног инструмента ако се тај фактор не примењује интерно у бројачу. Ако се фактор умеравања примењује интерно унутар бројача честица, за </w:t>
            </w:r>
            <w:r w:rsidRPr="00B03342">
              <w:rPr>
                <w:rFonts w:ascii="Arial" w:hAnsi="Arial" w:cs="Arial"/>
                <w:i/>
                <w:iCs/>
                <w:lang w:eastAsia="sr-Latn-RS"/>
              </w:rPr>
              <w:t>к</w:t>
            </w:r>
            <w:r w:rsidRPr="00B03342">
              <w:rPr>
                <w:rFonts w:ascii="Arial" w:hAnsi="Arial" w:cs="Arial"/>
                <w:lang w:eastAsia="sr-Latn-RS"/>
              </w:rPr>
              <w:t> у једначини (7-171) употребљава се вредност 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66153854" wp14:editId="571ED41E">
                  <wp:extent cx="334010" cy="334010"/>
                  <wp:effectExtent l="0" t="0" r="8890" b="8890"/>
                  <wp:docPr id="59" name="Picture 59" descr="A mathematical notation showing the variable Cs with a horizontal bar above i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A mathematical notation showing the variable Cs with a horizontal bar above it.&#10;&#10;Description generated by AI"/>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4010" cy="33401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концентрација честица из разређеног издувног гаса током појединачног дискретног начина коригована за стандардне услове (273,2 К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54BC686D" wp14:editId="5AFEFC28">
                  <wp:extent cx="182880" cy="230505"/>
                  <wp:effectExtent l="0" t="0" r="7620" b="0"/>
                  <wp:docPr id="58" name="Picture 58" descr="A black uppercase letter T with a thick horizontal bar above i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 black uppercase letter T with a thick horizontal bar above it on a white background.&#10;&#10;Description generated by AI"/>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288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редукцијски фактор средње концентрације честица уређаја за уклањање испаривих честица специфичан за поставе разређивања које се примењују за испитивање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031C6D37" wp14:editId="749692EC">
            <wp:extent cx="5057140" cy="389890"/>
            <wp:effectExtent l="0" t="0" r="0" b="0"/>
            <wp:docPr id="57" name="Picture 57" descr="The image shows a mathematical formula for the average value of c sub e as the sum of c sub e i from i equals 1 to n divided by n, labeled as equation 7-172.&#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The image shows a mathematical formula for the average value of c sub e as the sum of c sub e i from i equals 1 to n divided by n, labeled as equation 7-172.&#10;&#10;Description generated by AI"/>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7"/>
        <w:gridCol w:w="1022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s,I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посебно мерење концентрације честица у разређеном издувном гасу из бројача честица, кориговано за поклапање и за стандардне услове (273,2 К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концентрације честица проведених током периода узорковања појединачног дискретног начина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1.5. Одређивање бројева честица за циклусе дискретног начина системом разређивања потпуног протока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бројеви честица узоркују применом система разређивања потпуног протока у складу са спецификацијама утврђенима у тачки 9.2.2. Прилога 8 ове уредбе, стопa емисија честица током сваког појединачног дискретног начина рачуна се применом једначине (7-173) у којој се употребљавају просечне Вредности за начин радa:</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F8F4D90" wp14:editId="479F7863">
            <wp:extent cx="5057140" cy="501015"/>
            <wp:effectExtent l="0" t="0" r="0" b="0"/>
            <wp:docPr id="56" name="Picture 56" descr="A mathematical formula showing Qmdew divided by 1,293 multiplied by k, average specific heat, r, 10 to the power of 6, and 3,6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A mathematical formula showing Qmdew divided by 1,293 multiplied by k, average specific heat, r, 10 to the power of 6, and 3,600.&#10;&#10;Description generated by AI"/>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0"/>
        <w:gridCol w:w="990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стопa емисија честица током појединачног дискретног начинa [#/х]</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q</w:t>
            </w:r>
            <w:r w:rsidRPr="00B03342">
              <w:rPr>
                <w:rFonts w:ascii="Arial" w:hAnsi="Arial" w:cs="Arial"/>
                <w:vertAlign w:val="subscript"/>
                <w:lang w:eastAsia="sr-Latn-RS"/>
              </w:rPr>
              <w:t>mdew</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укупан масени проток разређеног издувног гаса на влажној основи током појединачног дискретног начина[kg/s]</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умерени фактор за кориговање мерења бројача броја честица на нивоу референтног инструмента ако се тај фактор не примењује интерно у бројачу. Ако се фактор умеравања примењује интерно унутар бројача честица, за </w:t>
            </w:r>
            <w:r w:rsidRPr="00B03342">
              <w:rPr>
                <w:rFonts w:ascii="Arial" w:hAnsi="Arial" w:cs="Arial"/>
                <w:i/>
                <w:iCs/>
                <w:lang w:eastAsia="sr-Latn-RS"/>
              </w:rPr>
              <w:t>k</w:t>
            </w:r>
            <w:r w:rsidRPr="00B03342">
              <w:rPr>
                <w:rFonts w:ascii="Arial" w:hAnsi="Arial" w:cs="Arial"/>
                <w:lang w:eastAsia="sr-Latn-RS"/>
              </w:rPr>
              <w:t> у једначини (7-173) употребљава се вредност 1.</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4BDA3718" wp14:editId="0D80785A">
                  <wp:extent cx="334010" cy="334010"/>
                  <wp:effectExtent l="0" t="0" r="8890" b="8890"/>
                  <wp:docPr id="55" name="Picture 55" descr="A mathematical symbol showing the letter C with a subscript s and a horizontal bar above the entire ex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 mathematical symbol showing the letter C with a subscript s and a horizontal bar above the entire expression.&#10;&#10;Description generated by AI"/>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4010" cy="33401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просечна концентрација честица из разређеног издувног гаса током појединачног дискретног начина коригована за стандардне услове (273,2 К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1495C600" wp14:editId="50D9B568">
                  <wp:extent cx="182880" cy="230505"/>
                  <wp:effectExtent l="0" t="0" r="7620" b="0"/>
                  <wp:docPr id="54" name="Picture 54" descr="A black uppercase letter T with a thick horizontal bar above i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A black uppercase letter T with a thick horizontal bar above it on a white background.&#10;&#10;Description generated by AI"/>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2880"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редукцијски фактор средње концентрације честица уређаја за уклањање испаривих честица специфичан за поставе разређивања које се примењују за испитивање</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B113497" wp14:editId="6E1B6E94">
            <wp:extent cx="5057140" cy="445135"/>
            <wp:effectExtent l="0" t="0" r="0" b="0"/>
            <wp:docPr id="53" name="Picture 53" descr="A mathematical formula showing the average of a set of values represented by the sum of c sub i from i equals 1 to n divided by n, labeled as equation 7-174.&#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 mathematical formula showing the average of a set of values represented by the sum of c sub i from i equals 1 to n divided by n, labeled as equation 7-174.&#10;&#10;Description generated by AI"/>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7"/>
        <w:gridCol w:w="1022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c</w:t>
            </w:r>
            <w:r w:rsidRPr="00B03342">
              <w:rPr>
                <w:rFonts w:ascii="Arial" w:hAnsi="Arial" w:cs="Arial"/>
                <w:vertAlign w:val="subscript"/>
                <w:lang w:eastAsia="sr-Latn-RS"/>
              </w:rPr>
              <w:t>s,I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посебно мерење концентрације честица у разређеном издувном гасу из бројача честица, кориговано за поклапање и за стандардне услове (273,2 К и 101,33 kPa), честица по кубном центиметру,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lastRenderedPageBreak/>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 концентрације честица проведених током периода узорковања појединачног дискретног начина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Резултат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Обрачун специфичних емисија за динамичке (NRTC и LSI-NRTC) испитне циклусе и RMC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сваки примењиви појединачни RMC, NRTC с топлим покретањем и NRTC с хладним покретањем, специфичне емисије у броју честица/kWh рачунаjу се помоћу једначине (7-175):</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D6E08EC" wp14:editId="71590199">
            <wp:extent cx="5057140" cy="389890"/>
            <wp:effectExtent l="0" t="0" r="0" b="0"/>
            <wp:docPr id="52" name="Picture 52" descr="The image shows a mathematical formula expressing e as the ratio of N to W subscript act with a reference number in parenthe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The image shows a mathematical formula expressing e as the ratio of N to W subscript act with a reference number in parentheses.&#10;&#10;Description generated by AI"/>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057140" cy="38989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0"/>
        <w:gridCol w:w="1011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честица емитованих током примењивог појединачног RMC-a, NRTC-a с топлим покретањем или NRTC-a с хладним покретањем,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vertAlign w:val="subscript"/>
                <w:lang w:eastAsia="sr-Latn-RS"/>
              </w:rPr>
              <w: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у складу с тачком 7.8.3.4. Прилога 8 ове уредбе [kWh].</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 RMC, у случају мотора с неучесталом (периодичном) регенерацијом издувних гасoва (види тачку 6.6.2. Прилога 8 ове уредбе) специфичне емисије коригују се важећим мултипликативним фактором прилагођавања или важећим адитивним фактором прилагођавања. Ако током испитивања није спроведена неучестала регенерација, примењује се фактор прилагођавања на већу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ru,a</w:t>
      </w:r>
      <w:r w:rsidRPr="00B03342">
        <w:rPr>
          <w:rFonts w:ascii="Arial" w:hAnsi="Arial" w:cs="Arial"/>
          <w:color w:val="000000"/>
          <w:lang w:eastAsia="sr-Latn-RS"/>
        </w:rPr>
        <w:t>). Ако je током испитивања спроведена неучестала регенерација, примењује се фактор прилагођавања на мању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rd,a</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RMC је потребно прилагодити коначни резултат важећим мултипликативним или адитивним фактором погоршања утврђенима у складу са захтевима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Пондерисани просек резултата NRTC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NRTC, коначни резултат испитивања је пондерисани просек испитивања с хладним покретањем и топлим покретањем (укључујући и неучесталу регенерацију, ако је потребно) обрачунат помоћу једначине (7-176) или (7-177):</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У случају мултипликативне прилагођавања регенерације или мотора без неучестале регенерације системa за накнадну обраду издувних гасoва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E9F4FCD" wp14:editId="40C56A2D">
            <wp:extent cx="5057140" cy="501015"/>
            <wp:effectExtent l="0" t="0" r="0" b="0"/>
            <wp:docPr id="51" name="Picture 51" descr="A mathematical formula expressing e as the ratio of a weighted sum of Ncold and Nhot to a weighted sum of Wact,cold and Wact,hot with coefficients 0.1 and 0.9.&#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 mathematical formula expressing e as the ratio of a weighted sum of Ncold and Nhot to a weighted sum of Wact,cold and Wact,hot with coefficients 0.1 and 0.9.&#10;&#10;Description generated by AI"/>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случају адитивног прилагођавања регенерације</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7087202E" wp14:editId="0AEA6AC4">
            <wp:extent cx="5057140" cy="564515"/>
            <wp:effectExtent l="0" t="0" r="0" b="6985"/>
            <wp:docPr id="50" name="Picture 50" descr="A mathematical formula expressing e as the sum of k_r and a fraction involving weighted terms of N_cold, N_hot, W_act,cold, and W_act,ho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A mathematical formula expressing e as the sum of k_r and a fraction involving weighted terms of N_cold, N_hot, W_act,cold, and W_act,hot.&#10;&#10;Description generated by AI"/>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057140" cy="5645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4"/>
        <w:gridCol w:w="985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укупан број честица емитованих током NRTC-a с хладним покретањем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N</w:t>
            </w:r>
            <w:r w:rsidRPr="00B03342">
              <w:rPr>
                <w:rFonts w:ascii="Arial" w:hAnsi="Arial" w:cs="Arial"/>
                <w:vertAlign w:val="subscript"/>
                <w:lang w:eastAsia="sr-Latn-RS"/>
              </w:rPr>
              <w:t>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укупан број честица емитованих током NRTC-a с топлим покретањем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vertAlign w:val="subscript"/>
                <w:lang w:eastAsia="sr-Latn-RS"/>
              </w:rPr>
              <w:t>act,cold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хладним покретањем у складу с тачком 7.8.3.4. Прилога 8 ове уредбе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w:t>
            </w:r>
            <w:r w:rsidRPr="00B03342">
              <w:rPr>
                <w:rFonts w:ascii="Arial" w:hAnsi="Arial" w:cs="Arial"/>
                <w:vertAlign w:val="subscript"/>
                <w:lang w:eastAsia="sr-Latn-RS"/>
              </w:rPr>
              <w:t>act, 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стварни циклусни рад током NRTC-a с топлим покретањем у складу с тачком 7.8.3.4. Прилога 8 ове уредбе [kWh]</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k</w:t>
            </w:r>
            <w:r w:rsidRPr="00B03342">
              <w:rPr>
                <w:rFonts w:ascii="Arial" w:hAnsi="Arial" w:cs="Arial"/>
                <w:vertAlign w:val="subscript"/>
                <w:lang w:eastAsia="sr-Latn-RS"/>
              </w:rPr>
              <w:t>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Прилагођавање регенерације, у складу с тачком 6.6.2. Прилога 8 ове уредбе или у случају мотора без неучестале регенерације система за накнадну обраду издувних гасoва </w:t>
            </w:r>
            <w:r w:rsidRPr="00B03342">
              <w:rPr>
                <w:rFonts w:ascii="Arial" w:hAnsi="Arial" w:cs="Arial"/>
                <w:i/>
                <w:iCs/>
                <w:lang w:eastAsia="sr-Latn-RS"/>
              </w:rPr>
              <w:t>k</w:t>
            </w:r>
            <w:r w:rsidRPr="00B03342">
              <w:rPr>
                <w:rFonts w:ascii="Arial" w:hAnsi="Arial" w:cs="Arial"/>
                <w:vertAlign w:val="subscript"/>
                <w:lang w:eastAsia="sr-Latn-RS"/>
              </w:rPr>
              <w:t>r</w:t>
            </w:r>
            <w:r w:rsidRPr="00B03342">
              <w:rPr>
                <w:rFonts w:ascii="Arial" w:hAnsi="Arial" w:cs="Arial"/>
                <w:lang w:eastAsia="sr-Latn-RS"/>
              </w:rPr>
              <w:t>=1</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Ако током испитивања није спроведена неучестала регенерација, примењује се фактор прилагођавања на већу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ru,a</w:t>
      </w:r>
      <w:r w:rsidRPr="00B03342">
        <w:rPr>
          <w:rFonts w:ascii="Arial" w:hAnsi="Arial" w:cs="Arial"/>
          <w:color w:val="000000"/>
          <w:lang w:eastAsia="sr-Latn-RS"/>
        </w:rPr>
        <w:t>). Ако je током испитивања спроведена неучестала регенерација, примењује се фактор прилагођавања на мању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rd,a</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Резултат, укључујући и фактор прилагођавања неучестале регенерације ако је примењиво, једнако је тако потребно прилагодити важећим мултипликативним или адитивним факторима погоршања утврђенима у складу са захтевима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Обрачун специфичних емисија за испитивања NRSC-a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Специфичне емисије </w:t>
      </w:r>
      <w:r w:rsidRPr="00B03342">
        <w:rPr>
          <w:rFonts w:ascii="Arial" w:hAnsi="Arial" w:cs="Arial"/>
          <w:i/>
          <w:iCs/>
          <w:color w:val="000000"/>
          <w:lang w:eastAsia="sr-Latn-RS"/>
        </w:rPr>
        <w:t>e</w:t>
      </w:r>
      <w:r w:rsidRPr="00B03342">
        <w:rPr>
          <w:rFonts w:ascii="Arial" w:hAnsi="Arial" w:cs="Arial"/>
          <w:color w:val="000000"/>
          <w:lang w:eastAsia="sr-Latn-RS"/>
        </w:rPr>
        <w:t> [#/kWh] рачунаjу се помоћу једначине (7-178):</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5E0EA3F6" wp14:editId="72B50E7F">
            <wp:extent cx="5057140" cy="501015"/>
            <wp:effectExtent l="0" t="0" r="0" b="0"/>
            <wp:docPr id="49" name="Picture 49" descr="A mathematical formula showing e as the ratio of two summations involving terms with N, i, WF, and P variab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A mathematical formula showing e as the ratio of two summations involving terms with N, i, WF, and P variables.&#10;&#10;Description generated by AI"/>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7"/>
        <w:gridCol w:w="10133"/>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P</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снага мотора за начин рада i [кW] прорачуната сабирањем измерене снаге Pmeas [кW] и снаге потребне за погон помоћних уређаја P</w:t>
            </w:r>
            <w:r w:rsidRPr="00B03342">
              <w:rPr>
                <w:rFonts w:ascii="Arial" w:hAnsi="Arial" w:cs="Arial"/>
                <w:vertAlign w:val="subscript"/>
                <w:lang w:eastAsia="sr-Latn-RS"/>
              </w:rPr>
              <w:t>AUX</w:t>
            </w:r>
            <w:r w:rsidRPr="00B03342">
              <w:rPr>
                <w:rFonts w:ascii="Arial" w:hAnsi="Arial" w:cs="Arial"/>
                <w:lang w:eastAsia="sr-Latn-RS"/>
              </w:rPr>
              <w:t> [кW], утврђене у складу с једначином (6-8) из Прилога 8 ове уредбе (Pi = Pmeas + P</w:t>
            </w:r>
            <w:r w:rsidRPr="00B03342">
              <w:rPr>
                <w:rFonts w:ascii="Arial" w:hAnsi="Arial" w:cs="Arial"/>
                <w:vertAlign w:val="subscript"/>
                <w:lang w:eastAsia="sr-Latn-RS"/>
              </w:rPr>
              <w:t>AUX</w:t>
            </w:r>
            <w:r w:rsidRPr="00B03342">
              <w:rPr>
                <w:rFonts w:ascii="Arial" w:hAnsi="Arial" w:cs="Arial"/>
                <w:lang w:eastAsia="sr-Latn-RS"/>
              </w:rPr>
              <w:t>)”;</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i/>
                <w:iCs/>
                <w:lang w:eastAsia="sr-Latn-RS"/>
              </w:rPr>
              <w:t>Ṅ</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просечни проток бројa емисија у начину рада </w:t>
            </w:r>
            <w:r w:rsidRPr="00B03342">
              <w:rPr>
                <w:rFonts w:ascii="Arial" w:hAnsi="Arial" w:cs="Arial"/>
                <w:i/>
                <w:iCs/>
                <w:lang w:eastAsia="sr-Latn-RS"/>
              </w:rPr>
              <w:t>i</w:t>
            </w:r>
            <w:r w:rsidRPr="00B03342">
              <w:rPr>
                <w:rFonts w:ascii="Arial" w:hAnsi="Arial" w:cs="Arial"/>
                <w:lang w:eastAsia="sr-Latn-RS"/>
              </w:rPr>
              <w:t> [#/х] из једначине (7-171) или (7-173) зависно o методи разређивања</w:t>
            </w:r>
          </w:p>
        </w:tc>
      </w:tr>
    </w:tbl>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случају мотора с неучесталом (периодичном) регенерацијом системa за накнадну обраду издувних гасoва (види тачку 6.6.2. Прилога 8 ове уредбе) специфичне емисије потребнo je кориговати важећим мултипликативним фактором прилагођавања или важећим адитивним фактором прилагођавања. Ако током испитивања није спроведена неучестала регенерација, примењује се фактор прилагођавања на већу вредност (</w:t>
      </w:r>
      <w:r w:rsidRPr="00B03342">
        <w:rPr>
          <w:rFonts w:ascii="Arial" w:hAnsi="Arial" w:cs="Arial"/>
          <w:i/>
          <w:iCs/>
          <w:color w:val="000000"/>
          <w:lang w:eastAsia="sr-Latn-RS"/>
        </w:rPr>
        <w:t>к</w:t>
      </w:r>
      <w:r w:rsidRPr="00B03342">
        <w:rPr>
          <w:rFonts w:ascii="Arial" w:hAnsi="Arial" w:cs="Arial"/>
          <w:color w:val="000000"/>
          <w:lang w:eastAsia="sr-Latn-RS"/>
        </w:rPr>
        <w:t> </w:t>
      </w:r>
      <w:r w:rsidRPr="00B03342">
        <w:rPr>
          <w:rFonts w:ascii="Arial" w:hAnsi="Arial" w:cs="Arial"/>
          <w:color w:val="000000"/>
          <w:vertAlign w:val="subscript"/>
          <w:lang w:eastAsia="sr-Latn-RS"/>
        </w:rPr>
        <w:t>ru,m</w:t>
      </w:r>
      <w:r w:rsidRPr="00B03342">
        <w:rPr>
          <w:rFonts w:ascii="Arial" w:hAnsi="Arial" w:cs="Arial"/>
          <w:color w:val="000000"/>
          <w:lang w:eastAsia="sr-Latn-RS"/>
        </w:rPr>
        <w:t> или </w:t>
      </w:r>
      <w:r w:rsidRPr="00B03342">
        <w:rPr>
          <w:rFonts w:ascii="Arial" w:hAnsi="Arial" w:cs="Arial"/>
          <w:i/>
          <w:iCs/>
          <w:color w:val="000000"/>
          <w:lang w:eastAsia="sr-Latn-RS"/>
        </w:rPr>
        <w:t>к</w:t>
      </w:r>
      <w:r w:rsidRPr="00B03342">
        <w:rPr>
          <w:rFonts w:ascii="Arial" w:hAnsi="Arial" w:cs="Arial"/>
          <w:color w:val="000000"/>
          <w:lang w:eastAsia="sr-Latn-RS"/>
        </w:rPr>
        <w:t> </w:t>
      </w:r>
      <w:r w:rsidRPr="00B03342">
        <w:rPr>
          <w:rFonts w:ascii="Arial" w:hAnsi="Arial" w:cs="Arial"/>
          <w:color w:val="000000"/>
          <w:vertAlign w:val="subscript"/>
          <w:lang w:eastAsia="sr-Latn-RS"/>
        </w:rPr>
        <w:t>ru,a</w:t>
      </w:r>
      <w:r w:rsidRPr="00B03342">
        <w:rPr>
          <w:rFonts w:ascii="Arial" w:hAnsi="Arial" w:cs="Arial"/>
          <w:color w:val="000000"/>
          <w:lang w:eastAsia="sr-Latn-RS"/>
        </w:rPr>
        <w:t>). Ако је током испитивања спроведена неучестала регенерација, примењује се фактор прилагођавања на мању вредност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rd,m</w:t>
      </w:r>
      <w:r w:rsidRPr="00B03342">
        <w:rPr>
          <w:rFonts w:ascii="Arial" w:hAnsi="Arial" w:cs="Arial"/>
          <w:color w:val="000000"/>
          <w:lang w:eastAsia="sr-Latn-RS"/>
        </w:rPr>
        <w:t> или </w:t>
      </w:r>
      <w:r w:rsidRPr="00B03342">
        <w:rPr>
          <w:rFonts w:ascii="Arial" w:hAnsi="Arial" w:cs="Arial"/>
          <w:i/>
          <w:iCs/>
          <w:color w:val="000000"/>
          <w:lang w:eastAsia="sr-Latn-RS"/>
        </w:rPr>
        <w:t>k</w:t>
      </w:r>
      <w:r w:rsidRPr="00B03342">
        <w:rPr>
          <w:rFonts w:ascii="Arial" w:hAnsi="Arial" w:cs="Arial"/>
          <w:color w:val="000000"/>
          <w:lang w:eastAsia="sr-Latn-RS"/>
        </w:rPr>
        <w:t> </w:t>
      </w:r>
      <w:r w:rsidRPr="00B03342">
        <w:rPr>
          <w:rFonts w:ascii="Arial" w:hAnsi="Arial" w:cs="Arial"/>
          <w:color w:val="000000"/>
          <w:vertAlign w:val="subscript"/>
          <w:lang w:eastAsia="sr-Latn-RS"/>
        </w:rPr>
        <w:t>rd,a</w:t>
      </w:r>
      <w:r w:rsidRPr="00B03342">
        <w:rPr>
          <w:rFonts w:ascii="Arial" w:hAnsi="Arial" w:cs="Arial"/>
          <w:color w:val="000000"/>
          <w:lang w:eastAsia="sr-Latn-RS"/>
        </w:rPr>
        <w:t>). Када су фактори прилагођавања одређени за сваки начин рада, примењују се за сваки начин рада током обрачуна резултата пондерисанe емисије једначином (7-178).</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Резултат, укључујући и фактор прилагођавања неучестале регенерације ако је примењиво, једнако је тако потребно прилагодити важећим мултипликативним или адитивним фактором погоршања утврђенима у складу са захтевима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Заокруживање коначних резултата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Коначне резултате NRSC испитивања и пондерисане просечне резултате NRTC испитивања потребно је заокружити у једном кораку на три децимална места у складу с ASTM Е 29–06B. Није допуштено заокруживање међурезултата на основу којих се рачунају коначне специфичне ефективне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Oдређивање бројa честица позадине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 На захтев произвођача мотора може се узорковати број честица позадинских концентрација у тунелу за разређивање, пре или након испитивања, од тачке иза филтера честица и угљен-водоника у систем мерења броја честица ради утврђивања концентрација позадинских честица тунела.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 Одузимање броја честица позадинских концентрација тунела није допуштено за хомологацију типа, али се може применити на захтев произвођача, уз претходно одобрење хомологацијског тела, ради испитивања усклађености производње ако се може доказати да је допринос позадине тунела значајан, што се затим може одузети од вредности измерених у разређеном издувном гасу.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6.</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Рачунање емисија амонијака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Обрачун средњих емисија за динамичке (NRTC и LSI-NRTC) испитне циклусе и RMC испитивања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Средња концентрација NH</w:t>
      </w:r>
      <w:r w:rsidRPr="00B03342">
        <w:rPr>
          <w:rFonts w:ascii="Arial" w:hAnsi="Arial" w:cs="Arial"/>
          <w:color w:val="000000"/>
          <w:vertAlign w:val="subscript"/>
          <w:lang w:eastAsia="sr-Latn-RS"/>
        </w:rPr>
        <w:t>3</w:t>
      </w:r>
      <w:r w:rsidRPr="00B03342">
        <w:rPr>
          <w:rFonts w:ascii="Arial" w:hAnsi="Arial" w:cs="Arial"/>
          <w:color w:val="000000"/>
          <w:lang w:eastAsia="sr-Latn-RS"/>
        </w:rPr>
        <w:t> у издувном гасу током испитног циклуса c</w:t>
      </w:r>
      <w:r w:rsidRPr="00B03342">
        <w:rPr>
          <w:rFonts w:ascii="Arial" w:hAnsi="Arial" w:cs="Arial"/>
          <w:color w:val="000000"/>
          <w:vertAlign w:val="subscript"/>
          <w:lang w:eastAsia="sr-Latn-RS"/>
        </w:rPr>
        <w:t>NH3</w:t>
      </w:r>
      <w:r w:rsidRPr="00B03342">
        <w:rPr>
          <w:rFonts w:ascii="Arial" w:hAnsi="Arial" w:cs="Arial"/>
          <w:color w:val="000000"/>
          <w:lang w:eastAsia="sr-Latn-RS"/>
        </w:rPr>
        <w:t> [ppm] утврђује се интегрирањем тренутних вредности током циклуса. Примењује се једначина (7-179):</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6FA2130" wp14:editId="64D7FC70">
            <wp:extent cx="5057140" cy="501015"/>
            <wp:effectExtent l="0" t="0" r="0" b="0"/>
            <wp:docPr id="48" name="Picture 48" descr="A mathematical formula expressing CNH3 as the average of the sum of CNH3,i terms from i equals 1 to 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A mathematical formula expressing CNH3 as the average of the sum of CNH3,i terms from i equals 1 to n.&#10;&#10;Description generated by AI"/>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057140" cy="5010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83"/>
        <w:gridCol w:w="9517"/>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NH3,i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тренутна концентрација NH3 у издувном гасу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мерења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NRTC коначни се резултат рачуна помоћу једначине (7-180):</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84"/>
        <w:gridCol w:w="181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NH3</w:t>
            </w:r>
            <w:r w:rsidRPr="00B03342">
              <w:rPr>
                <w:rFonts w:ascii="Arial" w:hAnsi="Arial" w:cs="Arial"/>
                <w:lang w:eastAsia="sr-Latn-RS"/>
              </w:rPr>
              <w:t> = (0,1 × c</w:t>
            </w:r>
            <w:r w:rsidRPr="00B03342">
              <w:rPr>
                <w:rFonts w:ascii="Arial" w:hAnsi="Arial" w:cs="Arial"/>
                <w:vertAlign w:val="subscript"/>
                <w:lang w:eastAsia="sr-Latn-RS"/>
              </w:rPr>
              <w:t>NH3,cold</w:t>
            </w:r>
            <w:r w:rsidRPr="00B03342">
              <w:rPr>
                <w:rFonts w:ascii="Arial" w:hAnsi="Arial" w:cs="Arial"/>
                <w:lang w:eastAsia="sr-Latn-RS"/>
              </w:rPr>
              <w:t>) + (0,9 × c</w:t>
            </w:r>
            <w:r w:rsidRPr="00B03342">
              <w:rPr>
                <w:rFonts w:ascii="Arial" w:hAnsi="Arial" w:cs="Arial"/>
                <w:vertAlign w:val="subscript"/>
                <w:lang w:eastAsia="sr-Latn-RS"/>
              </w:rPr>
              <w:t>NH3,hot</w:t>
            </w: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(7-180)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5"/>
        <w:gridCol w:w="943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NH3,cold</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концентрација NH3 у NRTC-у с хладним покретањем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c</w:t>
            </w:r>
            <w:r w:rsidRPr="00B03342">
              <w:rPr>
                <w:rFonts w:ascii="Arial" w:hAnsi="Arial" w:cs="Arial"/>
                <w:vertAlign w:val="subscript"/>
                <w:lang w:eastAsia="sr-Latn-RS"/>
              </w:rPr>
              <w:t>NH3,hot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средња концентрација NH3 у NRTC-у с топлим покретањем [ppm]</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обрачун средњих концентрација за NRSC с дискретним начинима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lastRenderedPageBreak/>
        <w:t>Средња концентрација NH</w:t>
      </w:r>
      <w:r w:rsidRPr="00B03342">
        <w:rPr>
          <w:rFonts w:ascii="Arial" w:hAnsi="Arial" w:cs="Arial"/>
          <w:color w:val="000000"/>
          <w:vertAlign w:val="subscript"/>
          <w:lang w:eastAsia="sr-Latn-RS"/>
        </w:rPr>
        <w:t>3</w:t>
      </w:r>
      <w:r w:rsidRPr="00B03342">
        <w:rPr>
          <w:rFonts w:ascii="Arial" w:hAnsi="Arial" w:cs="Arial"/>
          <w:color w:val="000000"/>
          <w:lang w:eastAsia="sr-Latn-RS"/>
        </w:rPr>
        <w:t> у издувном гасу током испитног циклуса c</w:t>
      </w:r>
      <w:r w:rsidRPr="00B03342">
        <w:rPr>
          <w:rFonts w:ascii="Arial" w:hAnsi="Arial" w:cs="Arial"/>
          <w:color w:val="000000"/>
          <w:vertAlign w:val="subscript"/>
          <w:lang w:eastAsia="sr-Latn-RS"/>
        </w:rPr>
        <w:t>NH3</w:t>
      </w:r>
      <w:r w:rsidRPr="00B03342">
        <w:rPr>
          <w:rFonts w:ascii="Arial" w:hAnsi="Arial" w:cs="Arial"/>
          <w:color w:val="000000"/>
          <w:lang w:eastAsia="sr-Latn-RS"/>
        </w:rPr>
        <w:t> [ppm] утврђује се мерењем средње концентрације за сваки начин рада </w:t>
      </w:r>
      <w:r w:rsidRPr="00B03342">
        <w:rPr>
          <w:rFonts w:ascii="Arial" w:hAnsi="Arial" w:cs="Arial"/>
          <w:i/>
          <w:iCs/>
          <w:color w:val="000000"/>
          <w:lang w:eastAsia="sr-Latn-RS"/>
        </w:rPr>
        <w:t>i</w:t>
      </w:r>
      <w:r w:rsidRPr="00B03342">
        <w:rPr>
          <w:rFonts w:ascii="Arial" w:hAnsi="Arial" w:cs="Arial"/>
          <w:color w:val="000000"/>
          <w:lang w:eastAsia="sr-Latn-RS"/>
        </w:rPr>
        <w:t> пондерисањем резултата у складу с факторима пондерисања који се примењују на испитни циклус. Примењује се једначина (7-181):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CFC31E6" wp14:editId="02131CE6">
            <wp:extent cx="5057140" cy="445135"/>
            <wp:effectExtent l="0" t="0" r="0" b="0"/>
            <wp:docPr id="47" name="Picture 47" descr="A mathematical formula showing CN113 as the sum of the product of sigma subscript N113,i and WF subscript i from i equals 1 to N nod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A mathematical formula showing CN113 as the sum of the product of sigma subscript N113,i and WF subscript i from i equals 1 to N nodes.&#10;&#10;Description generated by AI"/>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057140" cy="4451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69"/>
        <w:gridCol w:w="8631"/>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val="en-US"/>
              </w:rPr>
              <w:drawing>
                <wp:inline distT="0" distB="0" distL="0" distR="0" wp14:anchorId="32485CF3" wp14:editId="1D22B55E">
                  <wp:extent cx="723265" cy="230505"/>
                  <wp:effectExtent l="0" t="0" r="635" b="0"/>
                  <wp:docPr id="46" name="Picture 46" descr="A mathematical expression showing a variable with a bar over it followed by CNH3,i.&#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A mathematical expression showing a variable with a bar over it followed by CNH3,i.&#10;&#10;Description generated by AI"/>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723265" cy="23050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средња концентрација NH</w:t>
            </w:r>
            <w:r w:rsidRPr="00B03342">
              <w:rPr>
                <w:rFonts w:ascii="Arial" w:hAnsi="Arial" w:cs="Arial"/>
                <w:vertAlign w:val="subscript"/>
                <w:lang w:eastAsia="sr-Latn-RS"/>
              </w:rPr>
              <w:t>3</w:t>
            </w:r>
            <w:r w:rsidRPr="00B03342">
              <w:rPr>
                <w:rFonts w:ascii="Arial" w:hAnsi="Arial" w:cs="Arial"/>
                <w:lang w:eastAsia="sr-Latn-RS"/>
              </w:rPr>
              <w:t> у издувном гасу за начин рада </w:t>
            </w:r>
            <w:r w:rsidRPr="00B03342">
              <w:rPr>
                <w:rFonts w:ascii="Arial" w:hAnsi="Arial" w:cs="Arial"/>
                <w:i/>
                <w:iCs/>
                <w:lang w:eastAsia="sr-Latn-RS"/>
              </w:rPr>
              <w:t>i</w:t>
            </w:r>
            <w:r w:rsidRPr="00B03342">
              <w:rPr>
                <w:rFonts w:ascii="Arial" w:hAnsi="Arial" w:cs="Arial"/>
                <w:lang w:eastAsia="sr-Latn-RS"/>
              </w:rPr>
              <w:t> [ppm]</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w:t>
            </w:r>
            <w:r w:rsidRPr="00B03342">
              <w:rPr>
                <w:rFonts w:ascii="Arial" w:hAnsi="Arial" w:cs="Arial"/>
                <w:vertAlign w:val="subscript"/>
                <w:lang w:eastAsia="sr-Latn-RS"/>
              </w:rPr>
              <w:t>mode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начинa радa у испитном циклусу</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WF</w:t>
            </w:r>
            <w:r w:rsidRPr="00B03342">
              <w:rPr>
                <w:rFonts w:ascii="Arial" w:hAnsi="Arial" w:cs="Arial"/>
                <w:vertAlign w:val="subscript"/>
                <w:lang w:eastAsia="sr-Latn-RS"/>
              </w:rPr>
              <w:t>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фактор пондерисања за начин рада </w:t>
            </w:r>
            <w:r w:rsidRPr="00B03342">
              <w:rPr>
                <w:rFonts w:ascii="Arial" w:hAnsi="Arial" w:cs="Arial"/>
                <w:i/>
                <w:iCs/>
                <w:lang w:eastAsia="sr-Latn-RS"/>
              </w:rPr>
              <w:t>i</w:t>
            </w:r>
            <w:r w:rsidRPr="00B03342">
              <w:rPr>
                <w:rFonts w:ascii="Arial" w:hAnsi="Arial" w:cs="Arial"/>
                <w:lang w:eastAsia="sr-Latn-RS"/>
              </w:rPr>
              <w:t> [–].</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11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Методологија за прилагођавања резултата лабораторијског испитивања емисије ради укључивања фактора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Дефиниције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потребе овог Прилога примењују се следеће дефиниције: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„циклус старења” значи рад недрумског покретног строја или мотора (брзина, оптерећење, снага) који ће се извршити током периода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„кључни саставни делови повезани с емисијама” значи систем за накнадну обраду издувних гасова, електроничка управљачка јединица мотора и њени припадајући сензори и актуатори и систем поврата издувних гасова, укључујући све повезане филтре, уређаје за хлађење, контролне вентиле и цеви;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„кључно одржавање повезано с емисијама” значи одржавање кључних саставних делова повезаних с емисијама;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1.4. „одржавање повезано с емисијама” значи одржавање које битно утиче на емисије или за које је вероватно да ће утицати на ефикасности у погледу емисија недрумских погонских машина или мотора током нормалног рада у употреби;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1.5. „породица мотора по систему за накнадну обраду” значи произвођачево груписање мотора који су у складу с дефиницијом породице мотора, али који се додатно групишу у породице мотора на основу употребе сличног система за накнадну обраду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1.6. „одржавање неповезано с емисијама” значи одржавање које не утиче битно на емисије и које нема трајан ефекат на погоршање ефикасности у погледу емисија недрумских погонских машина или мотора током нормалног рада у употреби након спровођења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1.7. „распоред акумулације сати рада” значи циклус старења и периоде акумулације сати рада за утврђивање фактора погоршања за породицу мотора по систему за накнадну обраду.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У овом прилогу се наводе детаљи поступака за одабир мотора који ће се испитивати према распореду акумулације сати рада у сврху утврђивања фактора погоршања ради ЕУ хомологације типа и оцењивања усклађености производње типа или породице мотора. Фактори погоршања примењују се на емисије измерене у складу с Прилогом 8 ове уредбе и рачунате у складу с Прилогом 10 ове уредбе у складу с поступком утврђеним у тачки 3.2.7, односно тачки 4.3.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Хомологацијска тела не морају присуствовати испитивањима акумулацијом сати рада или испитивањима емисија спроведеним ради утврђивања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У овом прилогу се такође наводе детаљи радњи одржавања повезаног и неповезаног с емисијама које би требало или могло вршити на моторима који су подвргнути распореду акумулације сати рада. То одржавање мора бити у складу с одржавањем које се ради на моторима у употреби и о којем се обавешћују крајњи корисници нових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Категоре мотора NRE, NRG, IWP, IWA, RLL, RLR, SMB, ATS и поткатегорије NRS-v-2b и NRS-v-3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Избор мотора за утврђивање фактора погоршања периода трајности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3.1.1. За испитивање емисије ради утврђивања фактора погоршања периода трајности емисије бирају се мотори из породице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3.1.2. Мотори из различитих породица мотора могу се додатно комбиновати у породице на основу употребљеног типа система за накнадну обраду издувних гасова или, ако се не употребљава никакав систем за накнадну обраду, на основу сличности техничких карактеристика система за контролу емисија. Мотори различитог промера и радног такта, различите конфигурације, различитих система за управљање ваздухом или различитих система за довод горива могу се сматрати еквивалентнима с обзиром на карактеристике погоршања емисија ако произвођач хомологацијском телу достави податке да постоји оправдана техничка основа за такво одређење. Како би се у исте породице мотора по систему за накнадну обраду издувних гасова сврстали мотори са сличним техничким спецификацијама и уградњом система за накнадну обраду издувних гасова, произвођач мора хомологацијском телу доставити податке којима се доказује да је учинак смањења емисија тих мотора сличан.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3.1.3 Мотор за испитивање мора бити репрезентативан за карактеристике погоршања емисија породице мотора које ће за хомологацију примењивати факторе погоршања. Произвођач мотора бира један мотор репрезентативан за породицу мотора, групу породица мотора или породицу мотора по систему за накнадну обраду, како је утврђено у тачки 3.1.2. овог прилога, ради испитивања током распореда акумулације сати рада из тачке 3.2.2. овог прилога, о чему се обавештава хомологацијско тело пре почетка сваког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3.1.4 Ако хомологацијско тело одлучи да је за најгори сценарио с обзиром на емисије неки други мотор репрезентативан за породицу мотора, групу породица мотора или породицу мотора по систему за накнадну обраду, хомологацијско тело и произвођач мотора заједнички бирају мотор за испитивање 3.2. Утврђивање фактора погоршања периода трајности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Фактори погоршања примењиви на породицу мотора, групу породица мотора или породицу мотора по систему за накнадну обраду изводе се из одабраних мотора на основу распореда акумулације сати рада који обухвата редовно испитивање емисија гасовитих и чврстих материја током сваког испитног циклуса примењивог на категорију мотора. За недрумске динамичке испитне циклусе (NRTC) мотора категорије NRE употребљавају се само резултати испитивања NRTC-ом с топлим покретањем.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3.2.1.1. Хомологацијско тело може на захтев произвођача дозволити употребу фактора погоршања који су утврђени алтернативним поступцима у односу на поступке из тач. од 3.2.2. до 3.2.5. овог прилога. У том случају произвођач хомологацијском телу мора доказати да примењени алтернативни поступци нису мање строги од поступака утврђених у тачк. од 3.2.2. до 3.2.5.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 Распоред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Распореди акумулације сати рада могу се према одабиру произвођача извршити радом недрумске погонске машине опремљеног одабраним мотором према распореду акумулације сати рада „у употреби” или радом одабраног мотора према распореду акумулације сати рада „на динамометру”. Произвођач не мора употребљавати референтно гориво за акумулацију сати рада између испитних тачака мерења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 Акумулација сати рада у употреби и на динамометру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3.2.2.1.1. Произвођач у складу с добром инжењерском проценом одређује начин и трајање акумулације сати рада и циклуса старења за моторе.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3.2.2.1.2. Произвођач одређује испитне тачке на којима ће се мерити емисије гасовитих и чврстих материја током примењивих циклуса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3.2.2.1.2.1. Током распореда акумулације сати рада краћег од периода трајности емисије у складу с тачком 3.2.2.1.7. овог прилога три је минимални број испитних тачака, једна на почетку, једна приближно на средини и једна на крају распореда акумулације радних 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3.2.2.1.2.2. Ако акумулација сати рада траје до краја периода трајности емисије, два је минимални број испитних тачака, једна на почетку и једна на крају акумулације радних 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3.2.2.1.2.3. Произвођач може додатно испитивати на једнако удаљеним међутачкама.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3.2.2.1.3. Вредности емисија на почетној тачки и на крају периода трајности емисије прорачунате у складу с тачком 3.2.5.1. овог прилога или директно измерене у складу с тачком 3.2.2.1.2.2. овог прилога морају бити унутар граничних вредности примењивих на породицу мотора. Међутим, резултати појединачних емисија у међутачкама могу прелазити те граничне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3.2.2.1.4. За категорије или поткатегорије мотора на које се примењује NRTC или за моторе категорија и поткатегорија NRS на које се примењује недрумски динамички испитни циклус за велике моторе с паљењем електричном искром (LSI-NRTC), произвођач може затражити сагласност хомологацијског тела за примену само једног испитног циклуса (NRTC-a с топлим покретањем или LSI-NRTC-a, према потреби, или NRSC-a) на свакој испитној тачки и примену осталих испитних циклуса само на почетку и на крају распореда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3.2.2.1.5. За категоре или поткатегорије мотора за које не постоји примењив недрумски динамички циклус у Прилогу 12 ове уредбе, на свакој испитној тачки примењује се само NRSC.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3.2.2.1.6. Распореди акумулације сати рада могу се разликовати за различите породице мотора по систему за накнадну обраду.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3.2.2.1.7. Распоред акумулације сати рада може бити краћи од периода трајности емисије, али не сме бити краћи од еквивалента најмање једне четвртине релевантног периода трајности емисије утврђеног у Прилогу 13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3.2.2.1.8. Допуштено је убрзано старење прилагођавањем распореда акумулације сати рада на основу потрошње горива. Прилагођавање се заснива на односу између уобичајене потрошње горива у употреби и потрошње горива у циклусу старења, али потрошња горива у циклусу старења не сме прелазити уобичајену потрошњу горива у употреби за више од 30 %.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3.2.2.1.9. Уз одобрење хомологацијског тела произвођач може применити алтернативне методе за убрзано старење.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3.2.2.1.10. Распоред акумулације сати рада мора се описати у потпуности у захтеву за хомологацију и доставити хомологацијском телу пре почетка свих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3.2.2.2. Ако хомологацијско тело одлучи да је потребно провести додатна мерења између тачака које је одабрао произвођач, оно мора о томе обавестити произвођача. Произвођач мора саставити ревидирани распоред акумулације сати рада који хомологацијско тело мора прихватити.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 Испитивање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3.2.3.1. Стабилизација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3.2.3.1.1. За сваку породицу мотора по систему за накнадну обраду произвођач одређује након колико је сати рада недрумске погонске машине или мотора рад његовог система за накнадну обраду стабилизован. На захтев хомологацијског тела произвођач мора дати на увид податке и анализе које је употребио при одређивању тог броја. Алтернативно, произвођач може држати мотор или недрумску погонску машину у погону од 60 до 125 сати или еквивалентно периоде у циклусу старења како би стабилизовао његов систем за накнадну обраду.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3.2.3.1.2. Крај периода стабилизације одређен у тачки 3.2.3.1.1. овог прилога сматра се почетком распореда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3.2.3.2. Испитивање акумулацијом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3.2.3.2.1. Након стабилизаце мотор ради према распореду акумулације сати рада који одабере произвођач, како је описано у тачки 3.2.2 овог прилога. У периодичним интервалима током распореда акумулације сати рада које одреди произвођач и, ако је примењиво, о којима одлучи хомологацијско тело у складу с тачком 3.2.2.2. овог прилога испитују се емисије плиновитих и крутих материја из мотора у NRTC-у с топлим покретањем и NRSC-у или LSI-NRTC-у и NRSC-у примењивима на категорију мотора, како је утврђено у Прилогу 12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може одабрати да се емисије загађујућих материја испред било којег система за накнадну обраду издувних гасова мере одвојено од емисија загађујућих материја иза било којег система за накнадну обраду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складу тачком 3.2.2.1.4. овог прилога ако је договорено да се на свакој испитној тачки проведе само један испитни циклус (NRTC с топлим покретањем, LSI-NRTC или NRSC), други испитни циклус (NRTC с топлим покретањем, LSI-NRTC или NRSC) примењује се на почетку и на крају распореда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складу с тачком 3.2.2.1.5. овог прилога, за категорије или поткатегорије мотора за које не постоји примењив недрумски динамички циклус утврђен у Прилогу 12 ове уредбе, у свакој се испитној тачки примењује само NRSC.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3.2.3.2.2. Током распореда акумулације сати рада одржавање мотора примењује се у складу с тачком 3.4.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3.2.3.2.3. Током распореда акумулације сати рада може се обављати непланирано одржавање мотора или недрумске погонске машине, на пример ако је произвођачев уобичајени систем за дијагностику детектовао проблем који обавештава руковаоца недрумске погонске машине да је дошло до квара.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3.2.4. Извештавање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3.2.4.1. Резултати свих испитивања емисија (NRTC с топлим покретањем, LSI-NRTC и NRSC) спроведених током распореда акумулације сати рада морају се ставити на располагање хомологацијском телу. Ако се неко испитивање емисија прогласи неважећим, произвођач мора образложити зашто је то испитивање проглашено неважећим. У том случају мора се спровести додатан низ испитивања емисија унутар следећих 100 сати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3.2.4.2. Произвођач мора чувати евиденцију свих података о свим испитивањима емисија и о сваком одржавању обављеном на мотору током распореда акумулације сати рада. Ти подаци се достављају хомологацијском телу заједно са резултатима испитивања емисија која су спроведена током распореда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3.2.5. Одређивање фактора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3.2.5.1. Током распореда акумулације сати рада у складу с тачком 3.2.2.1.2.1. овог прилога или тачком 3.2.2.1.2.3. овог прилога, за сваку загађујућу материју која је измерена током NRTC-a с топлим покретањем, LSI-NRTC-a и NRSC-a на свакој испитној тачки током распореда акумулације сати рада, ради се најпримеренија анализа линеарне регресије на основу свих резултата испитивања. Резултати сваког испитивања за сваку загађујућу материју изражавају се једнаким бројем децималних места као и граничне вредности за ту загађујућу материју, како је примењиво на породицу мотора, уз још једно додатно децимално место.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у складу с тачком 3.2.2.1.4. овог прилога или тачком 3.2.2.1.5. овог прилога спроведен само један испитни циклус (NRTC с топлим покретањем, LSI-NRTC или NRSC) на свакој испитној тачки, регресијска анализа ради се само на основу резултата испитивања добијених у испитном циклусу спроведеном на свакој испитној тачки.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може од хомологацијског тела затражити претходно одобрење за нелинеарну регресију.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3.2.5.2. Вредности емисија за сваку загађујућу материју на почетку периода акумулације сати рада и на завршетку периода трајности емисије примењивог на испитивани мотор 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утврђују екстраполацијом регресијске једначине из тачке 3.2.5.1. овог прилога током периода акумулације сати рада у складу с тачком 3.2.2.1.2.1. овог прилога или тачком 3.2.2.1.2.3. овог прилога;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директно мере током распореда акумулације сати рада у складу с тачком 3.2.2.1.2.2.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вредности емисија употребљавају за породице мотора које припадају истој групи породица мотора или истој породици мотора по систему за накнадну обраду, али које имају различита раздобља трајности емисије, тада се вредности емисије на крају раздобља трајности емисије поновно прорачунавају за свако раздобље трајности емисије екстраполацијом или интерполацијом регресијске једначине, како је одређено у тачки 3.2.5.1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3.2.5.3. Фактор погоршања (DF) за сваку загађујућу материју одређује се као однос примењених вредности емисија на крају периода трајности емисије и примењених вредности емисија на почетку распореда акумулације сати рада (мултипликативни фактор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Произвођач може од хомологацијског тела затражити претходно одобрење за примену додатног DF-a за сваку загађујућу материју. Адитивни DF дефинише се као разлика прорачунатих вредности емисија на крају периода трајности емисије и прорачунатих вредности емисија на почетку распореда акумулације сати рада.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Пример одређивања DF-ова применом линеарне регресије приказан је на слици 3.1. за емисију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Мешање мултипликативних и адитивних фактора погоршања унутар једне групе загађујућих материја не допуштено.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прорачуном добије вредност мања од 1,00 за мултипликативни DF, односно мања од 0,00 за адитивни DF, фактор погоршања износи 1,00, односно 0,00.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у складу с тачком 3.2.2.1.4. овог прилогадоговорено да се на свакој испитној тачки спроводи само један испитни циклус (NRTC с топлим покретањем, LSI-NRTC или NRSC) и да се други испитни циклус (NRTC с топлим покретањем, LSI-NRTC или NRSC) спроводи само на почетку и на крају распореда акумулације сати рада, фактор погоршања прорачунат за испитни циклус који је спроведен у свакој испитној тачки примењив је и на други испитни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3.2.6. Задати фактори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3.2.6.1. Као алтернатива примени распореда акумулације сати рада за одређивање DF-ова, произвођачи мотора могу се одлучити на примену задатих мултипликативних DF-ова из табеле 3.1.</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3.1. Задати фактори погоршања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51"/>
        <w:gridCol w:w="1027"/>
        <w:gridCol w:w="996"/>
        <w:gridCol w:w="1279"/>
        <w:gridCol w:w="1279"/>
        <w:gridCol w:w="96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Испитни циклус</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CO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HC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r w:rsidRPr="00B03342">
              <w:rPr>
                <w:rFonts w:ascii="Arial" w:hAnsi="Arial" w:cs="Arial"/>
                <w:lang w:eastAsia="sr-Latn-RS"/>
              </w:rPr>
              <w:t>NO</w:t>
            </w:r>
            <w:r w:rsidRPr="00B03342">
              <w:rPr>
                <w:rFonts w:ascii="Arial" w:hAnsi="Arial" w:cs="Arial"/>
                <w:vertAlign w:val="subscript"/>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PN</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NRTC и LSI-NRTC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NRSC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1,15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1,0</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Нема задатих адитивних фактора погоршања. Задати мултипликативни DF-ови не смеју се претварати у адитивне DF-ове.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3.2.6.1.1 Не доводећи у питање тачку 3.2.6.1. овог прилога, за PN се може узети адитивни DF од 0,0 или мултипликативни DF од 1,0 у комбинацији с резултатима претходног испитивања DF-ова којим није утврђена вредност PN-а ако су испуњена оба следећа услова: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претходно испитивање фактора погоршања спроведено је на технологији мотора која би испуњавала услове за уврштавање у исту породицу мотора по систему за накнадну обраду, како је утврђено у тачки 3.1.2. овог прилога, као и породица мотора на коју се планирају применити фактори погоршања;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резултати испитивања употребљени су за ранију хомологацију типа додељену пре примењивог датума ЕУ хомологације типа из Прилога 11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3.2.6.2. Ако се употребљавају задати DF-ови, произвођач мора хомологацијском телу доставити чврсте доказе да се од саставних делова за контролу емисија може разумно очекивати да имају трајност емисије повезану с тим задатим факторима. Ти докази се могу темељити на анализи конструкције, на испитивањима или на комбинацији те анализе и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3.2.7. Примена фактора погоршања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3.2.7.1. Мотори се морају налазити унутар одговарајуће граничне вредности емисије за сваку загађујућу материју, како је примењиво на породицу мотора, након што се примене фактори погоршања на резултат испитивања измерен у складу с Прилогом 8 ове уредбе (специфична емисија пондерисана према циклусу за честице и сваки појединачни гас). У зависности од врсте фактора погоршања примењује се следеће: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мултипликативне факторе: (специфична емисија пондерисана према циклусу) × DF ≤ гранична вредност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адитивне факторе: (специфична емисија пондерисана према циклусу)+DF ≤ гранична вредност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Специфична емисија пондерисана према циклусу може укључивати прилагођавање за неучесталу регенерацију, ако је примењиво.</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3.2.7.2. За мултипликативни фактор погоршања NO</w:t>
      </w:r>
      <w:r w:rsidRPr="00B03342">
        <w:rPr>
          <w:rFonts w:ascii="Arial" w:hAnsi="Arial" w:cs="Arial"/>
          <w:color w:val="000000"/>
          <w:vertAlign w:val="subscript"/>
          <w:lang w:eastAsia="sr-Latn-RS"/>
        </w:rPr>
        <w:t>x</w:t>
      </w:r>
      <w:r w:rsidRPr="00B03342">
        <w:rPr>
          <w:rFonts w:ascii="Arial" w:hAnsi="Arial" w:cs="Arial"/>
          <w:color w:val="000000"/>
          <w:lang w:eastAsia="sr-Latn-RS"/>
        </w:rPr>
        <w:t> + HC, засебни фактори погоршања за HC и NO</w:t>
      </w:r>
      <w:r w:rsidRPr="00B03342">
        <w:rPr>
          <w:rFonts w:ascii="Arial" w:hAnsi="Arial" w:cs="Arial"/>
          <w:color w:val="000000"/>
          <w:vertAlign w:val="subscript"/>
          <w:lang w:eastAsia="sr-Latn-RS"/>
        </w:rPr>
        <w:t>x</w:t>
      </w:r>
      <w:r w:rsidRPr="00B03342">
        <w:rPr>
          <w:rFonts w:ascii="Arial" w:hAnsi="Arial" w:cs="Arial"/>
          <w:color w:val="000000"/>
          <w:lang w:eastAsia="sr-Latn-RS"/>
        </w:rPr>
        <w:t> утврђују се и примењују одвојено у прорачуну нивоа погоршања емисија из резултата испитивања емисија пре комбиновања добијених вредности погоршања NO</w:t>
      </w:r>
      <w:r w:rsidRPr="00B03342">
        <w:rPr>
          <w:rFonts w:ascii="Arial" w:hAnsi="Arial" w:cs="Arial"/>
          <w:color w:val="000000"/>
          <w:vertAlign w:val="subscript"/>
          <w:lang w:eastAsia="sr-Latn-RS"/>
        </w:rPr>
        <w:t>x </w:t>
      </w:r>
      <w:r w:rsidRPr="00B03342">
        <w:rPr>
          <w:rFonts w:ascii="Arial" w:hAnsi="Arial" w:cs="Arial"/>
          <w:color w:val="000000"/>
          <w:lang w:eastAsia="sr-Latn-RS"/>
        </w:rPr>
        <w:t>и HC ради утврђивања усклађености с граничном вредности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3.2.7.3. Произвођач се може одлучити на преношење фактора погоршања одређених за једну породицу мотора по систему за накнадну обраду на мотор који не обухваћен том породицом. У тим случајевима произвођач мора хомологацијском телу доказати да мотор за који је породица мотора по систему за накнадну обраду изворно испитивана и мотор на који се фактори погоршања преносе имају сличне техничке спецификације и захтеве за уградњу у недрумску погонску машну тако да су емисије тог мотора сличне.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фактори погоршања преносе на мотор с различитим периодом трајности емисије, морају се прерачунати за примењив период трајности емисије екстраполацијом или интерполацијом регресијске једначине, како је утврђено у тачки 3.2.5.1.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3.2.7.4. Фактор погоршања за сваку загађујућу материју за сваки примењиви испитни циклус бележи се у испитном извештају.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 Проверавање усклађености производње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3.3.2. Произвођач може измерити емисије загађујућих материја испред било ког система за накнадну обраду издувних гасова током спровођења ЕУ хомологацијског испитивања. У ту сврху произвођач може одредити неслужбене факторе погоршања за мотор без система за накнадну обраду и за систем за накнадну обраду који тај произвођач може употребити као помоћ за контролу на крају производне линије.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3.3.3. За потребе ЕУ хомологације типа у испитном извештају бележе се само фактори погоршања утврђени у складу с тачком 3.2.5. или 3.2.6.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 Одржавање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потребе распореда акумулације сати рада одржавање се спроводи у складу с произвођачевим приручником за сервисирање и одржавање.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 Планирано одржавање повезано с емисијама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3.4.1.1. Планирано одржавање повезано с емисијама које се спроводи кад је мотор у погону ради распореда акумулације сати рада обавља се у интервалима који су једнаки онима који су наведени у произвођачевим упутствима за одржавање за крајњег корисника недрумске погонске машине или мотора. Тај распоред одржавања може се према потреби ажурирати током распореда акумулације сати рада под условом да се ниједан поступак одржавања не избрише из распореда одржавања након што се спроведе на испитном мотору.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3.4.1.2. Сва прилагођавања, растављања, чишћења или замене кључних саставних делова повезаних с емисијама које се периодично обављају током периода трајности емисије како би се спречио квар мотора морају се обављати само у мери у којој је то технолошки нужно како би се осигурало исправно функционирање система за контролу емисија. Током распореда акумулације сати рада и након одређеног броја сати рада мотора избегавају се планиране замене кључних саставних делова повезаних с емисијама осим оних који се рутински мењају. У том контексту се потрошни делови који се редовно мењају или делови које је након одређеног броја сати рада мотора потребно очистити сматрају деловима који се рутински мењају.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3.4.1.3. Сви захтеви за планирано одржавање подлежу одобрењу хомологацијског тела пре доделе ЕУ хомологације типа те се морају навести у корисничком приручнику. Хомологацијско тело не сме одбити одобрити разумне и технички нужне захтеве за одржавање, међу осталим, захтеве утврђене у тачки 3.4.1.4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3.4.1.4. За потребе распореда акумулације сати рада произвођач мотора одређује свако намештање, чишћење, одржавање, према потреби, и планирану замену следећих делова: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филтера и хладњака у поврату издувних гасова (EGR);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вентила за принудно прозрачивање кућишта коленастог вратила, ако је примењиво;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сапница за убризгавање горива (допуштено је само чишћење);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бризгаљки за гориво;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турбодуваљки;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електроничке управљачке јединице мотора и њених припадајућих сензора и актуатора;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система за накнадну обраду честица (укључујући припадајуће саставне делове);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система за накнадну обраду NO</w:t>
      </w:r>
      <w:r w:rsidRPr="00B03342">
        <w:rPr>
          <w:rFonts w:ascii="Arial" w:hAnsi="Arial" w:cs="Arial"/>
          <w:color w:val="000000"/>
          <w:vertAlign w:val="subscript"/>
          <w:lang w:eastAsia="sr-Latn-RS"/>
        </w:rPr>
        <w:t>x</w:t>
      </w:r>
      <w:r w:rsidRPr="00B03342">
        <w:rPr>
          <w:rFonts w:ascii="Arial" w:hAnsi="Arial" w:cs="Arial"/>
          <w:color w:val="000000"/>
          <w:lang w:eastAsia="sr-Latn-RS"/>
        </w:rPr>
        <w:t> (укључујући припадајуће саставне делове);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повраћаја издувних гасова, укључујући све припадајуће управљачке вентиле и цеви;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свих осталих система за накнадну обраду издувних гасова.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3.4.1.5. Планирано кључно одржавање повезано с емисијама спроводи се само ако се мора спровести у употреби и ако је крајњи корисник мотора или недрумске погонске машине упознат с тим захтевом.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3.4.2. Измене планираног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хомологацијском телу подноси захтев за одобрење сваког новог планираног одржавања које жели спроводити током распореда акумулације сати рада и након тога препоручити крајњим корисницима недрумских погонских машина и мотора. Уз захтев се морају приложити подаци у прилог потребе за новим планираним одржавањем и интервала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3.4.3. Планирано одржавање неповезано с емисијама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Разумно и технички нужно планирано одржавање неповезано с емисијама (на пример, замена уља, замена филтера уља, замена филтера горива, замена филтера ваздуха, одржавање расхладног система, намештање брзине празног хода, регулатор, притезање шрафова мотора, подешавање вентилације вентила, намештање бризгаљке, намештање напетости погонског ремена итд.) може се провести на моторима или недрумским погонским машинама одабраним за распоред акумулације сати рада у најмање учесталим интервалима које је произвођач препоручио крајњем кориснику (на пример, не у интервалима препорученим за тешке услове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 Поправка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3.5.1. Поправке саставних делова мотора одабраног за испитивање током распореда акумулације сати рада спроводе се само у случају квара саставног дела или неисправности у раду мотора. Поправка самог мотора, система за контролу емисија или система за довод горива није допуштен, осим у мери дефинисаној у тачки 3.5.2.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3.5.2. Ако мотор, припадајући систем за контролу емисија или припадајући систем за довод горива откаже током распореда акумулације сати рада, та акумулација сати рада се сматра неважећом и мора се покренути нова акумулација сати рада с новим мотором.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Претходни став се не примењује ако се покварени саставни делови замене еквивалентним саставним деловима који су прошли кроз сличан број сати акумулације сати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Категорије и поткатегорије мотора NRSh и NRS, осим поткатегорија NRS-v-2b и NRS-v-3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Примењива категорија периода трајности емисије и одговарајући фактор погоршања одређују се у складу с овим одељком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Породица мотора сматра се усклађеном с граничним вредностима утврђеним за поткатегорију ако резултати испитивања емисија свих мотора репрезентативних за ту породицу мотора, након што се прилагоде множењем с DF-ом утврђеним у одељку 2. овог прилога, нису виши од граничних вредности утврђених за ту поткатегорију мотора. Међутим, ако макар један резултат испитивања емисија макар једног од мотора репрезентативних за породицу мотора, након што се прилагоди множењем с DF-ом утврђеним у одељку 2. овог прилога, буде виши од макар једне граничне вредности појединачне емисије утврђене за ту поткатегорију мотора, породица мотора се не сме сматрати усклађеном с граничним вредностима утврђеним за ту поткатегорију.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 Фактори погоршања одређују се следећим поступком.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4.3.1. На најмање једном испитиваном мотору репрезентативном за конфигурацију одабрану као највероватнију за прекорачење граничних вредности емисија HC + NO</w:t>
      </w:r>
      <w:r w:rsidRPr="00B03342">
        <w:rPr>
          <w:rFonts w:ascii="Arial" w:hAnsi="Arial" w:cs="Arial"/>
          <w:color w:val="000000"/>
          <w:vertAlign w:val="subscript"/>
          <w:lang w:eastAsia="sr-Latn-RS"/>
        </w:rPr>
        <w:t>x</w:t>
      </w:r>
      <w:r w:rsidRPr="00B03342">
        <w:rPr>
          <w:rFonts w:ascii="Arial" w:hAnsi="Arial" w:cs="Arial"/>
          <w:color w:val="000000"/>
          <w:lang w:eastAsia="sr-Latn-RS"/>
        </w:rPr>
        <w:t> и конструисаним да буде репрезентативан за моторе у производњи спроводи се (потпун) поступак испитивања емисија како је описано у Прилогу 13 ове уредбе након броја сати који одговара стабилизацији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4.3.2. Ако се испитује више од једног мотора, резултати се рачунају као просек резултата свих испитаних мотора заокружен на број децималних места једнак броју децималних места примењиве граничне вредности и изражен с још једном значајном цифром.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4.3.3. Такво испитивање емисија се понавља након старења мотора. Поступак старења треба осмислити тако да произвођачу омогући да на одговарајући начин предвиди погоршање емисије у употреби током EDP-a, узимајући у обзир врсту истрошености и остале механизме погоршања који се очекују током уобичајене комерцијалне употребе, а који би могли утицати на учинак емисија. Ако се испитује више од једног мотора, резултати се рачунају као просек резултата свих испитаних мотора заокружен на број децималних места једнак броју децималних места примењиве граничне вредности и изражен с још једном значајном цифром.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4.3.4. Емисије на крају EDP-a (просечне емисије, ако је примењиво) за сваку регулисану загађујућу материју деле се са стабилизовним емисијама (с просечним емисијама, ако је примењиво) и заокружују на две значајне цифре. Добијен је резултат DF, осим ако је мањи од 1,00 у том случају је DF 1,00.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4.3.5. Произвођач може одредити додатне тачке испитивања емисија између тачке испитивања стабилизоване емисије и краја EDP-a. Ако су планирана међуиспитивања, испитне тачке се морају равномерно распоредити унутар целог EDP-a (плус или минус два сата) и једна таква испитна тачка мора да буде на половини целог EDP-a (плус или минус два сата).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4.3.6. За сваку загађујућу материју HC + NO</w:t>
      </w:r>
      <w:r w:rsidRPr="00B03342">
        <w:rPr>
          <w:rFonts w:ascii="Arial" w:hAnsi="Arial" w:cs="Arial"/>
          <w:color w:val="000000"/>
          <w:vertAlign w:val="subscript"/>
          <w:lang w:eastAsia="sr-Latn-RS"/>
        </w:rPr>
        <w:t>x</w:t>
      </w:r>
      <w:r w:rsidRPr="00B03342">
        <w:rPr>
          <w:rFonts w:ascii="Arial" w:hAnsi="Arial" w:cs="Arial"/>
          <w:color w:val="000000"/>
          <w:lang w:eastAsia="sr-Latn-RS"/>
        </w:rPr>
        <w:t> и CO мора се методом најмањих квадрата уцртати равна црта између тачака узимања података, при чему се узима да је почетно испитивање у нултом сату. DF је прорачуната емисија на крају периода трајности подељена с прорачунаном емисијом у нултом сату. DF за сваку загађујућу материју за примењиви испитни циклус бележи се у испитном извештају.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4.3.7. Прорачунати фактори погоршања могу обухватати додатне породице уз ону на којој су генерисани ако произвођач пре ЕУ хомологације хомологацијском телу достави образложење да се од тих породица мотора може оправдано очекивати да имају сличне карактеристике погоршања емисија на основу њихове конструкције и примењене технологије.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наставку је наведен неискључив попис група по конструкцији и технологији: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конвенционални двотактни мотори без система за накнадну обраду,</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конвенционални двотактни мотори с катализатором од истог активног материјала и пуњења и с једнаким бројем ћелија по cm</w:t>
      </w:r>
      <w:r w:rsidRPr="00B03342">
        <w:rPr>
          <w:rFonts w:ascii="Arial" w:hAnsi="Arial" w:cs="Arial"/>
          <w:color w:val="000000"/>
          <w:vertAlign w:val="super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двотактни мотори са слојевитим системом испирања;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двотактни мотори са слојевитим системом испирања и катализатором од истог активног материјала и пуњења и с једнаким бројем ћелија по cm</w:t>
      </w:r>
      <w:r w:rsidRPr="00B03342">
        <w:rPr>
          <w:rFonts w:ascii="Arial" w:hAnsi="Arial" w:cs="Arial"/>
          <w:color w:val="000000"/>
          <w:vertAlign w:val="superscript"/>
          <w:lang w:eastAsia="sr-Latn-RS"/>
        </w:rPr>
        <w:t>2</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четворотактни мотори с катализатором с истом технологијом вентила и идентичним системом за подмазивање,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четверотактни мотори с катализатором с истом технологијом вентила и идентичним системом за подмазивање.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 Категорије EDP-ова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4.4.1. За категорије мотора из табеле V.3. или V.4. у Прилогу 13 ове уредбе с алтернативним вредностима EDP-a произвођачи морају у тренутку ЕУ хомологације навести примењиву категорију EDP-a за сваку породицу мотора. Та категорија мора бити категорија из табеле 3.2. која је најближа очекиваном веку употребе опреме у коју се очекује да ће се мотори уграђивати, како је то одредио произвођач мотора. Произвођачи морају чувати одговарајуће податке за доказивања свог одабира категорије EDP-a за сваку породицу мотора. Ти подаци се на захтев морају доставити хомологацијском телу.</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3.2. Категорије EDP-ова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54"/>
        <w:gridCol w:w="6746"/>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Категорија EDP-a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Намена мотора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категорија 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Потрошачки производи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категорија 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Полупрофесионални производи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категорија 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професионални производи</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4.4.2. Произвођач мора доказати хомологацијском телу да је декларисана одговарајућа категорија EDP-a. Подаци којима се доказује произвођачев одабир категорије EDP-a за неку породицу мотора могу обухватати, између осталог: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испитивања века трајања опреме у коју се уграђују предметни мотори,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технолошке процене погонских старих мотора како би се утврдио тренутак у којем се радна способност мотора погорша до нивоа на којем је учинак на корисност и/или поузданост толики да је нужан ремонт или замена,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изјаве о гаранцији и гарантни период,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промотивне материјале у погледу века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извештаје о кваровима добијених од корисника мотора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технолошке процене о издржљивости у сатима посебних технологија, материјала или конструкције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12</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Захтеви у погледу стратегија контроле емисија, мера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и мера за контролу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Дефиниције, скраћенице и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За потребе овог Прилога примењују се следеће дефиниције и скраћенице: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„дијагностички код неисправности” или „DTC” значи бројчани или алфанумерички идентификатор за идентификацију или означавање NCM-a и/PCM-a;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„потврђен и активан DTC” значи DTC који се похрањује кад NCD и/или PCD закључи да постоји квар;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„породица мотора по NCD-у” значи произвођачево груписање мотора на основу заједничких метода праћења/дијагностиковања NCM-ова;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 „дијагностички систем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или „NCD” значи систем уграђен у мотор који има способност:</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детектовања неисправности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утврђивања могућег узрока неисправности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 помоћу информација похрањених у меморији рачунара и/или слања тих информација изван уграђених система.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(5) „неисправност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 или „NCM” значи покушај обављања недопуштеног захвата на систему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неког мотора или неисправност која утиче на тај систем која би могла бити последица недопуштеног захвата детектовања којих на основу ове уредбе захтева активацију система за упозоравање или за принуду;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„дијагностички систем за контролу честица” или „PCD” значи систем уграђен у мотор који има способност: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детектовања неисправности у контроли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утврђивања могућег узрока неисправности у контроли честица помоћу информација похрањених у меморији рачунара и/или слања тих информација изван уграђених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„неисправност у контроли честица” или „PCM” значи покушај обављања недопуштеног захвата на систему за накнадну обраду честица неког мотора или неисправност која утиче на систем за накнадну обраду честица која може бити последица недопуштеног захвата детектовања којих на основу ове уредбе захтева активацију система за упозоравање или за принуду;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 „породица мотора по PCD-у” значи произвођачево груписање мотора на основу заједничких метода праћења/дијагностиковања PCM-ова;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 „алат за скенирање” значи спољна опрема за тестирање која се употребљава за спољну комуникацију с NCD-ом и/или PCD-ом.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Температура околине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 доводећи у питање члан 2. став 7. ове уредбе, ако се спомиње температура околине која се односи на окружење које није лабораторијско, примењују се следеће одредбе: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1.2.1. за моторе на испитном столу, температура околине је температура ваздуха за сагоревање који се доводи мотору испред свих делова испитиваног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1.2.2. за моторе уграђене у недрумске погонске машине, температура околине је температура ваздуха непосредно изван недрумске погонске машине.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Технички захтеви у погледу стратегија контроле емисија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xml:space="preserve">2.1. Овај се одељак 2. примењује на електронски управљане моторе категорија NRE, NRG, IWP, IWA, RLL и RLR који су у складу са степеном V. граничних вредности емисија и код којих се електронско управљање употребљава за одређивање </w:t>
      </w:r>
      <w:r w:rsidRPr="00B03342">
        <w:rPr>
          <w:rFonts w:ascii="Arial" w:hAnsi="Arial" w:cs="Arial"/>
          <w:color w:val="000000"/>
          <w:lang w:eastAsia="sr-Latn-RS"/>
        </w:rPr>
        <w:lastRenderedPageBreak/>
        <w:t>количине горива и тренутка убризгавања горива и за активацију, деактивацију или модулацију система за контролу емисија коришћеног за смањивање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Захтеви за основну стратегију контроле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Основна стратегија контроле емисија осмишљена је тако да омогући да мотор у уобичајеној употреби буде у складу са одредбама ове уредбе. Уобичајена употреба није ограничена на услове контроле утврђене у тачки 2.4.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 Основне стратегије контроле емисија укључују, између осталог, дијаграме или алгоритме за управљање: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тренутком убризгавања горива или тренутком паљења;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повратом издувних гасова (EGR);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дозирањем реагенса селективног каталитичког редукцијског катализатора (SCR).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 Забрањене су све основне стратегије контроле емисија које могу разликовати рад мотора у нормираном ЕУ хомологацијском испитивању од рада у осталим радним условима и на основу тога смањити ниво контроле емисија кад мотор не ради у условима који су знатно присутни у ЕУ хомологацијском поступку.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2.2.3.1 Не доводећи у питање тачку 2.2.3. овог прилога, за моторе (пот)категорија који се за потребе ЕУ хомологације не испитују у недрумским динамичким испитним циклусима основна стратегија контроле емисија може утврдити динамичке радне услове и применити одговарајућу стратегију контроле емисија. У том се случају та стратегија контроле емисија мора уврстити у преглед основне стратегије контроле емисија, која се захтева, и у поверљиве информације о стратегији контроле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2.2.4 Произвођач мора у тренутку ЕУ хомологацијског испитивања доказати техничкој служби да је рад основне стратегије контроле емисија у целости у складу с одредбама овог одељка документацијом наведеном у тачки 2.6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Захтеви за помоћну стратегију контроле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Мотор или недрумски покретни строј може активирати помоћну стратегију контроле емисија под условом: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2.3.1.1. да AECS не смањује трајно делотворност система за контролу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2.3.1.2. да AECS делује искључиво изван услова контроле утврђених у тач. 2.4.1, 2.4.2. или 2.4.3. овог прилога у сврхе утврђене у тачки 2.3.5. овог прилога и не дуже него што је то потребно у те сврхе, осим ако је допуштено у тач. 2.3.1.3, 2.3.2. и 2.3.4.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2.3.1.3. да се AECS активира изванредно унутар подручја услова контроле из тач. 2.4.1, 2.4.2, односно 2.4.3. овог прилога ако се то покаже нужним ради сврха утврђених у тачки 2.3.5. овог прилога и након одобрења хомологацијског тела, стога не буде активна дуже него што је то потребно за те сврхе;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2.3.1.4. да AECS осигурава ниво радног учинка система контроле емисија која је онолико колико је то могуће блиска нивоу радног учинка основне стратегије контроле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 Ако се током ЕУ хомологацијског испитивања активира помоћна стратегија контроле емисија, та активација не сме бити ограничена на подручје изван услова контроле утврђених у тачки 2.4. овог прилога и њена сврха не сме бити ограничена на критеријуме из тачке 2.3.5.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2.3.3. Ако се током ЕУ хомологацијског испитивања помоћна стратегија контроле емисија не активира, мора се доказати да је помоћна стратегија контроле емисија активна само онолико дуго колико је потребно за сврхе утврђене у тачки 2.3.5.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2.3.4. Рад при ниским температурама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Помоћна стратегија контроле емисија може се активирати на мотору с рециркулацијом издувних гасова (EGR) без обзира на услове контроле из тачке 2.4. овог прилога ако је температура околине нижа од 275 К (2 °C) и ако је испуњен један од следећа два критеријума: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(а) температура усисне гране није виша од температуре дефинисане следећом једначином: IMT</w:t>
      </w:r>
      <w:r w:rsidRPr="00B03342">
        <w:rPr>
          <w:rFonts w:ascii="Arial" w:hAnsi="Arial" w:cs="Arial"/>
          <w:color w:val="000000"/>
          <w:vertAlign w:val="subscript"/>
          <w:lang w:eastAsia="sr-Latn-RS"/>
        </w:rPr>
        <w:t>c</w:t>
      </w:r>
      <w:r w:rsidRPr="00B03342">
        <w:rPr>
          <w:rFonts w:ascii="Arial" w:hAnsi="Arial" w:cs="Arial"/>
          <w:color w:val="000000"/>
          <w:lang w:eastAsia="sr-Latn-RS"/>
        </w:rPr>
        <w:t> = P</w:t>
      </w:r>
      <w:r w:rsidRPr="00B03342">
        <w:rPr>
          <w:rFonts w:ascii="Arial" w:hAnsi="Arial" w:cs="Arial"/>
          <w:color w:val="000000"/>
          <w:vertAlign w:val="subscript"/>
          <w:lang w:eastAsia="sr-Latn-RS"/>
        </w:rPr>
        <w:t>IM</w:t>
      </w:r>
      <w:r w:rsidRPr="00B03342">
        <w:rPr>
          <w:rFonts w:ascii="Arial" w:hAnsi="Arial" w:cs="Arial"/>
          <w:color w:val="000000"/>
          <w:lang w:eastAsia="sr-Latn-RS"/>
        </w:rPr>
        <w:t>/15,75 + 304,4, при чему је: IMT</w:t>
      </w:r>
      <w:r w:rsidRPr="00B03342">
        <w:rPr>
          <w:rFonts w:ascii="Arial" w:hAnsi="Arial" w:cs="Arial"/>
          <w:color w:val="000000"/>
          <w:vertAlign w:val="subscript"/>
          <w:lang w:eastAsia="sr-Latn-RS"/>
        </w:rPr>
        <w:t>c</w:t>
      </w:r>
      <w:r w:rsidRPr="00B03342">
        <w:rPr>
          <w:rFonts w:ascii="Arial" w:hAnsi="Arial" w:cs="Arial"/>
          <w:color w:val="000000"/>
          <w:lang w:eastAsia="sr-Latn-RS"/>
        </w:rPr>
        <w:t> прорачуната температура усисне гране изражена у K, P</w:t>
      </w:r>
      <w:r w:rsidRPr="00B03342">
        <w:rPr>
          <w:rFonts w:ascii="Arial" w:hAnsi="Arial" w:cs="Arial"/>
          <w:color w:val="000000"/>
          <w:vertAlign w:val="subscript"/>
          <w:lang w:eastAsia="sr-Latn-RS"/>
        </w:rPr>
        <w:t>IM</w:t>
      </w:r>
      <w:r w:rsidRPr="00B03342">
        <w:rPr>
          <w:rFonts w:ascii="Arial" w:hAnsi="Arial" w:cs="Arial"/>
          <w:color w:val="000000"/>
          <w:lang w:eastAsia="sr-Latn-RS"/>
        </w:rPr>
        <w:t> апсолутни притисак усисне гране изражен у kPa;</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 температура расхладног средства мотора није већа од температуре дефинисане следећом једначином: ECT</w:t>
      </w:r>
      <w:r w:rsidRPr="00B03342">
        <w:rPr>
          <w:rFonts w:ascii="Arial" w:hAnsi="Arial" w:cs="Arial"/>
          <w:color w:val="000000"/>
          <w:vertAlign w:val="subscript"/>
          <w:lang w:eastAsia="sr-Latn-RS"/>
        </w:rPr>
        <w:t>c</w:t>
      </w:r>
      <w:r w:rsidRPr="00B03342">
        <w:rPr>
          <w:rFonts w:ascii="Arial" w:hAnsi="Arial" w:cs="Arial"/>
          <w:color w:val="000000"/>
          <w:lang w:eastAsia="sr-Latn-RS"/>
        </w:rPr>
        <w:t> = P</w:t>
      </w:r>
      <w:r w:rsidRPr="00B03342">
        <w:rPr>
          <w:rFonts w:ascii="Arial" w:hAnsi="Arial" w:cs="Arial"/>
          <w:color w:val="000000"/>
          <w:vertAlign w:val="subscript"/>
          <w:lang w:eastAsia="sr-Latn-RS"/>
        </w:rPr>
        <w:t>IM</w:t>
      </w:r>
      <w:r w:rsidRPr="00B03342">
        <w:rPr>
          <w:rFonts w:ascii="Arial" w:hAnsi="Arial" w:cs="Arial"/>
          <w:color w:val="000000"/>
          <w:lang w:eastAsia="sr-Latn-RS"/>
        </w:rPr>
        <w:t>/14,004 + 325,8, при чему је: ECT</w:t>
      </w:r>
      <w:r w:rsidRPr="00B03342">
        <w:rPr>
          <w:rFonts w:ascii="Arial" w:hAnsi="Arial" w:cs="Arial"/>
          <w:color w:val="000000"/>
          <w:vertAlign w:val="subscript"/>
          <w:lang w:eastAsia="sr-Latn-RS"/>
        </w:rPr>
        <w:t>c</w:t>
      </w:r>
      <w:r w:rsidRPr="00B03342">
        <w:rPr>
          <w:rFonts w:ascii="Arial" w:hAnsi="Arial" w:cs="Arial"/>
          <w:color w:val="000000"/>
          <w:lang w:eastAsia="sr-Latn-RS"/>
        </w:rPr>
        <w:t> прорачуната температура расхладног средства мотора изражена у K, P</w:t>
      </w:r>
      <w:r w:rsidRPr="00B03342">
        <w:rPr>
          <w:rFonts w:ascii="Arial" w:hAnsi="Arial" w:cs="Arial"/>
          <w:color w:val="000000"/>
          <w:vertAlign w:val="subscript"/>
          <w:lang w:eastAsia="sr-Latn-RS"/>
        </w:rPr>
        <w:t>IM</w:t>
      </w:r>
      <w:r w:rsidRPr="00B03342">
        <w:rPr>
          <w:rFonts w:ascii="Arial" w:hAnsi="Arial" w:cs="Arial"/>
          <w:color w:val="000000"/>
          <w:lang w:eastAsia="sr-Latn-RS"/>
        </w:rPr>
        <w:t> апсолутни притисак усисне гране изражен у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2.3.5. Осим како је допуштено у тачки 2.3.2. овог прилога помоћна стратегија контроле емисија сме се активирати искључиво у следеће сврхе: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сигналима на контролној плочи ради заштите од оштећења мотора (укључујући заштиту уређаја за управљање протоком ваздуха) и/или недрумског погонског уређаја у који је мотор уграђен;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ради сигурности у раду;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ради спречавања прекомерних емисија при хладном покретању, загревању или искључивању;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ако се употребљава за компензацију контроле једне регулисане загађујуће материје у одређеним условима околине или радним условима, ради задржавања свих регулисаних загађујућих материја у оквиру граничних вредности емисија које одговарају том мотору. Сврха је компензација за природне феномене тако да се прихватљиво контролишу сви саставни делови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2.3.6. Произвођач мора у тренутку ЕУ хомологацијског испитивања доказати техничкој служби да је рад сваке помоћне стратегије контроле емисија у потпуности у складу с одредбама овог одељка. Доказивање се састоји од оцењивања документације из тачке 2.6.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2.3.7. Забрањен је сваки рад помоћне стратегије контроле емисија који није у складу с тач. од 2.3.1. до 2.3.5.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Услови контроле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Услови контроле дефинишу надморску висину, температуру околине и распон температуре расхладне течности мотора на основу којих се одређује могу ли се помоћне стратегије контроле емисија генерално или само изузетно активирати у складу с тачком 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Услови контроле дефинишу атмосферски притисак који се мери као апсолутни атмосферски статички притисак (суво или влажно стање) (атмосферски притисак).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2.4.1. Услови контроле за моторе категорија IWP и IWA: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надморска висина која не прелази 500 метара (или еквивалентан атмосферски притисак од 95,5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температура околине у распону од 275° K до 303° K (од 2°C до 30°C);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температура расхладне течности мотора изнад 343 K° (70°C).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 Услови контроле за моторе категорије RLL: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надморска висина која не прелази 1.000 метара (или еквивалентан атмосферски притисак од 90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температура околине у распону од 275 K до 303 K (од 2°C до 30°C);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температура расхладне течности мотора изнад 343 K (70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2.4.3. Услови контроле за моторе категорија NRE, NRG и RLR: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атмосферски притисак од најмање 82,5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температура околине у следећем распону: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најниже 266 K(– 7 °C);</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 највиша температура добијена следећом једначином при наведеном атмосферском притиску: T</w:t>
      </w:r>
      <w:r w:rsidRPr="00B03342">
        <w:rPr>
          <w:rFonts w:ascii="Arial" w:hAnsi="Arial" w:cs="Arial"/>
          <w:color w:val="000000"/>
          <w:vertAlign w:val="subscript"/>
          <w:lang w:eastAsia="sr-Latn-RS"/>
        </w:rPr>
        <w:t>c</w:t>
      </w:r>
      <w:r w:rsidRPr="00B03342">
        <w:rPr>
          <w:rFonts w:ascii="Arial" w:hAnsi="Arial" w:cs="Arial"/>
          <w:color w:val="000000"/>
          <w:lang w:eastAsia="sr-Latn-RS"/>
        </w:rPr>
        <w:t> = – 0,4514 × (101,3 – Pb) + 311, при чему је: T</w:t>
      </w:r>
      <w:r w:rsidRPr="00B03342">
        <w:rPr>
          <w:rFonts w:ascii="Arial" w:hAnsi="Arial" w:cs="Arial"/>
          <w:color w:val="000000"/>
          <w:vertAlign w:val="subscript"/>
          <w:lang w:eastAsia="sr-Latn-RS"/>
        </w:rPr>
        <w:t>c</w:t>
      </w:r>
      <w:r w:rsidRPr="00B03342">
        <w:rPr>
          <w:rFonts w:ascii="Arial" w:hAnsi="Arial" w:cs="Arial"/>
          <w:color w:val="000000"/>
          <w:lang w:eastAsia="sr-Latn-RS"/>
        </w:rPr>
        <w:t> прорачуната температура ваздуха изражена у K, P</w:t>
      </w:r>
      <w:r w:rsidRPr="00B03342">
        <w:rPr>
          <w:rFonts w:ascii="Arial" w:hAnsi="Arial" w:cs="Arial"/>
          <w:color w:val="000000"/>
          <w:vertAlign w:val="subscript"/>
          <w:lang w:eastAsia="sr-Latn-RS"/>
        </w:rPr>
        <w:t>b</w:t>
      </w:r>
      <w:r w:rsidRPr="00B03342">
        <w:rPr>
          <w:rFonts w:ascii="Arial" w:hAnsi="Arial" w:cs="Arial"/>
          <w:color w:val="000000"/>
          <w:lang w:eastAsia="sr-Latn-RS"/>
        </w:rPr>
        <w:t> атмосферски притисак изражен у kPa.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температура расхладне течности мотора изнад 343 K(70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2.5. Ако се сензор температуре улазног ваздуха мотора употребљава за процену температуре ваздуха, номинално померање између две мерне тачке процењује се за тип или породицу мотора. Ако се употребљава измерена температура улазног ваздуха, та се температура прилагођава за износ једнак номиналном померању како би се проценила температуре околине за постројење с одређеним типом или породицом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Процена померања обавља се добром инжењерском проценом на основу техничких елемената (прорачуна, симулација, експерименталних резултата, података итд.) укључујући: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уобичајене категорије недрумских покретних машина у које ће се уградити тип или породица мотора;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упутства за уградњу које је произвођач доставио OEM-у.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Примерак процене доставља се на захтев хомологацијском телу.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 Захтеви за документацију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2.6.1 Произвођач мора поштовати захтеве за документацију.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2.6.2 Произвођач се мора побринути да су сви документи употребљени у ту сврху означени идентификацијским бројем и датумом издавања. Произвођач је дужан да обавести хомологацијско тело сваки пут кад се забележени подаци промене. У том је случају је дужан или издати ажурирану верзију тих докумената, на којима су релевантне странице јасно означене с датумом ревизије и природом измене, или алтернативно издати нову консолидовану верзију с навођењем у којем је детаљан опис и датум сваке измене.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Технички захтеви у погледу мера за контролу NOx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3.1. Овај се одељак 3. примењује на електронски управљане моторе категорија NRE, NRG, IWP, IWA, RLL и RLR који су у складу са степеном V. граничних вредности емисија и код којих се електронско управљање употребљава за одређивање количине горива и тренутка убризгавања горива као и за активацију, деактивацију или модулацију система за контролу емисија употребљаваног за смањивање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3.2. Произвођач мора доставити све информације о функционалним оперативним карактеристикама мера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и за то употребљавати документе.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3.3. Стратегија контроле NO</w:t>
      </w:r>
      <w:r w:rsidRPr="00B03342">
        <w:rPr>
          <w:rFonts w:ascii="Arial" w:hAnsi="Arial" w:cs="Arial"/>
          <w:color w:val="000000"/>
          <w:vertAlign w:val="subscript"/>
          <w:lang w:eastAsia="sr-Latn-RS"/>
        </w:rPr>
        <w:t>x</w:t>
      </w:r>
      <w:r w:rsidRPr="00B03342">
        <w:rPr>
          <w:rFonts w:ascii="Arial" w:hAnsi="Arial" w:cs="Arial"/>
          <w:color w:val="000000"/>
          <w:lang w:eastAsia="sr-Latn-RS"/>
        </w:rPr>
        <w:t> мора бити оперативна у свим условима околине, а посебно при ниским температурама околине.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3.4. Произвођач мора доказати да емисија амонијака током примењивог циклуса испитивања емисија уз употребу реагенса у ЕУ хомологацијском поступку не прелази средњу вредност од 25 ppm за моторе категорије RLL односно 10 ppm за моторе свих осталих примењивих категорија.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3.5. Ако су спремници за реагенс уграђени у или прикључени на недрумску погонску машину, морају се приложити средства за узимање узорка реагенса унутар спремника. Место за узимање узорака мора бити једноставно приступачно без потребе за употребом посебног алата или уређаја.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3.6. Уз захтеве из тач. од 3.2. до 3.5. овог прилога примењују се: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за моторе категорије NRG, технички захтеви из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за моторе категорије NRE:</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ако је мотор искључиво намењен за употребу уместо мотора у складу са степеном V. категорија IWP и IWA, у складу са захтевима из Додатка 2. овог прилога или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ако мотор није обухваћен алинејом и), захтеви из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за моторе категорија IWP, IWA и RLR, технички захтеви из Додатка 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за моторе категорије RLL, технички захтеви из Додатка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Технички захтеви у погледу мера за контролу чврстих загађујућих материја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4.1. Овај се одељак примењује на моторе поткатегорија које подлежу граничној вредности броја честица у складу с граничним вредностима емисија степена V. који су опремљени системом за накнадну обраду честица. Ако систем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и систем за контролу честица деле исте физичке саставне делове (нпр. исти носач (SCR на филтеру), исти сензор температуре издувних гасова), захтеви из овог одељка 4. не примењују се на саставни део или неисправност за које, након разматрања произвођачеве образложене процене, хомологацијско тело закључи да би неисправност контроле честица унутар подручја примене овог одељка довела до одговарајуће неисправности контроле NO</w:t>
      </w:r>
      <w:r w:rsidRPr="00B03342">
        <w:rPr>
          <w:rFonts w:ascii="Arial" w:hAnsi="Arial" w:cs="Arial"/>
          <w:color w:val="000000"/>
          <w:vertAlign w:val="subscript"/>
          <w:lang w:eastAsia="sr-Latn-RS"/>
        </w:rPr>
        <w:t>x</w:t>
      </w:r>
      <w:r w:rsidRPr="00B03342">
        <w:rPr>
          <w:rFonts w:ascii="Arial" w:hAnsi="Arial" w:cs="Arial"/>
          <w:color w:val="000000"/>
          <w:lang w:eastAsia="sr-Latn-RS"/>
        </w:rPr>
        <w:t> унутар подручја примене одељка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Детаљни технички захтеви који се односе на мере за контролу чврстих загађујућих материје наведени су у Додатку 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1.</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Додатни технички захтеви у погледу мера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за моторе категорија NRE и NRG, укључујући методу за доказивање тих стратегија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У овом се додатку утврђују додатни захтеви ради осигуравања исправног рада мера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Он обухвата захтеве за моторе који се у сврху смањивања емисија ослањају на употребу реагенса. ЕУ хомологација се додељује уз услов примене релевантних одредаба у погледу упутстава за употребу, упутстава за уградњу, система за упозоравање руковаоца, система за принуду и заштите реагенса од смрзавања утврђених у овом додатку.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Општи захтеви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Мотор мора бити опремљен дијагностичким системом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(NCD) који може препознати неисправности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 (NCM-ови). Сви мотори обухваћени овим ставом 2. морају бити конструисани, израђени и уграђени тако да могу испуњавати ове захтеве током целог уобичајеног животног века мотора у уобичајеним условима употребе. Да би се постигао тај циљ, прихватљиво је да код мотора који су се употребљавали дуже од одговарајућег периода трајности емисије, како је утврђено у Прилогу 13 ове уредбе, буде видљиво одређено погоршање радног учинка и осетљивости дијагностичког система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(NCD), па се зато прагови утврђени у овом прилогу могу прекорачити пре активације система за упозоравање и/или за принуду.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Потребне информације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Ако је за рад система за контролу емисија потребан реагенс, произвођач мора навести врсту реагенса, информације о концентрацији кад је реагенс у течности, његову радну температуру и упућивање на међународне стандарде за састав и квалитету.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 Детаљне писане информације које у целости описују функционалне радне карактеристике система за упозоравање руковаоца утврђеног у одељку 4. овог прилога те система за принуду руковаоца утврђеног у одељку 5. овог прилога морају се доставити хомологацијском телу при подношењу захтева за хомологацију.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 Произвођач мора OEM-у дати документацију с упутствима како се мотор уграђује у недрумску покретну машину тако да мотор, његов систем за контролу емисија и делови недрумске покретне машине раде у складу са захтевима из овога додатка. Та документација мора укључивати детаљне техничке захтеве за мотор (софтвер, хардвер и комуникацијски систем) потребне за исправну уградњу мотора у недрумску покретну машину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Радни услови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Праћење нивоа реагенса у спремнику врши се у свим условима у којима је мерење технички изведиво (на пример, у свим условима у којима текући реагенс није смрзнут).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2.2.2 Заштита реагенса од смрзавања примењује се на температури околине од 266 К (– 7 °С) и нижој.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2.2.3 Сви елементи дијагностичког система за контролу NОx осим оних из тачака 2.2.1. и 2.2.2. овог прилога морају бити оперативни барем у примењивим условима контроле утврђенима у тачки 2.4. овог Прилога за сваку категорију мотора. Дијагностички систем мора бити оперативан ван тог распона ако је то технички могуће.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Заштита реагенса од смрзавања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Допуштена је употреба грејаног или негрејаног спремника за реагенс и система за дозирање реагенса. Грејани систем мора испуњавати захтеве из тачака од 2.3.2.2. до 2.3.2.2.4. овог прилога негрејани систем мора испуњавати захтеве из тачке 2.3.2.3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2.3.1.1. Начин употребе негрејаног спремника за реагенс и система за дозирање реагенса наводи се у писаним упутствима за крајњег корисника недрумске покретне машине.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 Спремник за реагенс и систем за дозирање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2.3.2.1. Ако се реагенс смрзнуо, он мора бити спреман за употребу у року од највише 70 минута од покретања мотора при температури околине од 266 K (– 7 °C).</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 Критеријуми за конструкцију система за грејање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 грејање мора бити конструисан тако да при испитивању уз примену утврђеног поступка испуни захтеве за радну способност утврђене у тач. од 2.3.2. до 2.3.2.2.4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2.3.2.2.1. Спремник за реагенс и систем за дозирање реагенса кондиционирају се на температури од 255 K (– 18 °C) током 72 сата или док се реагенс не стврдне, зависно о томе што наступи прво.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2.3.2.2.2. Након периода кондиционирања утврђеног у тачки 2.3.2.2.1. овог прилога недрумски покретни мотор поновно се покреће и ради на следећи начин на температури околине од 266 K (– 7 °C) или нижој: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10 до 20 минута у празном ходу након чега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највише 50 минута уз највише 40 % номиналног оптерећења.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2.3.2.2.3. На крају поступка испитивања утврђеног у тачки 2.3.2.2.2. овог прилога систем за дозирање реагенса мора бити потпуно функционалан.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2.3.2.3. Активација система упозорења и навођења за кориснике за неугрејани систем.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2.3.2.3.1 Систем упозорења за кориснике описан у тач. од 4. до 4.9. активира се ако не дође до дозирања реагенса при температури околине ≤ 266 К (-7 °С).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2.3.2.3.2 Систем за нужду високог нивоа из тачке 5.4. активира се ако на температури околине ≤ 266 К (-7 °С) не дође до дозирања реагенса у року од највише 70 минута од покретања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2.3.2.2.4 Процена конструкцијских критеријумума може се направити у испитној ћелији хладне коморе на целој недрумској покретној машини или деловима репрезентативним за делове који ће се уграђивати у недрумску покретну машину, или на основу испитивања на терену.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 Дијагностички захтеви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2.4.1. Дијагностички систем за контролу NO</w:t>
      </w:r>
      <w:r w:rsidRPr="00B03342">
        <w:rPr>
          <w:rFonts w:ascii="Arial" w:hAnsi="Arial" w:cs="Arial"/>
          <w:color w:val="000000"/>
          <w:vertAlign w:val="subscript"/>
          <w:lang w:eastAsia="sr-Latn-RS"/>
        </w:rPr>
        <w:t>x</w:t>
      </w:r>
      <w:r w:rsidRPr="00B03342">
        <w:rPr>
          <w:rFonts w:ascii="Arial" w:hAnsi="Arial" w:cs="Arial"/>
          <w:color w:val="000000"/>
          <w:lang w:eastAsia="sr-Latn-RS"/>
        </w:rPr>
        <w:t> (NCD) мора бити способан препознати неисправности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 (NCM-ови) према дијагностичким кодовима неисправности (DTC-ови) похрањенима у меморији рачунала и на захтев послати ту информацију изван уграђених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 Захтеви за бележење дијагностичких кодова неисправности (DTC-ови)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2.4.2.1. NCD мора забележити DTC за сваку појединачну неисправност у контроли NO</w:t>
      </w:r>
      <w:r w:rsidRPr="00B03342">
        <w:rPr>
          <w:rFonts w:ascii="Arial" w:hAnsi="Arial" w:cs="Arial"/>
          <w:color w:val="000000"/>
          <w:vertAlign w:val="subscript"/>
          <w:lang w:eastAsia="sr-Latn-RS"/>
        </w:rPr>
        <w:t>x</w:t>
      </w:r>
      <w:r w:rsidRPr="00B03342">
        <w:rPr>
          <w:rFonts w:ascii="Arial" w:hAnsi="Arial" w:cs="Arial"/>
          <w:color w:val="000000"/>
          <w:lang w:eastAsia="sr-Latn-RS"/>
        </w:rPr>
        <w:t> (NCM).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2.4.2.2. NCD мора у року од 60 минута од почетка рада мотора детектовати постоји ли утврдива неисправност. Тада се похрањује „потврђен и активан DTC и активира систем за упозоравање у складу с одељком 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2.4.2.3. Ако је потребно више од 60 минута рада да би јединице за праћење тачно детектовале и потврдиле NCM (нпр. јединице за праћење које користе статистичке моделе или прате потрошњу течности у недрумској покретној машини), хомологацијско тело може допустити дужи период праћења ако произвођач образложи потребу за тим дужим периодом (на пример, техничким разлозима, експерименталним резултатима, властитим искуством итд.).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2.4.3. Захтеви за брисање дијагностичких кодова неисправности (DTC-ова)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(a) NCD не сме самостално избрисати DTC из рачунарске меморије пре него што неисправност повезана с тим DTC-ом не буде исправљена.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NCD може избрисати све DTC-ове на налог власничког алата за скенирање или одржавање, који произвођач мотора доставља на захтев, или помоћу лозинке коју је доставио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2.4.4. NCD се не сме програмирати или на други начин конципирати тако да се деломично или потпуно деактивира на основу старости недрумске покретне машине током животног века мотора нити сме садржавати било какав алгоритам или стратегију осмишљену за смањивање делотворности NCD-а с временом.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2.4.5. Репрограмабилни рачунарски код или радни параметри NCD-a морају бити отпорни на недопуштене захвате.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2.4.6. Породица мотора по NCD-у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Произвођач је одговоран за одређивање састава породице мотора по NCD-у. Груписање мотора у породицу мотора по NCD-у базира се на доброј инжењерској процени и подлеже одобрењу хомологацијског тела.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који не припадају истој породици мотора свеједно могу припадати истој породици мотора по NCD-у.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2.4.6.1. Параметри којима се одређује породица мотора по NCD-у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Породицу мотора по NCD-у карактеризују основни конструкцијски параметри који су заједнички моторима у породици.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Да би мотори припадали истој породици мотора по NCD-у, морају имати сличне следеће основне параметре: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системе за контролу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методе праћења NCD-a;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критеријуме праћења NCD-a;</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параметре праћења (нпр. учесталост).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 сличности произвођач доказује релевантним инжењерским поступцима доказивања или осталим одговарајућим поступцима те их мора одобрити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може од хомологацијског тела затражити хомологацију мањих разлика у методама праћења/дијагностиковања NCD-a због разлика у конфигурацији мотора ако произвођач те методе сматра сличнима и ако се методе разликују искључиво ради прилагођавања специфичним карактеристикама разматраних саставних делова (на пример величини, протоку издувних гасова итд.) или ако се њихове сличности базирају на доброј инжењерској процени.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Захтеви у погледу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ОЕМ мора свим крајњим корисницима нових недрумских покретних машина дати писана упутства за систем за контролу емисија и његов исправан рад у складу с Прилогом 8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Систем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Недрумска покретна машина мора имати систем за упозоравање руковаоца с визуалним упозорењима која руковаоцу сигнализирају детекцију ниског нивоа реагенса, неодговарајуће квалитета реагенса, прекида дозирања или неисправности из одељка 9. након чега следи активација система за принуду руковаоца ако се проблем не отклони правовремено. Систем за упозоравање мора остати активан након активације система за принуду руковаоца из одељка 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То упозорење не сме бити једнако упозорењу које се употребљава ради упозоравања на неисправност у раду или друго одржавање мотора, иако може употребљавати исти систем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 Систем за упозоравање руковаоца може се састојати од најмање једне лампице или приказа кратких порука који може обухватати поруке које јасно наводе: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преостало време до активације принуда ниског и/или високог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однос принуде ниског и/или високог нивоа, на пример ниво смањења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услове под којима се блокирање рада недрумске покретне машине може прекинути.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приказују поруке, систем који се употребљава за приказивање порука може бити исти систем који се употребљава за друге потребе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 Ако произвођач тако одлучи, систем за упозоравање може садржавати звучну компоненту за скретање пажње руковаоца. Руковаоц сме искључити звучна упозорења.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4.5. Систем за упозоравање руковаоца активира се како је наведено у тач. 2.3.3.1, 6.2, 7.2, 8.4. односно 9.3.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4.6. Систем за упозоравање руковаоца деактивира се кад услови због којих се активирао више не буду испуњени. Систем за упозоравање руковаоца не сме се аутоматски деактивирати ако узрок његове активације није отклоњен.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4.7. Систем за упозоравање може се привремено прекинути због других сигнала упозорења који дају важне поруке које се односе на сигурност.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4.8. Појединости о поступцима активације и деактивације система за упозоравање руковаоца су описане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4.9. У оквиру захтева за ЕУ хомологацију на основу ове уредбе произвођач мора доказати рад система за упозоравање руковаоца, како је утврђено у одељку 10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Систем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 Мотор мора имати систем за принуду руковаоца који се базира на једном од следећих начела: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5.1.1. двостепени систем за принуду руковаоца који почиње с принудом ниског нивоа (ограничење радног учинка) након које следи принуда високог нивоа (ефективно блокирање рада недрумске покретне машине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5.1.2. једностепени систем за принуду високог нивоа (ефективно блокирање рада недрумске покретне машине) који се активира на основу услова система за принуду ниског нивоа како је наведено у тач. 6.3.1, 7.3.1, 8.4.1. и 9.4.1.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Ако произвођач одабере искључивање мотора ради испуњавања захтева за једностепену принуду високог нивоа, принуда због нивоа реагенса може се, према одабиру произвођача, активирати на основу услова из тачке 6.3.2. овог прилога уместо услова из тачке 6.3.1.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 Мотор може бити опремљен средством за блокирање принуде руковаоца ако је оно у складу са захтевима из тачке 5.2.1.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5.2.1. Мотор може бити опремљен средством за привремено блокирање принуде руковаоца у изванредним ситуацијама које прогласе националне или регионалне власти, њихове хитне службе или оружане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5.2.1.1. Ако је мотор опремљен средством за привремено блокирање принуде руковаоца, примењују се сви следећи услови: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најдужи период рада током којег руковаоц може блокирати принуду износи 120 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метода активације мора бити осмишљена с мерама за спречавање случајне активације тако да за активацију мора бити потребна двострука добровољна радња те та метода мора бити јасно означена барем упозорењем „САМО ЗА ХИТНЕ СЛУЧАЈЕВЕ”;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блокирање принуде мора се аутоматски деактивирати након што протекне 120 сати те руковаоц мора располагати начином за ручну деактивацију блокирања ако изванредна ситуација прође;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након што протекне 120 сати више не сме бити могуће блокирати принуду осим ако се средство за блокирање поновно активира уношењем привременог сигурносног кода произвођача или ако квалифицирани сервисер поновно конфигурира електронску управљачку јединицу мотора или једнаковредну сигурносну направу која је јединствена за сваки мотор;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укупан број активација блокирања и њихово трајање морају се похранити у неизбрисиву електронску меморију или бројаче како би се осигурало да се информације не могу намерно избрисати. Национална инспекцијска тела морају моћи прочитати те записе помоћу алата за скенирање;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опис повезивања и метода читања за записе из тачке (е) морају се унети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(е) произвођач мора водити евиденцију свих захтева за поновну активацију средства за привремено блокирање те је на захтев доставити Комисији или националним телима.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 Систем за принуду ниског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5.3.1. Систем за принуду ниског нивоа мора се активирати након појаве било којег од услова из тач. 6.3.1, 7.3.1, 8.4.1. и 9.4.1.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5.3.2. Системом за принуду ниског нивоа поступно се смањује највећи расположиви закретни момент мотора у целом подручју брзина мотора за најмање 25 % између вршне брзине закретног момента и прекидне тачке регулатора како је приказано на слици 4.1. овог прилога. Стопа смањења закретног момента износи најмање 1 % по минути.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5.3.3. Могу се употребљавати и остале мере принуде за које се хомологацијском телу докаже да имају једнак или виши ниво принуде.</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4.1. Програм смањивања закретног момента при принуди ниског нивоа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7948E85" wp14:editId="792C6712">
            <wp:extent cx="5057140" cy="2242185"/>
            <wp:effectExtent l="0" t="0" r="0" b="5715"/>
            <wp:docPr id="45" name="Picture 45" descr="A line graph illustrating the relationship between closing moment and speed with labeled points indicating 75% closing moment, maximum closing moment, and regulator switching point, with shaded areas highlighting chan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A line graph illustrating the relationship between closing moment and speed with labeled points indicating 75% closing moment, maximum closing moment, and regulator switching point, with shaded areas highlighting changes.&#10;&#10;Description generated by AI"/>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057140" cy="224218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5.4. Систем за принуду високог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5.4.1. Систем за принуду високог нивоа мора се активирати након појаве било којег од услова из тач. 2.3.3.2, 6.3.2, 7.3.2, 8.4.2. и 9.4.2.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5.4.2. Системом за принуду високог нивоа мора се смањити употребљивост недрумске покретне машине на ниво који је довољно проблематичан да потакне руковаоца на решавање свих проблема повезаних с тач. од 6. до 9. овог прилога. Следеће су стратегије прихватљиве.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xml:space="preserve">5.4.2.1. Закретни момент мотора између вршне брзине закретног момента и прекидне тачке регулатора поступно се смањује од закретног момента при принуди ниског нивоа са слике 4.1. овог прилога за минимално 1 % по минути на 50 % </w:t>
      </w:r>
      <w:r w:rsidRPr="00B03342">
        <w:rPr>
          <w:rFonts w:ascii="Arial" w:hAnsi="Arial" w:cs="Arial"/>
          <w:color w:val="000000"/>
          <w:lang w:eastAsia="sr-Latn-RS"/>
        </w:rPr>
        <w:lastRenderedPageBreak/>
        <w:t>максималног закретног момента или ниже, а брзина мотора промењиве брзине поступно се смањује на 60 % номиналне брзине или ниже унутар истог временског периода као и смањење закретног момента, како је приказано на слици 4.2. овог прилога.</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4.2. Програм смањивања закретног момента при принуди високог нивоа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377B06D0" wp14:editId="05C13B59">
            <wp:extent cx="5057140" cy="2544445"/>
            <wp:effectExtent l="0" t="0" r="0" b="8255"/>
            <wp:docPr id="44" name="Picture 44" descr="A graph showing the relationship between torque and width with two plotted lines and a shaded area indicating 50% of the torque at 0.6 times a specified valu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A graph showing the relationship between torque and width with two plotted lines and a shaded area indicating 50% of the torque at 0.6 times a specified value.&#10;&#10;Description generated by AI"/>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057140" cy="254444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5.4.2.2. Могу се употребљавати и остале мере принуде за које се хомологацијском телу докаже да имају једнак или виши ниво принуде.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5.5. Како би се узела у обзир сигурносна питања и омогућила дијагностика са самосталним отклањањем проблема, допуштена је употреба функције искључивања принуде како би се мотору вратила пуна снага под условом да је та функција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активна максимално 30 минута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ограничена на три активације током сваког периода кад је систем за принуду руковаоца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5.6. Систем за принуду руковаоца деактивира се кад услови због којих се активирао више не буду испуњени. Систем за принуду руковаоца не сме се аутоматски деактивирати ако узрок његове активације није отклоњен.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5.7. Појединости о поступцима активације и деактивације система за принуду руковаоца наведене су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5.8. У оквиру захтева за ЕУ хомологацију на основу ове уредбе произвођач мора доказати рад система за принуду руковаоца, како је утврђено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Расположивост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 Индикатор нивоа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Недрумска покретна машина мора имати индикатор који руковаоца јасно информише о нивоу реагенса у спремнику за реагенс. Најнижи прихватљив ниво рада индикатора реагенса је континуирани приказ нивоа реагенса док је систем за упозоравање руковаоца из одељка 4. овог прилога активан. Индикатор количине реагенса може приказивати информације аналогно или дигитално те може приказивати ниво реагенса као део пуног обима спремника, количину преосталог реагенса или процењене преостале сате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 Активација система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6.2.1. Систем за упозоравање руковаоца из одељка 4. овог прилога мора се активирати кад се ниво реагенса спусти испод 10 % запремине спремника за реагенс или испод вишег процента који одреди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6.2.2. Упозорење мора бити довољно јасно да, у комбинацији с индикатором нивоа реагенса, руковаоц схвати да је ниво реагенса низак. Ако систем упозорења поседује систем за приказивање порука, визуално упозорење мора приказивати поруку о ниском нивоу реагенса, на пример „ниски ниво урее”, „ниски ниво раствора AdBlue” или „ниски ниво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6.2.3. Систем за упозоравање руковаоца не мора бити континуирано активиран од почетка (на пример, порука не треба бити континуирано приказана), али уколико се ниво реагенса буде смањивао и уколико се буде приближава тачки активације система за принуду руковаоца утолико се степен активације система за упозоравање мора појачавати док сигнал не постане континуиран (на пример, учесталост бљескања лампице). Врхунац тог појачавања је упозоравање руковаоца на нивоу који одреди произвођач, али који је довољно уочљивији на тачки кад се систем за принуду руковаоца из тачке 6.3. овог прилога активира него кад се упозоравање први пут активира.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6.2.4. Не сме бити једноставно блокирати или занемарити континуирано упозорење. Ако систем за упозоравање поседује систем за приказивање порука, мора се приказивати визуална порука, на пример „ниски ниво урее”, „ниски ниво раствора AdBlue” или „ниски ниво реагенса”. Континуирано упозорење сме се привремено прекинути због других упозорења која се односе на сигурност.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6.2.5. Не сме постати могућност искључивања система за упозоравање руковаоца док се реагенс не допуни до нивоа на којој активација тог система није потребна.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 Активација система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6.3.1. Систем за принуду ниског нивоа описан у тачки 5.3. овог прилога мора се активирати кад ниво реагенса у спремнику падне ниже од 2,5 % његове номиналне пуне запремине или испод вишег процента који одреди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6.3.2. Систем за принуду високог нивоа описан у тачки 5.4. овог прилога мора се активирати ако је спремник за реагенс празан, што значи кад систем за дозирање не може више повући реагенс из спремника или кад ниво реагенса падне на било који ниво нижи од 2,5 % његове номиналне пуне запремине коју одреди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6.3.3. Осим у мери у којој је то допуштено у тачки 5.5. овог прилога, не сме постојати могућност искључивања система за принуду ниског или високог нивоа док се реагенс не допуни до нивоа на којој активација тих система није потребна.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Праћење квалитет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 Мотор или недрумска покретна машина мора имати начин за препознавање присутности неодговарајућег реагенса у недрумској покретној машини.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7.1.1. Произвођач мора навести минималну прихватљиву концентрацију реагенса CD</w:t>
      </w:r>
      <w:r w:rsidRPr="00B03342">
        <w:rPr>
          <w:rFonts w:ascii="Arial" w:hAnsi="Arial" w:cs="Arial"/>
          <w:color w:val="000000"/>
          <w:vertAlign w:val="subscript"/>
          <w:lang w:eastAsia="sr-Latn-RS"/>
        </w:rPr>
        <w:t>min</w:t>
      </w:r>
      <w:r w:rsidRPr="00B03342">
        <w:rPr>
          <w:rFonts w:ascii="Arial" w:hAnsi="Arial" w:cs="Arial"/>
          <w:color w:val="000000"/>
          <w:lang w:eastAsia="sr-Latn-RS"/>
        </w:rPr>
        <w:t> при којој емисије NO</w:t>
      </w:r>
      <w:r w:rsidRPr="00B03342">
        <w:rPr>
          <w:rFonts w:ascii="Arial" w:hAnsi="Arial" w:cs="Arial"/>
          <w:color w:val="000000"/>
          <w:vertAlign w:val="subscript"/>
          <w:lang w:eastAsia="sr-Latn-RS"/>
        </w:rPr>
        <w:t>x</w:t>
      </w:r>
      <w:r w:rsidRPr="00B03342">
        <w:rPr>
          <w:rFonts w:ascii="Arial" w:hAnsi="Arial" w:cs="Arial"/>
          <w:color w:val="000000"/>
          <w:lang w:eastAsia="sr-Latn-RS"/>
        </w:rPr>
        <w:t> из издувне цеви не прелазе нижу од следеће две вредности, примењиву граничну вредност NO</w:t>
      </w:r>
      <w:r w:rsidRPr="00B03342">
        <w:rPr>
          <w:rFonts w:ascii="Arial" w:hAnsi="Arial" w:cs="Arial"/>
          <w:color w:val="000000"/>
          <w:vertAlign w:val="subscript"/>
          <w:lang w:eastAsia="sr-Latn-RS"/>
        </w:rPr>
        <w:t>x</w:t>
      </w:r>
      <w:r w:rsidRPr="00B03342">
        <w:rPr>
          <w:rFonts w:ascii="Arial" w:hAnsi="Arial" w:cs="Arial"/>
          <w:color w:val="000000"/>
          <w:lang w:eastAsia="sr-Latn-RS"/>
        </w:rPr>
        <w:t> помножену с 2,25 или примењиву граничну вредност NO</w:t>
      </w:r>
      <w:r w:rsidRPr="00B03342">
        <w:rPr>
          <w:rFonts w:ascii="Arial" w:hAnsi="Arial" w:cs="Arial"/>
          <w:color w:val="000000"/>
          <w:vertAlign w:val="subscript"/>
          <w:lang w:eastAsia="sr-Latn-RS"/>
        </w:rPr>
        <w:t>x</w:t>
      </w:r>
      <w:r w:rsidRPr="00B03342">
        <w:rPr>
          <w:rFonts w:ascii="Arial" w:hAnsi="Arial" w:cs="Arial"/>
          <w:color w:val="000000"/>
          <w:lang w:eastAsia="sr-Latn-RS"/>
        </w:rPr>
        <w:t> увећану за 1,5 g/kWh. За поткатегорије мотора с комбиннованим граничним вредностима HC и NO</w:t>
      </w:r>
      <w:r w:rsidRPr="00B03342">
        <w:rPr>
          <w:rFonts w:ascii="Arial" w:hAnsi="Arial" w:cs="Arial"/>
          <w:color w:val="000000"/>
          <w:vertAlign w:val="subscript"/>
          <w:lang w:eastAsia="sr-Latn-RS"/>
        </w:rPr>
        <w:t>x</w:t>
      </w:r>
      <w:r w:rsidRPr="00B03342">
        <w:rPr>
          <w:rFonts w:ascii="Arial" w:hAnsi="Arial" w:cs="Arial"/>
          <w:color w:val="000000"/>
          <w:lang w:eastAsia="sr-Latn-RS"/>
        </w:rPr>
        <w:t> за потребе ове тачке примењива гранична вредност NO</w:t>
      </w:r>
      <w:r w:rsidRPr="00B03342">
        <w:rPr>
          <w:rFonts w:ascii="Arial" w:hAnsi="Arial" w:cs="Arial"/>
          <w:color w:val="000000"/>
          <w:vertAlign w:val="subscript"/>
          <w:lang w:eastAsia="sr-Latn-RS"/>
        </w:rPr>
        <w:t>x</w:t>
      </w:r>
      <w:r w:rsidRPr="00B03342">
        <w:rPr>
          <w:rFonts w:ascii="Arial" w:hAnsi="Arial" w:cs="Arial"/>
          <w:color w:val="000000"/>
          <w:lang w:eastAsia="sr-Latn-RS"/>
        </w:rPr>
        <w:t> је комбинована гранична вредност HC и NO</w:t>
      </w:r>
      <w:r w:rsidRPr="00B03342">
        <w:rPr>
          <w:rFonts w:ascii="Arial" w:hAnsi="Arial" w:cs="Arial"/>
          <w:color w:val="000000"/>
          <w:vertAlign w:val="subscript"/>
          <w:lang w:eastAsia="sr-Latn-RS"/>
        </w:rPr>
        <w:t>x</w:t>
      </w:r>
      <w:r w:rsidRPr="00B03342">
        <w:rPr>
          <w:rFonts w:ascii="Arial" w:hAnsi="Arial" w:cs="Arial"/>
          <w:color w:val="000000"/>
          <w:lang w:eastAsia="sr-Latn-RS"/>
        </w:rPr>
        <w:t> умањена за 0,19 g/kWh.</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7.1.1.1. Вредност CDmin према произвођачевој спецификацији употребљава се за испитивање из одељка 13. и бележи у Дeо Ц описног документа.</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7.1.2. Све концентрације реагенса ниже од CD</w:t>
      </w:r>
      <w:r w:rsidRPr="00B03342">
        <w:rPr>
          <w:rFonts w:ascii="Arial" w:hAnsi="Arial" w:cs="Arial"/>
          <w:color w:val="000000"/>
          <w:vertAlign w:val="subscript"/>
          <w:lang w:eastAsia="sr-Latn-RS"/>
        </w:rPr>
        <w:t>min</w:t>
      </w:r>
      <w:r w:rsidRPr="00B03342">
        <w:rPr>
          <w:rFonts w:ascii="Arial" w:hAnsi="Arial" w:cs="Arial"/>
          <w:color w:val="000000"/>
          <w:lang w:eastAsia="sr-Latn-RS"/>
        </w:rPr>
        <w:t> морају се детектирати и, за потребе тачке 7.1, сматрати неодговарајућим реагенсом.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 За квалитету реагенса мора постојати посебан бројач (даље у тексту: бројач квалитет реагенса). Бројач квалитет реагенса броји радне сате мотора током којих реагенс није био исправан.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7.1.3.1. Опционално, произвођач може једним бројачем пратити неисправности у погледу квалитет реагенса заједно с једном или више неисправности из одељака 8. и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7.1.4. Појединости о критеријима и механизмима за активацију и деактивацију бројача квалитет реагенса описани су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 Активација система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Кад систем за праћење потврди постојање неисправности у погледу квалитета реагенса, активира се систем за упозоравање руковаоца описан у одељку 4. овог прилога. Ако систем за упозоравање поседује систем за приказивање порука, мора се приказати порука с узроком упозорења, на пример „детектована је неисправна урееа”, „детектован је неисправан AdBlue” или „детектован је неисправан реагенс”.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 Активација система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7.3.1. Систем за принуду ниског нивоа описан у тачки 5.3. овог прилога мора се активирати ако се квалитет реагенса не побољша у року од највише 10 радних сати мотора након активације система за упозоравање руковаоца описаног у тачки 7.2.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7.3.2. Систем за принуду високог нивоа описан у тачки 5.4. овог прилога мора се активирати ако се квалитет реагенса не побољша у року од највише 20 радних сати мотора након активације система за упозоравање руковаоца описаног у тачки 7.2.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7.3.3. Ако се неисправност поновно појави, број сати пре активације система за принуду руковаоца мора се смањити у складу с механизмом описаним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 Дозирање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 Мотор мора имати начин за препознавање прекида дозирања.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 Бројач дозирања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 За дозирање мора постојати посебан бројач („бројач дозирања”). Бројач дозирања броји радне сате мотора током којих је дозирање реагенса прекинуто. То није нужно ако електроничка управљачка јединица мотора затражи прекид јер су радна стања мотора таква да дозирање није потребно ради постизања радног учинка недрумске покретне машине с обзиром на емисије.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8.2.1.1. Опционално, произвођач може једним бројачем пратити неисправности у погледу дозирања реагенса заједно с једном или више неисправности из одељака 7. и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8.2.2. Појединости о критеријима и механизмима за активацију и деактивацију бројача поступака дозирања описане су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8.3. Активација система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 упозоравање руковаоца описан у одељку 4. овог прилога мора се активирати ако се догоди прекид дозирања који активира бројач дозирања реагенса у складу с тачком 8.2.1. овог прилога. Ако систем за упозоравање поседује систем за приказивање порука, мора се приказати порука с узроком упозорења, на пример „неисправно дозирање урее”, „неисправно дозирање раствора AdBlue” или „неисправно дозирање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8.4. Активација система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8.4.1. Систем за принуду ниског нивоа описан у тачки 5.3. овог прилога мора се активирати ако се прекид дозирања реагенса не отклони у року од највише 10 радних сати мотора након активације система за упозоравање руковаоца у складу с тачком 8.3.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8.4.2. Систем за принуду високог нивоа описан у тачки 5.4. овог прилога мора се активирати ако се прекид дозирања реагенса не отклони у року од највише 20 радних сати мотора након активације система за упозоравање руковаоца у складу с тачком 8.3.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8.4.3. Ако се неисправност поновно појави, број сати пре активације система за принуду руковаоца мора се смањити у складу с механизмом описаним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 Остале неисправности које могу бити узроковане недопуштеним захватима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 Уз праћење нивоа реагенса у спремнику, квалитета реагенса и прекида дозирања прате се и следеће неисправности које могу бити узроковане недопуштеним захватима: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(а)неисправности дијагностичког система за контролу NOx (NCD), како је описано у тачки 9.2.1.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(б)неисправности вентила повраћаја издувних гасова (EGR), како је описано у тачки 9.2.2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 Захтеви за праћење и бројачи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 Дијагностички систем за контролу NOx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9.2.1.1. Дијагностички се систем за контролу NOx (NCD) прати ради утврђивања електричних кварова и уклањања или деактивације сваког сензора због којег NCD не би могао дијагностиковати све остале неисправности утврђене у одељцима од 6. до 8. (праћење саставних делова).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Сензори који утичу на дијагностичке способности су међу осталим сензори који непосредно мере концентрацију NOx, сензори за мерење квалитета урее, сензори стања околине и сензори који се употребљавају за праћење дозирања реагенса, његове нивоа или потрошње.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9.2.1.2. Свакој се неисправности из праћења мора доделити бројач. Бројачи NCD-а броје радне сате мотора током којих је DTC повезан с неисправности NCD-а био активан. Различите неисправности NCD-а могу се објединити у један бројач.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9.2.1.2.1. Произвођач може истим бројачем пратити неисправности NCD-а и један систем или више њих из одељака 7. и 8. и тачке 9.2.2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9.2.1.3. Појединости о критеријумима и механизмима за активацију и деактивацију бројача NCD-а описани су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 Блокиран вентил EGR-а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9.2.2.1. Прати се повраћај издувних гасова (EGR) како би се детектовало је ли вентил EGR-а блокиран.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9.2.2.2. Блокираном вентилу EGR-а додељује се бројач. Бројач вентила EGR-а броји радне сате мотора током којих је DTC повезан са блокираним вентилом EGR-а био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9.2.2.2.1. Произвођач може истим бројачем пратити неисправност блокираног вентила EGR-а и један систем или више њих из одељака 7. и 8. и тачке 9.2.1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9.2.2.3. Појединости о критеријумима и механизмима за активацију и деактивацију бројача вентила EGR-а описане су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 Активација система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 упозоравање руковаоца из одељка 4. овог прилога мора се активирати ако се појави било која неисправност из тачке 9.1. овог прилога те упозорити на потребу за хитном поправком. Ако систем за упозоравање поседује систем за приказивање порука, мора се приказати порука с узроком упозорења, на пример „одспојен вентил за дозирање реагенса” или „критична неисправност у вези с емисијама”.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 Активација система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9.4.1. Систем за принуду ниског нивоа описан у тачки 5.3. овог прилога мора се активирати ако се неисправност из тачке 9.1. овог прилога не отклони у року од највише 36 радних сати мотора након активације система за упозоравање руковаоца из тачке 9.3.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9.4.2. Систем за принуду ниског нивоа описан у тачки 5.4. овог прилога мора се активирати ако се неисправност из тачке 9.1. овог прилога не отклони у року од највише 100 радних сати мотора након активације система за упозоравање руковаоца из тачке 9.3.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9.4.3. Ако се неисправност поновно појави, број сати пре активације система за принуду руковаоца мора се смањити у складу с механизмом описаним у одељку 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9.5. Произвођач може као алтернативу захтевима за праћење из тачке 9.2. овог прилога пратити неисправности сензором за NОx који се налази у издувном систему. У том случају,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вредност NОx на којој се NCM детектира не може прећи нижу од следеће две вредности, примењиву граничну вредност NОx помножену с 2,25 или примењиву граничну вредност NОx увећану за 1,5 g/kWh. За поткатегорије мотора с комбинованим граничним вредностима HC и NОx за потребе ове тачке примењива гранична вредност NОx је комбинована гранична вредност HC и NОx умањена за 0,19 g/kWh;</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(б) може се употребити јединствено упозорење, укључујући, ако се употребљавају поруке, фразу‚висок NОx – непознат основни узрок’;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у тачки 9.4.1. највећи број радних сати мотора од активације система за упозоравање руковаоца до активације система за нужду ниског нивоа смањује се на 10;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у тачки 9.4.2. највећи број радних сати мотора од активације система за упозоравање руковаоца до активације система за нужду високог нивоа смањује се на 20.10. Захтеви у погледу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са захтевима из овог додатка доказује се током ЕУ хомологације извођењем, како је приказано у табели 4.1. овог прилога и одређено у овом одељку 10.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10.2. Породице мотора и породице мотора по NCD-у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породице мотора или породице мотора по NCD-у са захтевима овог одељка 10. овог прилога може се доказати испитивањем једног члана разматране породице ако произвођач хомологацијском телу докаже да су системи за праћење нужни за испуњавање захтева из овог додатка слични унутар породице.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10.2.1. Доказивање да су системи за праћење слични у осталим члановима породице мотора по NCD-у може се постићи тако да се хомологацијском телу доставе елементи као што су алгоритми, функционалне анализе итд.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10.2.2. Испитни мотор одабире произвођач у договору с хомологацијским телом. То може, иако не мора, бити основни мотор разматране породице.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10.2.3. Ако мотори породице мотора припадају породици мотора по NCD-у која је већ ЕУ хомологирана, како је наведено у тачки 10.2.1. овог прилога (слика 4.3. овог прилога), усклађеност те породице мотора сматра се доказаном без додатног испитивања под условом да произвођач докаже хомологацијском телу да су системи за праћење нужни за испуњавање захтева из овог Додатка слични унутар разматраних породица мотора и породица мотора по NCD-у.</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4.1. Приказ поступка доказивања у складу с одредбама из тач. 10.3. и 10.4. овог прилога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65"/>
        <w:gridCol w:w="5835"/>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Механизам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Елементи доказивања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активација система за упозоравање из тачке 10.3.</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два испитивања активације, укључујући недостатак реагенса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 додатни елементи доказивања, према потреби</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активација ниског нивоа принуде из тачке 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два испитивања активације, укључујући недостатак реагенса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 додатни елементи доказивања, према потреби</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 једно испитивање смањења закретног момента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активација високог нивоа принуде из тачке 10.4.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два испитивања активације, укључујући недостатак реагенса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 додатни елементи доказивања, према потреби;</w:t>
            </w:r>
          </w:p>
        </w:tc>
      </w:tr>
    </w:tbl>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4.3. Претходно доказана усклађеност породице мотора по NCD-у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610E7A61" wp14:editId="0379CC29">
            <wp:extent cx="5057140" cy="3665855"/>
            <wp:effectExtent l="0" t="0" r="0" b="0"/>
            <wp:docPr id="43" name="Picture 43" descr="A diagram comparing motor breeds labeled as motor breed 1 and motor breed 2 with a focus on stability according to NCD-y 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A diagram comparing motor breeds labeled as motor breed 1 and motor breed 2 with a focus on stability according to NCD-y 1.&#10;&#10;Description generated by AI"/>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057140" cy="366585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породице мотора по NCD-у 1 доказана је за породицу мотора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по NCD-у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по NCD-у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породице мотора 1 сматра се доказаном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 Доказивање активације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10.3.1 Усклађеност активације система за упозоравање доказује се помоћу два испитивања: недостатком реагенса и појавом једне од категорија неисправности из одељка 7, 8. или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 Избор неисправности које треба испитати међу онима из одељка 7, 8. или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10.3.2.1 Хомологацијско тело бира једну категорију неисправности. У случају да се неисправност одабере из тачке 7. или 9, примењују се додатни захтеви из тачке 10.3.2.2. односно 10.3.2.3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10.3.2.2 За потребе доказивања активације система за упозоравање у случају неодговарајућег квалитета реагенса, бира се реагенс чији је раствор активног састојка најмање једнак раствору према спецификацији произвођача у складу са захтевима утврђенима у тач. од 7. до 7.3.3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10.3.2.3 За потребе доказивања активације система за упозоравање у случају неисправности које могу бити узроковане недозвољеним захватима и које су дефинисане у одељку 9, избор се врши у складу са следећим захтевима: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10.3.2.3.1 произвођач хомологацијском телу доставља попис таквих могућих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10.3.2.3.2 хомологацијско тело с пописа из тачке 10.3.2.3.1. овог прилога бира неисправност која ће се разматрати у испитивању.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 Доказивање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10.3.3.1 За потребе овог доказивања спроводе се засебна испитивања за недостатак реагенса и неисправност одабрану у складу с тач. од 10.3.2. до 10.3.2.3.2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10.3.3.2. Током испитивања не сме бити ниједне неисправности осим оне која је предмет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10.3.3.3. Пре почетка испитивања бришу се сви DTC-ови.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10.3.3.4. На захтев произвођача и уз одобрење хомологацијског тела неисправности које су предмет испитивања могу се симулирати.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10.3.3.5. Детекција неисправности које нису недостатак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неисправности које нису недостатак реагенса, неисправност се, након што се изазове или симулира, мора детектовати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10.3.3.5.1. NCD мора реаговати на уведену неисправност коју је хомологацијско тело одабрало као примерену у складу с одредбама овог Додатка. Сматра се да је реакција доказана ако се NCD активира у два узастопна циклуса испитивања NCD-а у складу с тачком 10.3.3.7.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 опису праћења наведе и ако се договори с хомологацијским телом да су потребна више од два циклуса испитивања NCD-а како би одређена јединица за праћење довршила праћење, број циклуса испитивања NCD-а може се повећати на три.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Сваки се појединачни циклус испитивања NCD-а у демонстрацијском испитивању може раздвојити искључивањем мотора. У времену до следећег покретања морају се узети у обзир сва праћења која су се могла одвити након искључивања мотора и сви нужни услови који морају постојати како би се праћење наставило при следећем покретању.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10.3.3.5.2. Сматра се да је доказивање активације система за упозоравање успешно ако се на крају сваког демонстрацијског испитивања спроведеног у складу с тачком 10.3.3. овог прилога систем за упозоравање правилно активирао и ако је DTC-у за одабрану неисправност додељен статус „потврђен и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10.3.3.6. Детекција недостатка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 потребе доказивања активације система за упозоравање у случају недостатка реагенса мотор мора радити током једног циклуса испитивања NCD-а или више њих по избору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10.3.3.6.1. Доказивање почиње с нивоом реагенса у спремнику о којој се договоре произвођач и хомологацијско тело, али која није нижа од 10 % номиналног капацитета спремника.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10.3.3.6.2. Сматра се да систем за упозоравање правилно функционише ако су истовремено испуњени следећи услови: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10.3.3.7. Циклус испитивања NCD-а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10.3.3.7.1. Циклус испитивања NCD-а из овог одељка 10. овог прилога ради доказивања правилног радног учинка NCD-а је NRTC циклус с топлим покретањем за моторе поткатегорија NRE-v-3, NRE-в-4, NRE-v-5 и NRE-v-6 односно примењиви NRSC за све остале категорије.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10.3.3.7.2. На захтев произвођача и уз одобрење хомологацијског тела за одређену се јединицу за праћење може употребити алтернативни циклус испитивања NCD-а (нпр. циклус који није NTRC или NRSC). Захтев мора садржати елементе (техничка разматрања, симулације, резултате испитивања итд.) којима се доказује: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тражене резултате испитних циклуса у једној јединици за праћење која ће радити у стварним условима рада; 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да је примењиви циклус испитивања NCD-а из тачке 10.3.3.7.1. овог прилога мање прикладан за разматрано праћење.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10.3.4. Сматра се да је доказивање активације система за упозоравање успешно ако се на крају сваког демонстрацијског испитивања спроведеног у складу с тачком 10.3.3. овог прилога систем за упозоравање правилно активирао.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 Доказивање активације система за принуду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10.4.1. Доказивање активације система за принуду обавља се испитивањима спроведенима на испитном столу за моторе.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10.4.1.1. Сви саставни делови или подсистеми који нису физички уграђени у мотор, као што су, међу осталим, сензори температуре околине, сензори нивоа и системи за упозоравање и информисање руковаоца а који су потребни за спровођење доказивања, морају се у ту сврху спојити на мотор или симулирати на задовољавајући начин за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10.4.1.2. На основу избора произвођача и уз одобрење хомологацијског тела демонстрацијска испитивања могу се спровести на целовитој недрумској покретној машини постављањем недрумске покретне машине на одговарајући испитни сто или, не доводећи у питање о тачки 10.4.1. овог прилога, вожњом по испитној стази у контролисаним условима.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10.4.2. У испитном се редоследу мора доказати активација система за притисак у случају недостатка који је хомологацијско тело одабрало с пописа како се наводи у тачки 10.3.2.1. овог прилога за испитивање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10.4.3. За потребе овог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произвођач може у договору с хомологацијским телом убрзати испитивање симулирањем постизања одређеног броја радних 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постизање смањења обртног момента захтевано за притисак ниског нивоа може се доказати истовремено с поступком хомологације за радни учинак мотора у складу с овом Уредбом. У том случају није потребно засебно мерење обртног момента током доказивања активације система за притисак;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принуда ниског нивоа доказује се, ако је примењиво, у складу са захтевима из тачке 10.4.5.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принуда високог нивоа доказује се у складу са захтевима из тачке 10.4.6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10.4.4. Произвођач уз то доказује рад система за принуду у околностима неисправности утврђених у одељцима 7, 8. или 9. које нису биле одабране за употребу у демонстрационим испитивањима из тач. од 10.4.1. до 10.4.3.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Та се додатна доказивања могу направити тако да се хомологацијском телу поднесе техничка студија с доказима као што су алгоритми, функционалне анализе и резултати претходних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10.4.4.1. Тим додатним доказивањима мора се хомологацијском телу на задовољавајући начин доказати да у електроничкој управљачкој јединици мотора постоји одговарајући механизам за смањивање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10.4.5. Демонстрацијско испитивање система за принуду ниског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10.4.5.1. Доказивање почиње активацијом система за упозоравање или одговарајућег система за „континуирано” упозоравање због неисправности коју је одабрало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10.4.5.2. Кад се проверава одзив система у случају недостатка реагенса у спремнику, мотор мора радити док ниво реагенса не достигне вредност од 2,5 % номиналног пуног капацитета спремника или вредност при којој се активира систем за принуду ниског нивоа који је произвођач декларисао у складу с тачком 6.3.1.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10.4.5.2.1. Произвођач може уз одобрење хомологацијског тела симулирати континуиран рад вађењем реагенса из спремника док је мотор у погону или док је искључен.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10.4.5.3. Кад се проверава одзив система у случају неисправности која није недостатак реагенса у спремнику, мотор мора радити одговарајући број сати из табеле 4.3. или, према избору произвођача, док одговарајући бројач не достигне вредност при којој се активира систем за принуду ниског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10.4.5.4. Сматра се да је доказивање активације система за принуду ниског нивоа успешно ако је на крају сваког демонстрацијског испитивања спроведеног у складу с тач. 10.4.5.2 и 10.4.5.3. произвођач хомологацијском телу доказао да је електроничка управљачка јединица мотора активирала механизам за смањивање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 Демонстрацијско испитивање система за принуду високог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10.4.6.1. Доказивање почиње са стањем у којем је систем за принуду ниског нивоа претходно активиран те се може спровести као наставак испитивања спроведених за доказивање система за принуду ниског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10.4.6.2. Кад се проверава одзив система у случају недостатка реагенса у спремнику, мотор мора радити док се спремник реагенса не испразни или док не достигне вредност нижу од 2,5 % номиналног пуног капацитета спремника при којем се активира систем за принуду високе нивоа коју је произвођач декларисао.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10.4.6.2.1. Произвођач може уз одобрење хомологацијског тела симулирати континуиран рад вађењем реагенса из спремника док је мотор у погону или док је искључен.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10.4.6.3. Кад се проверава одзив система у случају неисправности која није недостатак реагенса у спремнику, мотор мора радити одговарајући број сати из табеле 4.4. овог прилога или, према избору произвођача, док одговарајући бројач не достигне вредност при којој се активира систем за принуду високе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10.4.6.4. Сматра се да је доказивање активације система за принуду високог нивоа обављено ако је на крају сваког демонстрацијског испитивања спроведеног у складу с тач. 10.4.6.2 и 10.4.6.3. овог прилога произвођач хомологацијском телу доказао да је механизам за принуду високе нивоа из овог Додатка активиран.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10.4.7. Алтернативно, на основу избора произвођача и уз одобрење хомологацијског тела доказивање механизама принуде може се спровести на целовитом недрумској покретној машини у складу с тач. 5.4. и 10.4.1.2. овог прилога постављањем недрумске покретне машине на одговарајући испитни сто или вожњом по испитној стази у контролисаним условима.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10.4.7.1. Недрумска покретна машина мора радити док бројач повезан с одабраном неисправности не достигне одговарајући број сати рада из табеле 4.4. овог прилога или, ако је примењиво, док се спремник с реагенсом не испразни или не достигне ниво нижу од 2,5 % номиналног пуног капацитета спремника који је произвођач одабрао за активирање система за принуду високог нивоа.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10.5 Документација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10.5.1 У извештају о доказивању документује се доказивање рада NCD-а. Извештај: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наводи разматране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описује спроведено доказивање, укључујући примењиви испитни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потврђује да су се примењива упозорења и принуде активирали у складу са захтевима ове Уредбе; 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 бити уврштено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 Опис механизама активације и деактивације система за упозоравање и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11.1. Ради допуне захтева из овог Додатка у погледу механизама активације и деактивације система за упозоравање и принуду руковаоца у овом се одељку 11. овог прилога утврђују технички захтеви за успостављање тих механизама.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 Механизми активације и деактивације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11.2.1. Систем за упозоравање руковаоца мора се активирати ако статус дијагностичког кода неисправности (DTC) повезаног с NCM-ом који оправдава активацију система за упозоравање одговара статусу из табеле 4.2.</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4.2. Активација система за упозоравање руковаоца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61"/>
        <w:gridCol w:w="623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Врста неисправности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Статус DTC-а за активацију система за упозоравање</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Неодговарајућа квалитета реагенса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Прекид дозирања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lastRenderedPageBreak/>
              <w:t>Блокиран вентил EGR-а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Неисправност система за праћење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Праг NOx, ако 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11.2.2. Систем за упозоравање руковаоца деактивира се кад дијагностички систем закључи да неисправност релевантна за то упозорење није више присутна или кад алат за скенирање избрише информације, укључујући DTC-ове повезане с неисправностима, које оправдавају активацију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11.2.2.1. Захтеви за брисање информација о контроли емисија NOx</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11.2.2.1.1. Брисање/враћање на почетну вредност информација о контроли емисија NO</w:t>
      </w:r>
      <w:r w:rsidRPr="00B03342">
        <w:rPr>
          <w:rFonts w:ascii="Arial" w:hAnsi="Arial" w:cs="Arial"/>
          <w:color w:val="000000"/>
          <w:vertAlign w:val="subscript"/>
          <w:lang w:eastAsia="sr-Latn-RS"/>
        </w:rPr>
        <w:t>x</w:t>
      </w:r>
      <w:r w:rsidRPr="00B03342">
        <w:rPr>
          <w:rFonts w:ascii="Arial" w:hAnsi="Arial" w:cs="Arial"/>
          <w:color w:val="000000"/>
          <w:lang w:eastAsia="sr-Latn-RS"/>
        </w:rPr>
        <w:t> помоћу алата за скенирање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алат за скенирање проследи одговарујући налог, следећи се подаци морају избрисати или из меморије рачунара вратити на вредност утврђену у овом Додатку (видети табелу 4.3.).</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Табела 4.3.</w:t>
      </w:r>
      <w:r w:rsidRPr="00B03342">
        <w:rPr>
          <w:rFonts w:ascii="Arial" w:hAnsi="Arial" w:cs="Arial"/>
          <w:i/>
          <w:iCs/>
          <w:color w:val="000000"/>
          <w:lang w:eastAsia="sr-Latn-RS"/>
        </w:rPr>
        <w:t> </w:t>
      </w:r>
      <w:r w:rsidRPr="00B03342">
        <w:rPr>
          <w:rFonts w:ascii="Arial" w:hAnsi="Arial" w:cs="Arial"/>
          <w:color w:val="000000"/>
          <w:lang w:eastAsia="sr-Latn-RS"/>
        </w:rPr>
        <w:t>Брисање/враћање на почетну вредност информација о контроли емисија NOx помоћу алата за скенирање</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03"/>
        <w:gridCol w:w="1728"/>
        <w:gridCol w:w="346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Подаци о контроли емисије NOx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Могуће избрисати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Могуће вратити на почетну вредност</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Сви DTC-ови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бројача с највећим бројем радних сати мотора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радних сати мотора из бројача NCD-а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X</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11.2.2.1.2. Информације о контроли емисија NOx не смеју се избрисати одспајањем акумулатора недрумске покретне машине.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11.2.2.1.3. Брисање информација о емисија NOx сме бити могуће само кад је мотор искључен.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11.2.2.1.4. Ако се бришу информације о контроли емисија NOx, укључујући DTC-ове, вредност сваког бројача повезаног с тим неисправностима и утврђеног у овом Додатку се не брише, него се враћа на вредност утврђену у одговарајућем одељку овог Додатка.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11.3. Механизам активације и деактивације система за принуду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11.3.1. Систем за принуду руковаоца мора се активирати ако је систем за упозоравање активан а бројач за врсту NCM-а који оправдава његову активацију достигне вредност из табеле 4.4.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11.3.2. Систем за принуду руковаоца деактивира се кад систем више не детектира неисправност која оправдава његову активацију или ако су алатом за скенирање или одржавање избрисане информације, укључујући DTC-ове који се односе на NCM-ове, које оправдавају активацију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11.3.3. Системи за упозоравање и принуду руковаоца одмах се, према потреби, активирају или деактивирају у складу с одредбама одељка 6. након процене количине реагенса у његову спремнику. У том случају механизми активације или деактивације не овисе о статусу било којег припадајућег DTC-а.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 Механизам бројача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11.4.1.1 Ради испуњавања захтева из овог Додатка систем мора имати бројаче за бележење броја сати током којих је радио мотор док је систем детектовао било који од следећих NCM-ова: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неодговарајући квалитет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прекид дозирања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(ц) блокиран вентил EGR-а;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неисправност NCD-а.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11.4.1.1.1 Произвођач може објединити праћење NCM-ова из тачке 11.4.1.1. у једном бројачу или више њих.</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11.4.1.2. Сви бројачи морају бројити до највише вредности двобајтног бројача једносатне разлучивости те задржавати ту вредност осим ако се испуне услови за враћање бројача на нулу.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11.4.1.3. Произвођач може употребити један бројач NCD-а или више њих. Један бројач може бројити сате двају или више различитих неисправности за ту врсту бројача, ниједна од којих није достигла време које тај бројач показује.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11.4.1.3.1. Ако произвођач одлучи употребити више бројача NCD-а, систем мора имати способност доделе специфичног бројача система за праћење сваке неисправности која је у складу с овим додатком релевантна за ту врсту бројача.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 Начело механизма бројача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11.4.2.1. Сви бројачи раде на следећи начин: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11.4.2.1.1. Ако бројач почиње радити од нуле, бројач почиње бројити чим се детектира неисправност релевантна за њега, а одговарајући дијагностички код неисправности (DTC) има статус из табеле 4.2.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11.4.2.1.2. Ако се неисправности понављају, примењује се једна од следећих одредаба коју одабере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Ако праћење утврди само једну појаву, а неисправност која је почетно активирала бројач више се не детектује или је избрисана алатом за скенирање или одржавање, бројач се зауставља и задржава тренутну вредност. Ако бројач престане бројати док је систем за принуду високе нивоа активан, бројач се задржава на вредности утврђеној у табели 4.4. или на вредности која није мања од вредности бројача за принуду високе нивоа умањене за 30 минута.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Бројач се задржава на вредности утврђеној у табели 4.4. овог прилога или вредности која није мања од вредности бројача за принуду високе нивоа умањене за 30 минута.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11.4.2.1.4. Након заустављања бројач се поновно враћа на нулу након што за њега релевантне јединице за праћење прођу кроз барем један циклус праћења без детекције неисправности те након што ниједна неисправност релевантна за њега није детектирана током 40 сати рада мотора од последњег заустављања бројача (видети слику 4.4.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11.4.2.1.5. Бројач наставља бројање од тачке заустављања ако је неисправност релевантна за тај бројач детектирана током раздобља у којем је бројач заустављен (видети слику 4.4.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11.4.2.1.3. Ако постоји само један бројач система за праћење, тај бројач наставља бројити ако се детектира NCM релевантан за њега, а статус његова одговарајућег дијагностичког кода неисправности (DTC) је „потврђен и активан”. Бројач се зауставља и задржава вредности из тачке 11.4.2.1.2. овог прилога ако није детектиран ниједан NCM који би оправдао активација бројача или ако су алатом за скенирање или одржавање избрисане све неисправности релевантне за тај бројач.</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4.4. Бројачи и принуда</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4"/>
        <w:gridCol w:w="2110"/>
        <w:gridCol w:w="2107"/>
        <w:gridCol w:w="2120"/>
        <w:gridCol w:w="2499"/>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rPr>
                <w:rFonts w:ascii="Arial" w:hAnsi="Arial" w:cs="Arial"/>
                <w:color w:val="000000"/>
                <w:lang w:eastAsia="sr-Latn-RS"/>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Статус DTC-а за прву активација бројача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бројача за принуду ниског нивоа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бројача за принуду високе нивоа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Вредност коју бројач задржава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Бројач квалитете реагенса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90 % вредности бројача за принуду високог нивоа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Бројач дозирања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90 % вредности бројача за принуду високог нивоа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Бројач вентила EGR-а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36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95 % вредности бројача за принуду високог нивоа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Бројач система за праћење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36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95 % вредности бројача за принуду високог нивоа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Праг NOx, ако је примењиво</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потврђен и активан</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10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20 сати</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90 % вредности бројача за принуду високог нивоа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 Приказ активације и деактивације и механизама бројача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12.1. У овом су одељку 12. приказани активација и деактивација те механизми бројача за неке типичне случајеве. Подаци и описи из тач. 12.2, 12.3. и 12.4. наведени су у овом додатку само као примери те се не би смело упућивати на њих као на примере захтева ове уредбе или апсолутне тврдње о укљученим процесима. Сати бројача на сликама 4.6. и 4.7. овог прилога односе се на највише вредности за принуду високе нивоа у табели 4.4. За потребе поједностављење у овим се примерима не наводи, на пример, чињеница да ће и систем за упозоравање бити активан док је активан систем за принуду.</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4.4.Поновна активација и враћање на нулу бројача након раздобља у којем је његова вредност задржана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7299EA1A" wp14:editId="15B6E3E7">
            <wp:extent cx="5057140" cy="2966085"/>
            <wp:effectExtent l="0" t="0" r="0" b="5715"/>
            <wp:docPr id="42" name="Picture 42" descr="A line graph compares delayed value and rejection over work hours with annotations indicating periods of 40 work hours and labels for yes and no respons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 line graph compares delayed value and rejection over work hours with annotations indicating periods of 40 work hours and labels for yes and no responses.&#10;&#10;Description generated by AI"/>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057140" cy="296608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12.2. Из слике 4.5. видљиво је деловање механизама активације и деактивације при праћењу расположивости реагенса у четири сценарија: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употреба, први сценарио: руковаоц упркос упозорењу до блокирања рада недрумске покретне машине наставља управљати недрумском покретном машином;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допуњавање, први сценарио (допуњавање „одговарајућом” количином реагенса): руковаоц допуњава спремник реагенсом до нивоа изнад прага од 10 %. Упозорење и принуда се деактивирају;</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Слика 4.5.</w:t>
      </w:r>
      <w:r w:rsidRPr="00B03342">
        <w:rPr>
          <w:rFonts w:ascii="Arial" w:hAnsi="Arial" w:cs="Arial"/>
          <w:i/>
          <w:iCs/>
          <w:color w:val="000000"/>
          <w:lang w:eastAsia="sr-Latn-RS"/>
        </w:rPr>
        <w:t> </w:t>
      </w:r>
      <w:r w:rsidRPr="00B03342">
        <w:rPr>
          <w:rFonts w:ascii="Arial" w:hAnsi="Arial" w:cs="Arial"/>
          <w:color w:val="000000"/>
          <w:lang w:eastAsia="sr-Latn-RS"/>
        </w:rPr>
        <w:t>Расположивост реагенса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2451E385" wp14:editId="74922D8B">
            <wp:extent cx="6120000" cy="2520000"/>
            <wp:effectExtent l="0" t="0" r="0" b="0"/>
            <wp:docPr id="41" name="Picture 41" descr="A line graph with multiple stepped lines and labels in a non-English language showing different levels and thresholds over time with dotted vertical grid lin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A line graph with multiple stepped lines and labels in a non-English language showing different levels and thresholds over time with dotted vertical grid lines.&#10;&#10;Description generated by AI"/>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120000" cy="252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12.3. На слици 4.6. приказана су три сценарија лошег квалитета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употреба, први сценарио: руковаоц упркос упозорењу до блокирања рада недрумске покретне машине наставља управљати недрумском покретном машином;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отклањање, први сценарио („лоше” отклањање неисправности): након блокирања рада недрумске покретне машине руковаоц исправља квалитету реагенса, али убрзо потом поновно замењује реагенс мења реагенсом неодговарајућег квалитета. Систем за принуду одмах се поновно активира те се рад недрумске покретне машине блокира након два сата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отклањање, други сценарио („добро” отклањање неисправности): након блокирања рада недрумске покретне машине руковаоц исправља квалитет реагенса. Међутим, након одређеног времена поновно га допуњава реагенсом неодговарајућег квалитета. Процеси упозорења, принуде и бројања поновно крећу од нуле.</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4.6. Пуњење реагенсом неодговарајућег квалитета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26EA3199" wp14:editId="017D770E">
            <wp:extent cx="5943600" cy="2520000"/>
            <wp:effectExtent l="0" t="0" r="0" b="0"/>
            <wp:docPr id="40" name="Picture 40" descr="A technical graph showing multiple stepped and linear lines with annotations indicating time intervals and measurement units related to a process or system oper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 technical graph showing multiple stepped and linear lines with annotations indicating time intervals and measurement units related to a process or system operation.&#10;&#10;Description generated by AI"/>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943600" cy="252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12.4. На слици 4.7. приказана су три сценарија неисправности система за дозирање урее. На слици је приказан и процес који се примењује за праћење неисправности описаних у одељку 9.</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употреба, први сценарио: руковаоц упркос упозорењу до блокирања рада недрумске покретне машине наставља управљати недрумском покретном машином;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отклањање, први сценарио („добро” отклањање неисправности): након блокирања рада недрумске покретне машине руковаоц поправља систем за дозирање. Међутим, систем за дозирање се након одређеног времена поновно поквари. Поступци упозорења, принуде и бројања поновно крећу од нуле;</w:t>
      </w:r>
    </w:p>
    <w:p w:rsidR="00DA0CD9" w:rsidRPr="00B03342" w:rsidRDefault="00DA0CD9" w:rsidP="00DA0CD9">
      <w:pPr>
        <w:ind w:firstLine="480"/>
        <w:jc w:val="center"/>
        <w:rPr>
          <w:rFonts w:ascii="Arial" w:hAnsi="Arial" w:cs="Arial"/>
          <w:color w:val="000000"/>
          <w:lang w:eastAsia="sr-Latn-RS"/>
        </w:rPr>
      </w:pPr>
      <w:r w:rsidRPr="00B03342">
        <w:rPr>
          <w:rFonts w:ascii="Arial" w:hAnsi="Arial" w:cs="Arial"/>
          <w:color w:val="000000"/>
          <w:lang w:eastAsia="sr-Latn-RS"/>
        </w:rPr>
        <w:t>Слика 4.7</w:t>
      </w:r>
      <w:r w:rsidRPr="00B03342">
        <w:rPr>
          <w:rFonts w:ascii="Arial" w:hAnsi="Arial" w:cs="Arial"/>
          <w:i/>
          <w:iCs/>
          <w:color w:val="000000"/>
          <w:lang w:eastAsia="sr-Latn-RS"/>
        </w:rPr>
        <w:t>. </w:t>
      </w:r>
      <w:r w:rsidRPr="00B03342">
        <w:rPr>
          <w:rFonts w:ascii="Arial" w:hAnsi="Arial" w:cs="Arial"/>
          <w:color w:val="000000"/>
          <w:lang w:eastAsia="sr-Latn-RS"/>
        </w:rPr>
        <w:t>Неисправност система за дозирање реагенса</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54CF79A" wp14:editId="34C3AC88">
            <wp:extent cx="6897600" cy="2160000"/>
            <wp:effectExtent l="0" t="0" r="0" b="0"/>
            <wp:docPr id="39" name="Picture 39" descr="A technical line graph showing multiple data series with labeled axes and segmented sections indicating different phases or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 technical line graph showing multiple data series with labeled axes and segmented sections indicating different phases or conditions.&#10;&#10;Description generated by AI"/>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897600" cy="21600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 Доказивање минималне прихватљиве концентрације реагенса CDmin</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13.1. Произвођач доказује точну вредност CD</w:t>
      </w:r>
      <w:r w:rsidRPr="00B03342">
        <w:rPr>
          <w:rFonts w:ascii="Arial" w:hAnsi="Arial" w:cs="Arial"/>
          <w:color w:val="000000"/>
          <w:vertAlign w:val="subscript"/>
          <w:lang w:eastAsia="sr-Latn-RS"/>
        </w:rPr>
        <w:t>min</w:t>
      </w:r>
      <w:r w:rsidRPr="00B03342">
        <w:rPr>
          <w:rFonts w:ascii="Arial" w:hAnsi="Arial" w:cs="Arial"/>
          <w:color w:val="000000"/>
          <w:lang w:eastAsia="sr-Latn-RS"/>
        </w:rPr>
        <w:t> током ЕУ хомологације спровођењем NRTC циклуса с топлим покретањем за моторе поткатегорија NRE-v-3, NRE-v-4, NRE-v-5 NRE-v-6, односно примењивог NRSC-а за све остале категорије користећи реагенс концентрације CDmin.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13.2. У испитивању се морају следити одговарајући циклуси NCD-а или циклус преткондиционирања који је одредио произвођач, што мора омогућити систему за контролу NOx са затвореном петљом да се прилагоди квалитети реагенса концентрације CDmin.</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13.3. Емисије загађујућих материја које настану при том испитивању не смеју праг NOx из тачке 7.1.1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13.4 Документација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13.4.1 У извештају о доказивању документује се доказивање најмање прихватљиве концентрације реагенса. Извештај: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наводи разматране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описује спроведено доказивање, укључујући примењиви испитни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потврђује да емисије загађујућих материја настале при том доказивању нису прешле праг NОx из тачке 7.1.1.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 бити уврштено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Додатни технички захтеви у погледу мера за контролу NOx за моторе категорија IWP, IWA и RLR, укључујући методу за доказивање тих стратегија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Додатку утврђују захтеви ради осигуравања исправног рада мера за контролу NOx за моторе категорија IWP, IWA и RLR.</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Захтеви из Додатка 1. овог прилога примењују се на моторе у подручју примене овог Додатка, осим како је утврђено у тач. 3. и 4. овог додатка.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Изузеци од захтева из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Како би се узела у обзир сигурносна питања, систем за нужду руковаоца из тачака 5. и 11.3. Додатка 1. овог прилога не односи се на моторе обухваћене подручјем примене овог Додатка. Захтев за чување података у рачунарском систему уграђеном у возило из тачке 4. овог Додатка примењује се сваки пут кад би се принуда активирала у складу с тач. 2.3.2.3.2, 6.3, 7.3, 8.4. и 9.4.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Захтев за чување података о случајевима рада мотора с неодговарајућим убризгавањем реагенса или неодговарајућим квалитетом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Уграђен рачунар мора у неизбрисиву меморију рачунара или у бројаче бележити укупан број и трајање свих случајева рада мотора с неодговарајућим убризгавањем реагенса или неодговарајућом квалитетом реагенса како би се осигурало да се те информације не могу намерно избрисати.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4.1.1 Инспекцијска тела морају моћи прочитати те записе помоћу алата за скенирање.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4.1.2 Опис повезивања и метода читања за те записе морају се унети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Трајање случаја недовољног нивоа реагенса забележеног у меморији уграђеног рачунара у складу с тачком 4.1. овог прилога, уместо принуде у складу с тачком 6.3. Додатка 1, почиње кад се испразни спремник за реагенс, односно кад систем за дозирање не може више повући реагенс из спремника или на било ком нивоу нижем од 2,5 % номиналног пуног капацитета спремника према избору произвођача.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 Трајање случаја забележеног у меморији уграђеног рачунара у складу с тачком 4.1, уместо принуде у складу с тач. 6.3, 7.3, 8.4. и 9.4. Додатка 1. овог прилога, почиње кад одговарајући бројач достигне вредност за нужду високог нивоа из табеле 4.4. Додатка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 Трајање случаја забележеног у меморији уграђеног рачунара у складу с тачком 4.1. овог прилога, уместо принуде у складу с тачком 2.3.2.3.2. Додатка 1. овог прилога, почиње у тренутку кад би почела принуда.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4.5 Трајање случаја забележеног у меморији уграђеног рачунара у складу с тачком 4.1. овог прилога завршава после отклањања његова узрока.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4.6 При доказивању у складу с одељком 10.4. Додатка 1. овог прилога доказивање се врши у складу са захтевима који се односе на доказивање рада система за нужду високог нивоа, али доказивање рада система за нужду високог нивоа замењује се доказивањем похрањивања података о случајевима рада мотора с неодговарајућим убризгавањем реагенса или неодговарајућом квалитетом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Додатни технички захтеви у погледу мера за контролу NOx за моторе категорије RLL</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додатку утврђују захтеви ради осигуравања исправног рада мера за контролу NOx за моторе категорије RLL. Он обухвата захтеве за моторе који се у сврху смањивања емисија ослањају на употребу реагенса. ЕУ хомологација се додељује уз услов примене релевантних одредаба у погледу упута за употребу, упута за уградњу и система за упозоравање руковаоца утврђених у овом додатку.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Потребне информације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Произвођач мора доставити информације којима се у потпуности описују функционалне оперативне карактеристике мера за контролу NOx.</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Ако је за рад система за контролу емисија потребан реагенс, произвођач мора у описном документу навести карактеристике тог реагенса, укључујући врсту реагенса, информације о концентрацији кад је реагенс у течности, његову радну температуру и упућивање.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Расположивост реагенса и систем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употребљава реагенс, ЕУ хомологација се додељује уз услов осигуравања индикатора или других одговарајућих средстава, зависно о конфигурацији недрумске покретне машине, помоћу којих се руковаоц информише 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количини преосталог реагенса у спремнику за реагенс и, посебним додатним сигналом, томе да је преостала ниво реагенса испод 10 % капацитета пуног спремника;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томе да је спремник за реагенс празан или готово празан.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Квалитета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Зависно о избору произвођача захтеви за усклађеност реагенса с декларисаним карактеристикама и повезаним допуштеним емисијама NOx морају се испунити на један од следећих начина: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 непосредним путем, на пример употребом сензора квалитета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ненепосредним путем, на пример употребом сензора за NOx у издуву како би се проценила делотворност реагенса;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било којим другим начином, под условом да је његова делотворност барем једнака оној која је резултат употребе средстава из тачака (а) или (б) те да су испуњени главни захтеви овог одељка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Додатак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Технички захтеви у погледу мера за контролу чврстих загађујућих материја, укључујући методу за њихово доказивање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Увод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додатку утврђују захтеви ради осигуравања исправног рада мера за контролу чврстих загађујућих материја.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 мора бити опремљен дијагностичким системом за контролу честица (PCD) који може препознати неисправности у систему за накнадну обраду честица о којима је реч у овом Прилогу. Сви мотори обухваћени овим ставом 2. морају бити конструисани, израђени и уграђени тако да могу испуњавати ове захтеве током целог уобичајеног животног века мотора у уобичајеним условима употребе. Да би се постигао тај циљ, прихватљиво је да код мотора који су се употребљавали дуже од одговарајућег раздобља трајности емисије, како је утврђено у Прилогу 15. ове уредбе, буде видљиво одређено погоршање радног учинка и осетљивости PCD-а.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Потребне информације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Ако је за рад система за контролу емисија потребан реагенс, на пример катализатор ношен горивом, произвођач мора у описном документу навести карактеристике тог реагенса, укључујући врсту реагенса, информације о концентрацији кад је реагенс у течности, његову радну температуру и упућивање на међународне стандарде за састав и квалитет.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 Детаљне писане информације којима се у целости описују функционалне радне карактеристике система за упозоравање руковаоца утврђеног у одељку 4. морају се доставити хомологацијском телу при подношењу захтева за ЕУ хомологацију.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2.1.3. Произвођач мора доставити документацију за уградњу којом се, кад је користи ОЕМ, осигурава да ће мотор, укључујући систем за контролу емисија који је део хомологованог типа или породице мотора, уграђен у недрумску покретну машину радити, заједно с нужним деловима машине, на начин који је у складу са захтевима из овога прилога. Та документација мора укључивати детаљне техничке захтеве и одредбе за мотор (софтвер, хардвер и комуникацијски систем) потребне за исправну уградњу мотора у недрумске покретне машине.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Радни услови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2.2.1. PCD мора бити оперативан барем у примењивим условима контроле утврђенима у тачки 2.4. Прилога 12 ове уредбе за сваку категорију мотора. Дијагностички систем мора бити оперативан ван тог распона ако је то технички могуће.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Дијагностички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2.3.1. PCD мора бити способан препознати неисправности у контроли честица (PCM-ови) према дијагностичким кодовима неисправности (DTC-ови) похрањенима у меморији рачунара и на захтев послати ту информацију изван уграђених система.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 Захтеви за бележење дијагностичких кодова неисправности (DTC-ови)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2.3.2.1. PCD мора забележити DTC за сваки појединачни PCM.</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2.3.2.2. PCD мора током периода рада мотора из табеле 4.5. детектовати постоји ли утврдива неисправност. Тада се похрањује „потврђен и активан” DTC и активира систем за упозоравање утврђен у одељку 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2.3.2.3. Ако је потребно дуже раздобље од онога из табеле 4.5. овог прилога да би јединице за праћење точно детектирале и потврдиле PCM (нпр. јединице за праћење које примењују статистичке моделе или прате потрошњу течности у недрумској покретној машини), хомологацијско тело може допустити дуже раздобље праћења ако произвођач образложи потребу за тим дужим раздобљем (на пример, техничким разлозима, експерименталним резултатима, властитим искуством итд.).</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4.5. Врсте јединица за праћење и одговарајуће раздобље током којег се мора похранити „потврђен и активан” DTC</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22"/>
        <w:gridCol w:w="657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Врста јединице за праћење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Раздобље акумулираног рада мотора током којег се мора похранити „потврђен и активан” DTC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уклањање система за накнадну обраду честица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 минута рада мотора под оптерећењем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губитак функције система за накнадну обраду честица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240 минута рада мотора под оптерећењем</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неисправности PCD-a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60 минута рада мотора</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2.3.3. Захтеви за брисање дијагностичких кодова неисправности (DTC-ова)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(а) PCD не сме самостално избрисати DTC из рачунарске меморије пре него што се неисправност повезана с тим DTC-ом не отклони.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PCD може избрисати све DTC-ове на налог власничког алата за скенирање или одржавање, који произвођач мотора доставља на захтев, или помоћу лозинке коју је доставио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2.3.4. PCD се не сме програмирати или на други начин конципирати тако да се делимично или потпуно деактивира на основу старости недрумске покретне машине током животног века мотора нити сме садржавати било какав алгоритам или стратегију осмишљену за смањивање делотворности PCD-а с временом.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2.3.5. Репрограмабилни рачунарски код или радни параметри PCD-а морају бити отпорни на недопуштене захвате.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2.3.6. Породица мотора по PCD-у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је одговоран за одређивање састава породице мотора по PCD-у. Груписање мотора у породицу мотора по PCD-у темељи се на доброј инжењерској процени и подлеже одобрењу хомологацијског тела.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Мотори који не припадају истој породици мотора свеједно могу припадати истој породици мотора по PCD-у.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2.3.6.1. Параметри којима се одређује породица мотора по PCD-у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Породицу мотора по PCD-у карактеризују основни конструкцијски параметри који су заједнички моторима у породици.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Да би мотори припадали истој породици мотора по PCD-у, морају имати сличне следеће основне параметре: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принцип рада система за накнадну обраду честица (на пример механички, аеродинамички, дифузијски, инерцијски, периодично регенеративан, континуирано регенеративан итд.);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методе праћења PCD-а;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критеријуме праћења PCD;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 сличности произвођач доказује релевантним инжењерским поступцима доказивања или осталим одговарајућим поступцима те их мора одобрити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може од хомологацијског тела затражити хомологацију мањих разлика у методама праћења/дијагностиковања PCD-а због разлика у конфигурацији мотора ако произвођач те методе сматра сличнима и ако се методе разликују искључиво ради прилагођавања специфичним карактеристикама разматраних саставних делова (на пример величини, протоку издувних гасова итд.) или ако се њихове сличности темеље на доброј инжењерској процени.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Захтеви у погледу одржавања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ОЕМ мора свим крајњим корисницима нових недрумских покретних машина дати писана упутства за систем за контролу емисија и његов исправан рад.</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Систем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4.1. Недрумска покретна машина мора имати систем за упозоравање руковаоца с визуалним упозорењима.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4.2. Систем за упозоравање руковаоца може се састојати од једне лампице или више њих или може приказивати кратке поруке.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који се употребљава за приказивање порука може бити исти систем који се употребљава за друге потребе одржавања или за NCD.</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Систем за упозоравање руковаоца мора упозоравати на потребу за хитним поправком. Ако систем за упозоравање поседује систем за приказивање порука, он приказује поруку у којој се наводи разлог за упозорење (на пример „одспојен сензор” или „критична неисправност у вези с емисијама”).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4.3. Ако произвођач тако одлучи, систем за упозоравање може садржавати звучну компоненту за скретање пажње руковаоца. Руковаоц сме искључити звучна упозорења.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4.4. Систем за упозоравање руковаоца активира се како је утврђено у тачки 2.3.2.2.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4.5. Систем за упозоравање руковаоца деактивира се кад услови због којих се активирао више не буду испуњени. Систем за упозоравање руковаоца не сме се аутоматски деактивирати ако узрок његове активације није отклоњен.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4.6. Систем за упозоравање може се привремено прекинути због других сигнала упозорења који дају важне поруке које се односе на сигурност.</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4.7. У захтеву за ЕУ хомологацију типа произвођач мора доказати рад система за упозоравање руковаоца, како је утврђено у одељку 9.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Систем за похрањивање информација о активацији система за упозоравање руковаоца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5.1. PCD мора садржавати неизбрисиву рачунарску меморију или бројаче за похрањивање случајева рада мотора с потврђеним и активним DTC-ом како би се осигурало да се те информације не могу намерно избрисати.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5.2. PCD мора у неизбрисиву меморију или у бројаче бележити укупан број и трајање свих случајева рада мотора с потврђеним и активним DTC-ом кад је систем упозорења за руковаоца био активан 20 сати рада мотора или краће ако тако одлучи произвођач.</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5.3. Надлежна тела требају да прочитају те записе помоћу алата за скенирање.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5.4 Опис повезивања и метода читања за те записе морају се унети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 Праћење је ли систем за накнадну обраду честица уклоњен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6.1. PCD мора детектовати ако је систем за накнадну обраду честица, укључујући све сензоре за праћење, активацију, деактивацију или модулацију његова рада, у целости уклоњен.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 Додатни захтеви за систем за накнадну обраду честица који употребљава реагенс (нпр. катализатор ношен горивом)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7.1. Ако је DTC за уклањање система за накнадну обраду честица или за губитак функције тог система потврђен и активан, дозирање реагенса мора се одмах прекинути. Дозирање се наставља кад DTC више не буде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7.2. Систем за упозоравање мора се активирати ако ниво реагенса у спремнику за адитиве падне испод минималне вредности коју је произвођач декларисао.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 Праћење неисправности које могу бити узроковане недопуштеним захватима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8.1. Уз праћење је ли систем за накнадну обраду честица уклоњен прате се и следеће неправилности које могу бити узроковане неовлашћеним захватима: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губитак функције система за накнадну обраду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неисправности PCD, како је описано у тачки 8.3.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8.2. Праћење постоји ли губитак функције система за накнадну обраду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PCD мора детектовати потпуно уклањање носача система за накнадну обраду честица („празна посуда”). У том су случају и даље присутни кућиште система за накнадну обраду честица и његови сензори за праћење, активацију, деактивацију или модулацију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8.3. Праћење неисправности PCD-а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8.3.1. PCD се прати ради утврђивања електричних кварова и уклањања или деактивације сваког сензора због којег PCD не би могао дијагностиковати све остале неисправности утврђене у тач. 6.1. и 8.1.(а) овог прилога (праћење саставних делова).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На непотпуном попису сензора који утичу на дијагностичке могућности су сензори који непосредно мере разлике притисака у систему за накнадну обраду честица и сензори температуре издувних гасова за контролу регенерације система за накнадну обраду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8.3.2. Активација система за упозоравање руковаоца и похрањивање информација о тој активацији нису потребни ако неисправност, уклањање или деактивација појединачног сензора или актуатора PCD-а не омета дијагностиковање неисправности из тачака 6.1. и 8.1.(а) (редундантни систем) у утврђеном року осим ако су неисправности сензора или актуатора потврђене и активне.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 Захтеви у погледу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9.1. Опште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са захтевима из овог додатка доказује се током ЕУ хомологације демонстрацијом, како је приказано у табели 4.6. овог прилога и одређено у овом одељку 9, активације система за упозоравање.</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4.6. Приказ поступка доказивања у складу с одредбама из тачке 9.3.</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20"/>
        <w:gridCol w:w="688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Механизам</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Елементи доказивања</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активација система за упозоравање из тачке 4.4.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 два испитивања активације, укључујући губитак функције система за накнадну обраду честица</w:t>
            </w:r>
          </w:p>
          <w:p w:rsidR="00DA0CD9" w:rsidRPr="00B03342" w:rsidRDefault="00DA0CD9" w:rsidP="00E26D3C">
            <w:pPr>
              <w:spacing w:after="150"/>
              <w:rPr>
                <w:rFonts w:ascii="Arial" w:hAnsi="Arial" w:cs="Arial"/>
                <w:lang w:eastAsia="sr-Latn-RS"/>
              </w:rPr>
            </w:pPr>
            <w:r w:rsidRPr="00B03342">
              <w:rPr>
                <w:rFonts w:ascii="Arial" w:hAnsi="Arial" w:cs="Arial"/>
                <w:lang w:eastAsia="sr-Latn-RS"/>
              </w:rPr>
              <w:t>– додатни елементи доказивања, према потреби</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 Породице мотора и породице мотора по PCD-у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9.2.1. Ако мотори породице мотора припадају породици мотора по PCD-у која је већ ЕУ хомологирана у складу с тачком 2.3.6. овог прилога (слика 4.8.), Усклађеност те породице мотора сматра се доказаном без додатног испитивања, под условом да произвођач докаже хомологацијском телу да су системи за праћење нужни за испуњавање захтева из овог Додатка слични унутар разматраних породица мотора и породица мотора по PCD-у.</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4.8. Претходно доказана Усклађеност породице мотора по PCD-у</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51BEBDB0" wp14:editId="1D7FF270">
            <wp:extent cx="5057140" cy="1296035"/>
            <wp:effectExtent l="0" t="0" r="0" b="0"/>
            <wp:docPr id="38" name="Picture 38" descr="A diagram comparing the variability of motor families with labeled boxes and arrows indicating relationships between motor family 1, motor family 2, and motor family by PCD-1.&#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 diagram comparing the variability of motor families with labeled boxes and arrows indicating relationships between motor family 1, motor family 2, and motor family by PCD-1.&#10;&#10;Description generated by AI"/>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057140" cy="129603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по PCD-у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породица мотора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породице мотора по PCD-у 1 доказана је за породицу мотора 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Усклађеност породице мотора 1 сматра се доказаном”.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 Доказивање активације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9.3.1. Усклађеност активације система за упозоравање доказује се помоћу два испитивања: губитком функције система за накнадну обраду честица и једном категоријом неисправности из тач. 6. или 8.3.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 Избор неисправности које треба испитати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9.3.2.1. Произвођач хомологацијском телу доставља попис таквих могућих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9.3.2.2. Хомологацијско тело с пописа из тачке 9.3.2.1. овог прилога бира неисправност која ће се разматрати у испитивању.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 Доказивање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9.3.3.1. За потребе овог доказивања спроводе се засебна испитивања за губитак функције система за накнадну обраду честица из тачке 8.2. и за неисправности из тач. 6. и 8.3. овог прилога. Губитак функције система за накнадну обраду честица постиже се потпуним уклањањем носача из кућишта система за накнадну обраду честица.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9.3.3.2. Током испитивања не сме бити ниједне неисправности осим оне која је предмет испитивања.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9.3.3.3. Пре почетка испитивања бришу се сви DTC-ови.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9.3.3.4. На захтев произвођача и уз одобрење хомологацијског тела неисправности које су предмет испитивања могу се симулирати.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9.3.3.5. Детекција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9.3.3.5.1. PCD мора реаговати на уведену неисправност коју је хомологацијско тело одабрало као примерену у складу с одредбама овог додатка. То се сматра доказаним ако се активација догоди унутар броја узастопних циклуса испитивања PCD-а задатог у табели 4.7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у опису праћења наведе и ако се договори с хомологацијским телом да је потребно више циклуса испитивања PCD-а од броја наведеног у табели 4.7. овог прилога како би одређена јединица за праћење довршила праћење, број циклуса испитивања PCD-а може се повећати за највише 50 %.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Сваки се појединачни циклус испитивања PCD-а у демонстрацијском испитивању може раздвојити искључивањем мотора. У времену до следећег покретања морају се узети у обзир сва праћења која су се могла одвити након искључивања мотора и сви нужни услови који морају постојати како би се праћење наставило при следећем покретању.</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Табела 4.7. Врсте јединица за праћење и одговарајући број испитивања PCD-а током којих се мора похранити „потврђен и активан” DTC</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60"/>
        <w:gridCol w:w="6240"/>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Врста јединице за праћење</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Број испитивања PCD-а током којих се мора похранити „потврђен и активан” DTC</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уклањање система за накнадну обраду честица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губитак функције система за накнадну обраду честица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8</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неисправности PCD-а</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2</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9.3.3.6. Циклус испитивања PCD-а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9.3.3.6.1. Циклус испитивања PCD-а из овог одељка 9. ради доказивања правилног радног учинка система за праћење система за накнадну обраду честица је NRTC циклус с топлим покретањем за моторе поткатегорија NRE-v-3, NRE-v-4, NRE-v-5 NRE-v-6 односно примењиви NRSC за све остале категорије.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9.3.3.6.2. На захтев произвођача и уз одобрење хомологацијског тела за одређену се јединицу за праћење може употребити алтернативни циклус испитивања PCD-а (нпр. циклус који није NRTC или NRSC). Захтев мора садржавати елементе (техничка разматрања, симулације, резултате испитивања итд.) којима се доказује: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резултате тражених испитних циклуса у једној јединици за праћење која ће радити у стварним условима рада;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да је примењиви циклус испитивања PCD-а из тачке 9.3.3.6.1. овог прилога мање прикладан за разматрано праћење.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9.3.3.7. Конфигурација за доказивање активације система за упозоравање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9.3.3.7.1. Доказивање активације система за упозоравање обавља се испитивањима сспроведенима на испитном столу за моторе.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9.3.3.7.2. Сви саставни делови или подсистеми који нису физички уграђени у мотор, као што су, међу осталим, сензори температуре околине, сензори нивоа и системи за упозоравање и информисање руковаоца, а који су потребни за спровођење доказивања морају се у ту сврху спојити на мотор или симулирати на задовољавајући начин за хомологацијско тело.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9.3.3.7.3. На основу избора произвођача и уз одобрење хомологацијског тела демонстрацијска испитивања могу се спровести, не доводећи у питање тачку 9.3.3.7.1. овог прилога, на целовитој недрумској покретној машини постављањем недрумске покретне машине на одговарајући испитни сто или вожњом по испитној стази у контролисаним условима.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9.3.4. Сматра се да је доказивање активације система за упозоравање успешно ако се на крају сваког демонстрацијског испитивања сспроведеног у складу с тачком 9.3.3. овог прилога систем за упозоравање правилно активирао и ако је DTC-у за одабрану неисправност додељен статус „потврђен и активан”.</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9.3.5. Ако се систем за накнадну обраду честица који употребљава реагенс испитује у демонстрацијском испитивању губитка функције или његова уклањања, мора се такође потврдити да је дозирање реагенса прекинуто.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9.3.6 Документација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9.3.6.1 У извештају о доказивању документује се доказивање рада PCD-а.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Извештај:</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наводи разматране неисправности;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описује спроведено доказивање, укључујући примењиви испитни циклус;</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потврђује да су се примењива упозорења активирала у складу са захтевима ове Уредбе;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мора бити уврштено у описну мапу.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Мерења и испитивања у погледу подручја које је повезано с релевантним недрумским стационарним испитним циклусом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Општи захтеви</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Овај се Прилог примењује на електронски управљане моторе категорија NRE, NRG, IWP, IWA и RLR који су усклађени са степеном В. граничних вредности утврђеним у Прилогу 2 ове уредбе и код којих се електронско управљање употребљава за одређивање количине горива и тренутка убризгавања горива те за активацију, деактивацију или модулацију сустава за контролу емисија употребљаваног за смањивање NO</w:t>
      </w:r>
      <w:r w:rsidRPr="00B03342">
        <w:rPr>
          <w:rFonts w:ascii="Arial" w:hAnsi="Arial" w:cs="Arial"/>
          <w:color w:val="000000"/>
          <w:vertAlign w:val="subscript"/>
          <w:lang w:eastAsia="sr-Latn-RS"/>
        </w:rPr>
        <w:t>x</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овом се Прилогу утврђују технички захтеви у погледу подручја повезаног с релевантним NRSC-ом унутар којег се контролише количина за коју се емисијама допушта да прекораче граничне вредности.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се мотор испитује на начин утврђен у испитним захтевима из одељка 4. овог прилога, емисије гасовитих и чврстих загађујућих материја узорковане у било којој насумично одабраној тачки унутар примењивог контролног подручја утврђеног у одељку 2. овог прилога не смеју прекорачивати примењиве граничне вредности емисија помножене с 2,0.</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одељку 3. овог прилога утврђује се како техничка служба одабире додатне мерне тачке унутар контролног подручја током испитивања емисија на испитном столу како би се доказало да су испуњени захтеви из овог одељка 1.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Произвођач може затражити да техничка служба искључи радне тачке из било којег контролног подручја утврђеног у одељку 2. овог прилога током доказивања утврђеног у одељку 3. овог прилога. Техничка служба може одобрити такво искључивање ако произвођач може доказати да мотор ни у ком случају не може радити у тим тачкама кад се употребљава у било којој комбинацији недрумских покретних машина.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У упутствима за уградњу које произвођач достави ОЕМ-у морају бити наведене горње и доње границе примењивог контролног подручја те изјава у којој се објашњава да ОЕМ не сме уградити мотор тако да мотор буде ограничен на сталан рад само у комбинацијама брзине и обртног момента ван контролног подручја за криву обртног момента која одговара хомологованом типу или породици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Контролно подручје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Примењиво контролно подручје за испитивање мотора је подручје утврђено у овом одељком 2. које одговара примењивом NRSC-у за мотор који се испитује.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2.1. Контролно подручје мотора који се испитују у NRSC циклусу C1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Ти мотори раде при различитим брзинама и оптерећењима. Зависно о (пот)категорији и радној брзини мотора примењују се различити изузеци од контролног подручја.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2.1.1. Мотори промењиве брзине категорије NRE највеће нето снаге ≥ 19 kW, мотори промењиве брзине категорије IWA највеће нето снаге ≥ 300 kW, мотори промењиве брзине категорије RLR и мотори промењиве брзине категорије NRG.</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Контролно се подручје (видети слику 5.1. овог прилога) одређује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горња гранична вредност закретног момента: крива закретног момента под пуним оптерећењем;</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распон брзине: брзина А до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hi</w:t>
      </w:r>
      <w:r w:rsidRPr="00B03342">
        <w:rPr>
          <w:rFonts w:ascii="Arial" w:hAnsi="Arial" w:cs="Arial"/>
          <w:color w:val="000000"/>
          <w:lang w:eastAsia="sr-Latn-RS"/>
        </w:rPr>
        <w:t>;</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брзина A =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lo</w:t>
      </w:r>
      <w:r w:rsidRPr="00B03342">
        <w:rPr>
          <w:rFonts w:ascii="Arial" w:hAnsi="Arial" w:cs="Arial"/>
          <w:color w:val="000000"/>
          <w:lang w:eastAsia="sr-Latn-RS"/>
        </w:rPr>
        <w:t> + 0,15 ·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hi</w:t>
      </w:r>
      <w:r w:rsidRPr="00B03342">
        <w:rPr>
          <w:rFonts w:ascii="Arial" w:hAnsi="Arial" w:cs="Arial"/>
          <w:color w:val="000000"/>
          <w:lang w:eastAsia="sr-Latn-RS"/>
        </w:rPr>
        <w:t> – </w:t>
      </w:r>
      <w:r w:rsidRPr="00B03342">
        <w:rPr>
          <w:rFonts w:ascii="Arial" w:hAnsi="Arial" w:cs="Arial"/>
          <w:i/>
          <w:iCs/>
          <w:color w:val="000000"/>
          <w:lang w:eastAsia="sr-Latn-RS"/>
        </w:rPr>
        <w:t>n</w:t>
      </w:r>
      <w:r w:rsidRPr="00B03342">
        <w:rPr>
          <w:rFonts w:ascii="Arial" w:hAnsi="Arial" w:cs="Arial"/>
          <w:color w:val="000000"/>
          <w:lang w:eastAsia="sr-Latn-RS"/>
        </w:rPr>
        <w:t> </w:t>
      </w:r>
      <w:r w:rsidRPr="00B03342">
        <w:rPr>
          <w:rFonts w:ascii="Arial" w:hAnsi="Arial" w:cs="Arial"/>
          <w:color w:val="000000"/>
          <w:vertAlign w:val="subscript"/>
          <w:lang w:eastAsia="sr-Latn-RS"/>
        </w:rPr>
        <w:t>lo</w:t>
      </w:r>
      <w:r w:rsidRPr="00B03342">
        <w:rPr>
          <w:rFonts w:ascii="Arial" w:hAnsi="Arial" w:cs="Arial"/>
          <w:color w:val="000000"/>
          <w:lang w:eastAsia="sr-Latn-RS"/>
        </w:rPr>
        <w:t>);</w:t>
      </w:r>
    </w:p>
    <w:tbl>
      <w:tblPr>
        <w:tblW w:w="105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82"/>
        <w:gridCol w:w="370"/>
        <w:gridCol w:w="9348"/>
      </w:tblGrid>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 hi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висока брзина обртања [видети члан 1. став 12.];</w:t>
            </w:r>
          </w:p>
        </w:tc>
      </w:tr>
      <w:tr w:rsidR="00DA0CD9" w:rsidRPr="00B03342" w:rsidTr="00E26D3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n lo</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15" w:type="dxa"/>
            </w:tcMar>
            <w:vAlign w:val="center"/>
            <w:hideMark/>
          </w:tcPr>
          <w:p w:rsidR="00DA0CD9" w:rsidRPr="00B03342" w:rsidRDefault="00DA0CD9" w:rsidP="00E26D3C">
            <w:pPr>
              <w:spacing w:after="150"/>
              <w:rPr>
                <w:rFonts w:ascii="Arial" w:hAnsi="Arial" w:cs="Arial"/>
                <w:lang w:eastAsia="sr-Latn-RS"/>
              </w:rPr>
            </w:pPr>
            <w:r w:rsidRPr="00B03342">
              <w:rPr>
                <w:rFonts w:ascii="Arial" w:hAnsi="Arial" w:cs="Arial"/>
                <w:lang w:eastAsia="sr-Latn-RS"/>
              </w:rPr>
              <w:t>ниска брзина обртања [видети члан 1. став 13.].</w:t>
            </w:r>
          </w:p>
        </w:tc>
      </w:tr>
    </w:tbl>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Из испитивања се морају искључити следећа радна стања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тачке испод 30 % максималног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тачке испод 30 % највеће нето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је измерена брзина мотора А унутар ±3 % брзине мотора коју је декларисао произвођач, употребљавају се декларисане брзине мотора. Ако се допуштено одступање прекорачи за било коју од испитних брзина, употребљавају се измерене брзине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Испитне међутачке унутар контролног подручја одређују се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закретног момента = % максималног закретног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val="en-US"/>
        </w:rPr>
        <w:drawing>
          <wp:inline distT="0" distB="0" distL="0" distR="0" wp14:anchorId="508482EF" wp14:editId="069FF946">
            <wp:extent cx="3164840" cy="540385"/>
            <wp:effectExtent l="0" t="0" r="0" b="0"/>
            <wp:docPr id="37" name="Picture 37" descr="The formula shows percentage speed as the ratio of the difference between n and n_idle to the difference between n_100% and n_idle, multiplied by 100.&#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The formula shows percentage speed as the ratio of the difference between n and n_idle to the difference between n_100% and n_idle, multiplied by 100.&#10;&#10;Description generated by AI"/>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64840" cy="540385"/>
                    </a:xfrm>
                    <a:prstGeom prst="rect">
                      <a:avLst/>
                    </a:prstGeom>
                    <a:noFill/>
                    <a:ln>
                      <a:noFill/>
                    </a:ln>
                  </pic:spPr>
                </pic:pic>
              </a:graphicData>
            </a:graphic>
          </wp:inline>
        </w:drawing>
      </w:r>
      <w:r w:rsidRPr="00B03342">
        <w:rPr>
          <w:rFonts w:ascii="Arial" w:hAnsi="Arial" w:cs="Arial"/>
          <w:color w:val="000000"/>
          <w:lang w:eastAsia="sr-Latn-RS"/>
        </w:rPr>
        <w:t> ;</w:t>
      </w:r>
    </w:p>
    <w:p w:rsidR="00DA0CD9" w:rsidRPr="00B03342" w:rsidRDefault="00DA0CD9" w:rsidP="00DA0CD9">
      <w:pPr>
        <w:ind w:firstLine="480"/>
        <w:rPr>
          <w:rFonts w:ascii="Arial" w:hAnsi="Arial" w:cs="Arial"/>
          <w:color w:val="000000"/>
          <w:lang w:eastAsia="sr-Latn-RS"/>
        </w:rPr>
      </w:pPr>
      <w:r w:rsidRPr="00B03342">
        <w:rPr>
          <w:rFonts w:ascii="Arial" w:hAnsi="Arial" w:cs="Arial"/>
          <w:color w:val="000000"/>
          <w:lang w:eastAsia="sr-Latn-RS"/>
        </w:rPr>
        <w:t>при чему је: n</w:t>
      </w:r>
      <w:r w:rsidRPr="00B03342">
        <w:rPr>
          <w:rFonts w:ascii="Arial" w:hAnsi="Arial" w:cs="Arial"/>
          <w:color w:val="000000"/>
          <w:vertAlign w:val="subscript"/>
          <w:lang w:eastAsia="sr-Latn-RS"/>
        </w:rPr>
        <w:t>100 %</w:t>
      </w:r>
      <w:r w:rsidRPr="00B03342">
        <w:rPr>
          <w:rFonts w:ascii="Arial" w:hAnsi="Arial" w:cs="Arial"/>
          <w:color w:val="000000"/>
          <w:lang w:eastAsia="sr-Latn-RS"/>
        </w:rPr>
        <w:t> 100 % брзине за одговарајући испитни циклус.</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5.1. Контролно подручје за моторе промењиве брзине категорије NRE највеће нето снаге ≥ 19 kW, моторе промењиве брзине категорије IWA највеће нето снаге ≥ 300 kW и моторе промењиве брзине категорије NRG</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422A9BDD" wp14:editId="77AA5848">
            <wp:extent cx="5057140" cy="2679700"/>
            <wp:effectExtent l="0" t="0" r="0" b="6350"/>
            <wp:docPr id="36" name="Picture 36" descr="A line graph shows the relationship between exposure time and sample response with a shaded area indicating a specific range and annotations marking 40% sample non-response and 20% nois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 line graph shows the relationship between exposure time and sample response with a shaded area indicating a specific range and annotations marking 40% sample non-response and 20% noise.&#10;&#10;Description generated by AI"/>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057140" cy="267970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2.1.2. Мотори промењиве брзине категорије NRE највеће нето снаге &lt; 19 kW и мотори промењиве брзине категорије IWA највеће нето снаге &lt; 300 kW</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Примењује се контролно подручје утврђено у тачки 2.1.1. овог прилога, али уз додатно искључивање радних стања мотора наведених у овој тачки и приказаних на сликама 5.2. и 5.3.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искључиво за материјалну честицу, ако је брзина C нижа од 2 400 obr/min, тачке десно од или испод црте добиjене повезивањем тачака 30 % максималног закретног момента или 30 % највеће нето снаге, зависно о томе која је вредност виша, при брзини и 70 % највеће нето снаге при високој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(б) искључиво за материјалну честицу, ако је брзина C 2 400 obr/min или виша, десно од или испод црте добиjене повезивањем тачака 30 % максималног закретног момента или 30 % максималне нето снаге, зависно о томе која је вредност виша, при брзини В, 50 % највеће нето снаге при 2 400 obr/min и 70 % највеће нето снаге при високој брзини.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B = n lo + 0,5 × (n hi – n lo);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C = n lo + 0,75 × (n hi – n lo).</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hi = висока брзина обртања [видети члан 1. став 12.];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lo = ниска брзина обртања [видети члан 1. став 13.].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су измерене брзине мотора A, B и Cунутар ±3 % брзине мотора коју је декларисао произвођач, употребљавају се декларисане брзине мотора. Ако се допуштено одступање прекорачи за било коју од испитних брзина, употребљавају се измерене брзине мотора.</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5.2. Контролно подручје за моторе промењиве брзине категорије NRE највеће нето снаге &lt; 19 kW и моторе промењиве брзине категорије IWА највеће нето снаге &lt; 300 kW при брзини С &lt; 2 400 min.</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drawing>
          <wp:inline distT="0" distB="0" distL="0" distR="0" wp14:anchorId="5D09AAAE" wp14:editId="56E5BE09">
            <wp:extent cx="5057140" cy="3371215"/>
            <wp:effectExtent l="0" t="0" r="0" b="635"/>
            <wp:docPr id="35" name="Picture 35" descr="A graph showing the relationship between torque percentage and speed percentage with three labeled curves and shaded areas indicating different torque leve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A graph showing the relationship between torque percentage and speed percentage with three labeled curves and shaded areas indicating different torque levels.&#10;&#10;Description generated by AI"/>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057140" cy="337121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обртни момент (% максималног)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Легенда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контролно подручје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искључивање свих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искључивање честица материје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проценат највеће нето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проценат максималног обртног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слика 5.3. замењује се следећим:</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5.3. Контролно подручје за моторе промењиве брзине категорије NRE највеће нето снаге &lt; 19 kW и моторе промењиве брзине категорије IWА највеће нето снаге &lt; 300 kW при брзини C≥ 2 400 min.</w:t>
      </w:r>
      <w:r w:rsidRPr="00B03342">
        <w:rPr>
          <w:rFonts w:ascii="Arial" w:hAnsi="Arial" w:cs="Arial"/>
          <w:color w:val="000000"/>
          <w:vertAlign w:val="superscript"/>
          <w:lang w:eastAsia="sr-Latn-RS"/>
        </w:rPr>
        <w:t>-1</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46B83D87" wp14:editId="251D5137">
            <wp:extent cx="5057140" cy="2878455"/>
            <wp:effectExtent l="0" t="0" r="0" b="0"/>
            <wp:docPr id="34" name="Picture 34" descr="A graph with multiple curved lines labeled 1, 2, and 3 showing the relationship between torque percentage and speed percentage with shaded areas and marked points A, B, and C.&#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A graph with multiple curved lines labeled 1, 2, and 3 showing the relationship between torque percentage and speed percentage with shaded areas and marked points A, B, and C.&#10;&#10;Description generated by A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057140" cy="2878455"/>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обртни момент (% максималног)</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Легенда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контролно подручје мотора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искључивање свих емисија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искључивање честица материје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проценат највеће нето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проценат максималног обртног момента”;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Контролно подручје мотора који се испитују у NRSC циклусима Д2, Е2 и Г2</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Ти мотори у правилу раде при брзини врло сличној својој конструкцијској брзини обртања, па се контролно подручје одређује као: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брзина: 100 %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распон закретног момента: 50 % закретног момента који се подудара с највећом снагом.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Контролно подручје мотора који се испитују у NRSC циклусу Е3</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Ти мотори у правилу раде незнатно изнад или испод криве бродског вијка с непромењивим нагибом лопатица. Контролно подручје повезано је с кривом вијка, а границе су му одређене експонентима математичких једначини. Контролно подручје одређује се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доња гранична вредност брзине: 0,7 × n 100 %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крива горње границе: % снаге = 100 × (% брзине/90)3,5;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крива доње границе: % снаге = 70 × (% брзине/100)2,5;</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горња гранична вредност снаге: крива снаге под пуним оптерећењем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горња гранична вредност брзине: највиша брзина коју допушта регулатор</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 чему је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снаге проценат највеће нето снаге;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 брзине проценат n 100 %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n 100 % 100 % брзине за одговарајући испитни циклус.</w:t>
      </w:r>
    </w:p>
    <w:p w:rsidR="00DA0CD9" w:rsidRPr="00B03342" w:rsidRDefault="00DA0CD9" w:rsidP="00DA0CD9">
      <w:pPr>
        <w:spacing w:before="330"/>
        <w:ind w:firstLine="480"/>
        <w:jc w:val="center"/>
        <w:rPr>
          <w:rFonts w:ascii="Arial" w:hAnsi="Arial" w:cs="Arial"/>
          <w:color w:val="000000"/>
          <w:lang w:eastAsia="sr-Latn-RS"/>
        </w:rPr>
      </w:pPr>
      <w:r w:rsidRPr="00B03342">
        <w:rPr>
          <w:rFonts w:ascii="Arial" w:hAnsi="Arial" w:cs="Arial"/>
          <w:color w:val="000000"/>
          <w:lang w:eastAsia="sr-Latn-RS"/>
        </w:rPr>
        <w:t>Слика 5.4. Контролно подручје мотора који се испитују у NRSC циклусу Е3</w:t>
      </w:r>
    </w:p>
    <w:p w:rsidR="00DA0CD9" w:rsidRPr="00B03342" w:rsidRDefault="00DA0CD9" w:rsidP="00DA0CD9">
      <w:pPr>
        <w:rPr>
          <w:rFonts w:ascii="Arial" w:hAnsi="Arial" w:cs="Arial"/>
          <w:color w:val="000000"/>
          <w:lang w:eastAsia="sr-Latn-RS"/>
        </w:rPr>
      </w:pPr>
      <w:r w:rsidRPr="00B03342">
        <w:rPr>
          <w:rFonts w:ascii="Arial" w:hAnsi="Arial" w:cs="Arial"/>
          <w:color w:val="000000"/>
          <w:lang w:val="en-US"/>
        </w:rPr>
        <w:lastRenderedPageBreak/>
        <w:drawing>
          <wp:inline distT="0" distB="0" distL="0" distR="0" wp14:anchorId="70C17768" wp14:editId="490EB51C">
            <wp:extent cx="5080635" cy="3808730"/>
            <wp:effectExtent l="0" t="0" r="5715" b="1270"/>
            <wp:docPr id="33" name="Picture 33" descr="Graph showing various curves related to motor speed control with labeled lines and a legend in a non-English languag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Graph showing various curves related to motor speed control with labeled lines and a legend in a non-English language.&#10;&#10;Description generated by AI"/>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080635" cy="3808730"/>
                    </a:xfrm>
                    <a:prstGeom prst="rect">
                      <a:avLst/>
                    </a:prstGeom>
                    <a:noFill/>
                    <a:ln>
                      <a:noFill/>
                    </a:ln>
                  </pic:spPr>
                </pic:pic>
              </a:graphicData>
            </a:graphic>
          </wp:inline>
        </w:drawing>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Захтеви у погледу доказивања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Техничка служба за испитивање одабире насумичне тачке оптерећења и брзине унутар контролног подручја. За моторе обухваћене тачком 2.1. одабиру се највише три тачке. За моторе обухваћене тачком 2.2. одабире се једна тачка. За моторе обухваћене тачком 2.3. или 2.4. одабиру се највише две тачке. Техничка служба одређује и насумичан редослед испитних тачака. Испитивање се спроводи у складу с основним захтевима NRSC-а, али свака се испитна тачка мора оцењивати одвојено.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За потребе насумичних избора прописаних у тачки 3. овог прилога употребљавају се признате статистичке насумичне методе.”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4. Испитни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Испитивање се врши непосредно после примењивог NRSC-а, како следи: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испитивање насумично одабраних тачака обртног момента и брзине врши се непосредно после испитног редоследа NRSC-а с дискретним начинима описаног у тачкама од (а) до (е) тачке 7.8.1.2. Прилога 8 ове уредбе, али пре поступака после испитивања из тачке (ф), или после испитног редоследа недрумског стационарног модалног испитног циклуса с прелазима (RMC) описаног у тачкама од (а) до (д) тачке 7.8.2.3. Прилога 8 ове уредбе, али пре поступака после испитивања из тачке (е), према потреби;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испитивања се проводе у складу са захтевима из тачака од (б) до (е) тачке 7.8.1.2. Прилога 8 ове уредбе уз примену вишефилтарске методе (један филтар за сваку испитну тачку) за сваку од испитних тачака одабраних у складу с одељком 3.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(в) конкретна вредност емисија израчунава се (у g/kWh или #/kWh, зависно од случаја) за сваку испитну тачку;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(г) вредности емисија могу се израчунати на основу масе према одељку 2. Прилога 10 ове уредбе или на основу моларне масе према одељку 3. Прилога 10 ове уредбе, али то мора бити у складу с методом примењеном за испитивање у NRSC-у с дискретним начинима или RMC-у;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(д) за прорачуне збира емисија гасовитих материја и броја честица, према потреби, Nmode у једначинама (7-64) или (7-131) и (7-178) мора се поставити на 1 уз примену фактора пондирања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(ђ) за прорачуне РМ-а примењује се вишефилтерска метода; за прорачуне збира Nmode у једначинама (7-67) или (7-134) мора се поставити на 1 уз примену фактора пондирања 1.</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5. Регенерација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Ако дође до регенерације током поступка из тачке 4. овог прилога или непосредно пре тог поступка, то се испитивање после поступка може поништити на захтев произвођача, независно о узроку регенерације. У том се случају испитивање понавља. Употребљавају се исте тачке обртног момента и брзине, иако се може променити редослед тих тачака. Не сматра се нужним понављати тачке обртног момента и брзине за које је већ добијен пролазни резултат. За понављање испитивања употребљава се следећи поступак:</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(а) мотор мора радити тако да се осигура да је регенерација довршена и да је, ако је примењиво, оптерећење гара у систему за накнадну обраду честица поновно успостављено;</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(б) поступак за загревање мотора врши се у складу с тачком 7.8.1.1. Прилога 8 ове уредбе ;</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lastRenderedPageBreak/>
        <w:t>(в) испитни поступак из тачке 4. понавља се од фазе из тачке 4.(б) овог прилога.</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ПРИЛОГ 14</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Стандарди способности и оцењивање техничких служби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1. Општи захтеви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Техничке службе морају доказати одговарајуће вештине, специфично техничко знање и искуство у посебним подручјима надлежности обухваћеним овом уредбом.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 Стандарди које техничке службе морају поштовати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2.1. Техничке службе различитих категорија морају испуњавати стандарде који су битни за активности које спроводе.</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2.2. Упућивање односи се као упућивање на ову уредбу.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2.3. Упућивање односи се као упућивање на ову уредбу.</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 Поступак за оцењивање техничких служби</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3.1. Усклађеност техничких служби оцењује се у складу с поступком утврђеним.</w:t>
      </w:r>
    </w:p>
    <w:p w:rsidR="00DA0CD9" w:rsidRPr="00B03342" w:rsidRDefault="00DA0CD9" w:rsidP="00DA0CD9">
      <w:pPr>
        <w:spacing w:after="150"/>
        <w:ind w:firstLine="480"/>
        <w:rPr>
          <w:rFonts w:ascii="Arial" w:hAnsi="Arial" w:cs="Arial"/>
          <w:color w:val="000000"/>
          <w:lang w:eastAsia="sr-Latn-RS"/>
        </w:rPr>
      </w:pPr>
      <w:r w:rsidRPr="00B03342">
        <w:rPr>
          <w:rFonts w:ascii="Arial" w:hAnsi="Arial" w:cs="Arial"/>
          <w:color w:val="000000"/>
          <w:lang w:eastAsia="sr-Latn-RS"/>
        </w:rPr>
        <w:t>3.2. Упућивања односе се као упућивања ову уредбу.</w:t>
      </w:r>
    </w:p>
    <w:p w:rsidR="00DA0CD9" w:rsidRPr="00B03342" w:rsidRDefault="00DA0CD9" w:rsidP="00DA0CD9">
      <w:pPr>
        <w:pStyle w:val="Normal1"/>
        <w:rPr>
          <w:sz w:val="18"/>
          <w:szCs w:val="18"/>
        </w:rPr>
      </w:pPr>
    </w:p>
    <w:p w:rsidR="00DA0CD9" w:rsidRPr="00B03342" w:rsidRDefault="00DA0CD9" w:rsidP="00DA0CD9">
      <w:pPr>
        <w:spacing w:before="0" w:after="150"/>
        <w:ind w:firstLine="480"/>
        <w:rPr>
          <w:rFonts w:ascii="Arial" w:eastAsia="Times New Roman" w:hAnsi="Arial" w:cs="Arial"/>
          <w:noProof w:val="0"/>
          <w:color w:val="333333"/>
          <w:lang w:val="en-US"/>
        </w:rPr>
      </w:pPr>
    </w:p>
    <w:sectPr w:rsidR="00DA0CD9" w:rsidRPr="00B03342" w:rsidSect="006B1BF1">
      <w:footerReference w:type="default" r:id="rId249"/>
      <w:pgSz w:w="11906" w:h="16838" w:code="9"/>
      <w:pgMar w:top="380" w:right="431" w:bottom="280" w:left="567" w:header="720" w:footer="52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3C" w:rsidRDefault="00E26D3C" w:rsidP="00562731">
      <w:r>
        <w:separator/>
      </w:r>
    </w:p>
    <w:p w:rsidR="00E26D3C" w:rsidRDefault="00E26D3C"/>
  </w:endnote>
  <w:endnote w:type="continuationSeparator" w:id="0">
    <w:p w:rsidR="00E26D3C" w:rsidRDefault="00E26D3C" w:rsidP="00562731">
      <w:r>
        <w:continuationSeparator/>
      </w:r>
    </w:p>
    <w:p w:rsidR="00E26D3C" w:rsidRDefault="00E26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D3C" w:rsidRPr="005761BD" w:rsidRDefault="00E26D3C" w:rsidP="005761BD">
    <w:pPr>
      <w:pStyle w:val="Footer"/>
      <w:jc w:val="center"/>
      <w:rPr>
        <w:caps/>
        <w:color w:val="5B9BD5"/>
      </w:rPr>
    </w:pPr>
    <w:r w:rsidRPr="00562731">
      <w:rPr>
        <w:caps/>
        <w:noProof w:val="0"/>
        <w:color w:val="5B9BD5"/>
      </w:rPr>
      <w:fldChar w:fldCharType="begin"/>
    </w:r>
    <w:r w:rsidRPr="00562731">
      <w:rPr>
        <w:caps/>
        <w:color w:val="5B9BD5"/>
      </w:rPr>
      <w:instrText xml:space="preserve"> PAGE   \* MERGEFORMAT </w:instrText>
    </w:r>
    <w:r w:rsidRPr="00562731">
      <w:rPr>
        <w:caps/>
        <w:noProof w:val="0"/>
        <w:color w:val="5B9BD5"/>
      </w:rPr>
      <w:fldChar w:fldCharType="separate"/>
    </w:r>
    <w:r w:rsidR="004C4733">
      <w:rPr>
        <w:caps/>
        <w:color w:val="5B9BD5"/>
      </w:rPr>
      <w:t>1</w:t>
    </w:r>
    <w:r w:rsidRPr="00562731">
      <w:rPr>
        <w:caps/>
        <w:color w:val="5B9BD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3C" w:rsidRDefault="00E26D3C" w:rsidP="00562731">
      <w:r>
        <w:separator/>
      </w:r>
    </w:p>
    <w:p w:rsidR="00E26D3C" w:rsidRDefault="00E26D3C"/>
  </w:footnote>
  <w:footnote w:type="continuationSeparator" w:id="0">
    <w:p w:rsidR="00E26D3C" w:rsidRDefault="00E26D3C" w:rsidP="00562731">
      <w:r>
        <w:continuationSeparator/>
      </w:r>
    </w:p>
    <w:p w:rsidR="00E26D3C" w:rsidRDefault="00E26D3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128AF0"/>
    <w:lvl w:ilvl="0">
      <w:start w:val="1"/>
      <w:numFmt w:val="decimal"/>
      <w:lvlText w:val="%1."/>
      <w:lvlJc w:val="left"/>
      <w:pPr>
        <w:tabs>
          <w:tab w:val="num" w:pos="1800"/>
        </w:tabs>
        <w:ind w:left="1800" w:hanging="360"/>
      </w:pPr>
    </w:lvl>
  </w:abstractNum>
  <w:abstractNum w:abstractNumId="1">
    <w:nsid w:val="FFFFFF7D"/>
    <w:multiLevelType w:val="singleLevel"/>
    <w:tmpl w:val="AC3638A2"/>
    <w:lvl w:ilvl="0">
      <w:start w:val="1"/>
      <w:numFmt w:val="decimal"/>
      <w:lvlText w:val="%1."/>
      <w:lvlJc w:val="left"/>
      <w:pPr>
        <w:tabs>
          <w:tab w:val="num" w:pos="1440"/>
        </w:tabs>
        <w:ind w:left="1440" w:hanging="360"/>
      </w:pPr>
    </w:lvl>
  </w:abstractNum>
  <w:abstractNum w:abstractNumId="2">
    <w:nsid w:val="FFFFFF7E"/>
    <w:multiLevelType w:val="singleLevel"/>
    <w:tmpl w:val="FDD0E024"/>
    <w:lvl w:ilvl="0">
      <w:start w:val="1"/>
      <w:numFmt w:val="decimal"/>
      <w:lvlText w:val="%1."/>
      <w:lvlJc w:val="left"/>
      <w:pPr>
        <w:tabs>
          <w:tab w:val="num" w:pos="1080"/>
        </w:tabs>
        <w:ind w:left="1080" w:hanging="360"/>
      </w:pPr>
    </w:lvl>
  </w:abstractNum>
  <w:abstractNum w:abstractNumId="3">
    <w:nsid w:val="FFFFFF7F"/>
    <w:multiLevelType w:val="singleLevel"/>
    <w:tmpl w:val="28386C34"/>
    <w:lvl w:ilvl="0">
      <w:start w:val="1"/>
      <w:numFmt w:val="decimal"/>
      <w:lvlText w:val="%1."/>
      <w:lvlJc w:val="left"/>
      <w:pPr>
        <w:tabs>
          <w:tab w:val="num" w:pos="720"/>
        </w:tabs>
        <w:ind w:left="720" w:hanging="360"/>
      </w:pPr>
    </w:lvl>
  </w:abstractNum>
  <w:abstractNum w:abstractNumId="4">
    <w:nsid w:val="FFFFFF80"/>
    <w:multiLevelType w:val="singleLevel"/>
    <w:tmpl w:val="DCC06A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1E58E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77EC0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C9C165C"/>
    <w:lvl w:ilvl="0">
      <w:start w:val="1"/>
      <w:numFmt w:val="bullet"/>
      <w:lvlText w:val=""/>
      <w:lvlJc w:val="left"/>
      <w:pPr>
        <w:tabs>
          <w:tab w:val="num" w:pos="720"/>
        </w:tabs>
        <w:ind w:left="720" w:hanging="360"/>
      </w:pPr>
      <w:rPr>
        <w:rFonts w:ascii="Symbol" w:hAnsi="Symbol" w:hint="default"/>
      </w:rPr>
    </w:lvl>
  </w:abstractNum>
  <w:abstractNum w:abstractNumId="8">
    <w:nsid w:val="FFFFFF89"/>
    <w:multiLevelType w:val="singleLevel"/>
    <w:tmpl w:val="B1C42EAC"/>
    <w:lvl w:ilvl="0">
      <w:start w:val="1"/>
      <w:numFmt w:val="bullet"/>
      <w:lvlText w:val=""/>
      <w:lvlJc w:val="left"/>
      <w:pPr>
        <w:tabs>
          <w:tab w:val="num" w:pos="360"/>
        </w:tabs>
        <w:ind w:left="360" w:hanging="360"/>
      </w:pPr>
      <w:rPr>
        <w:rFonts w:ascii="Symbol" w:hAnsi="Symbol" w:hint="default"/>
      </w:rPr>
    </w:lvl>
  </w:abstractNum>
  <w:abstractNum w:abstractNumId="9">
    <w:nsid w:val="2096632C"/>
    <w:multiLevelType w:val="multilevel"/>
    <w:tmpl w:val="97A2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C92FAD"/>
    <w:multiLevelType w:val="multilevel"/>
    <w:tmpl w:val="61EABE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0E1CE0"/>
    <w:multiLevelType w:val="multilevel"/>
    <w:tmpl w:val="D520B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3E145C"/>
    <w:multiLevelType w:val="hybridMultilevel"/>
    <w:tmpl w:val="65889AD2"/>
    <w:lvl w:ilvl="0" w:tplc="F7BA221A">
      <w:start w:val="1"/>
      <w:numFmt w:val="decimal"/>
      <w:lvlText w:val="%1)"/>
      <w:lvlJc w:val="left"/>
      <w:pPr>
        <w:ind w:left="702" w:hanging="195"/>
      </w:pPr>
      <w:rPr>
        <w:rFonts w:ascii="Times New Roman" w:eastAsia="Times New Roman" w:hAnsi="Times New Roman" w:cs="Times New Roman" w:hint="default"/>
        <w:b/>
        <w:bCs/>
        <w:i w:val="0"/>
        <w:iCs w:val="0"/>
        <w:spacing w:val="0"/>
        <w:w w:val="100"/>
        <w:sz w:val="18"/>
        <w:szCs w:val="18"/>
        <w:lang w:eastAsia="en-US" w:bidi="ar-SA"/>
      </w:rPr>
    </w:lvl>
    <w:lvl w:ilvl="1" w:tplc="C298CA38">
      <w:numFmt w:val="bullet"/>
      <w:lvlText w:val="–"/>
      <w:lvlJc w:val="left"/>
      <w:pPr>
        <w:ind w:left="110" w:hanging="153"/>
      </w:pPr>
      <w:rPr>
        <w:rFonts w:ascii="Times New Roman" w:eastAsia="Times New Roman" w:hAnsi="Times New Roman" w:cs="Times New Roman" w:hint="default"/>
        <w:b w:val="0"/>
        <w:bCs w:val="0"/>
        <w:i w:val="0"/>
        <w:iCs w:val="0"/>
        <w:spacing w:val="0"/>
        <w:w w:val="100"/>
        <w:sz w:val="18"/>
        <w:szCs w:val="18"/>
        <w:lang w:eastAsia="en-US" w:bidi="ar-SA"/>
      </w:rPr>
    </w:lvl>
    <w:lvl w:ilvl="2" w:tplc="8152CD14">
      <w:numFmt w:val="bullet"/>
      <w:lvlText w:val="•"/>
      <w:lvlJc w:val="left"/>
      <w:pPr>
        <w:ind w:left="607" w:hanging="153"/>
      </w:pPr>
      <w:rPr>
        <w:rFonts w:hint="default"/>
        <w:lang w:eastAsia="en-US" w:bidi="ar-SA"/>
      </w:rPr>
    </w:lvl>
    <w:lvl w:ilvl="3" w:tplc="F066F8C6">
      <w:numFmt w:val="bullet"/>
      <w:lvlText w:val="•"/>
      <w:lvlJc w:val="left"/>
      <w:pPr>
        <w:ind w:left="515" w:hanging="153"/>
      </w:pPr>
      <w:rPr>
        <w:rFonts w:hint="default"/>
        <w:lang w:eastAsia="en-US" w:bidi="ar-SA"/>
      </w:rPr>
    </w:lvl>
    <w:lvl w:ilvl="4" w:tplc="4DFC1C7E">
      <w:numFmt w:val="bullet"/>
      <w:lvlText w:val="•"/>
      <w:lvlJc w:val="left"/>
      <w:pPr>
        <w:ind w:left="422" w:hanging="153"/>
      </w:pPr>
      <w:rPr>
        <w:rFonts w:hint="default"/>
        <w:lang w:eastAsia="en-US" w:bidi="ar-SA"/>
      </w:rPr>
    </w:lvl>
    <w:lvl w:ilvl="5" w:tplc="4D8E9A4A">
      <w:numFmt w:val="bullet"/>
      <w:lvlText w:val="•"/>
      <w:lvlJc w:val="left"/>
      <w:pPr>
        <w:ind w:left="330" w:hanging="153"/>
      </w:pPr>
      <w:rPr>
        <w:rFonts w:hint="default"/>
        <w:lang w:eastAsia="en-US" w:bidi="ar-SA"/>
      </w:rPr>
    </w:lvl>
    <w:lvl w:ilvl="6" w:tplc="AC967C1E">
      <w:numFmt w:val="bullet"/>
      <w:lvlText w:val="•"/>
      <w:lvlJc w:val="left"/>
      <w:pPr>
        <w:ind w:left="237" w:hanging="153"/>
      </w:pPr>
      <w:rPr>
        <w:rFonts w:hint="default"/>
        <w:lang w:eastAsia="en-US" w:bidi="ar-SA"/>
      </w:rPr>
    </w:lvl>
    <w:lvl w:ilvl="7" w:tplc="F782DDE2">
      <w:numFmt w:val="bullet"/>
      <w:lvlText w:val="•"/>
      <w:lvlJc w:val="left"/>
      <w:pPr>
        <w:ind w:left="145" w:hanging="153"/>
      </w:pPr>
      <w:rPr>
        <w:rFonts w:hint="default"/>
        <w:lang w:eastAsia="en-US" w:bidi="ar-SA"/>
      </w:rPr>
    </w:lvl>
    <w:lvl w:ilvl="8" w:tplc="C9AC7AE0">
      <w:numFmt w:val="bullet"/>
      <w:lvlText w:val="•"/>
      <w:lvlJc w:val="left"/>
      <w:pPr>
        <w:ind w:left="53" w:hanging="153"/>
      </w:pPr>
      <w:rPr>
        <w:rFonts w:hint="default"/>
        <w:lang w:eastAsia="en-US" w:bidi="ar-SA"/>
      </w:rPr>
    </w:lvl>
  </w:abstractNum>
  <w:abstractNum w:abstractNumId="13">
    <w:nsid w:val="6B114381"/>
    <w:multiLevelType w:val="multilevel"/>
    <w:tmpl w:val="E3ACD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26"/>
    <w:rsid w:val="00001239"/>
    <w:rsid w:val="00025D8B"/>
    <w:rsid w:val="0003065A"/>
    <w:rsid w:val="00044DC0"/>
    <w:rsid w:val="0004642A"/>
    <w:rsid w:val="00095B31"/>
    <w:rsid w:val="000D43CC"/>
    <w:rsid w:val="000E41A0"/>
    <w:rsid w:val="001749E2"/>
    <w:rsid w:val="00251BA3"/>
    <w:rsid w:val="00273DB6"/>
    <w:rsid w:val="002A0BD4"/>
    <w:rsid w:val="002E296A"/>
    <w:rsid w:val="003527C5"/>
    <w:rsid w:val="003C0E07"/>
    <w:rsid w:val="003F36D1"/>
    <w:rsid w:val="00404EB1"/>
    <w:rsid w:val="00426874"/>
    <w:rsid w:val="004877B7"/>
    <w:rsid w:val="00497C37"/>
    <w:rsid w:val="004B4B91"/>
    <w:rsid w:val="004C4733"/>
    <w:rsid w:val="004D01F0"/>
    <w:rsid w:val="004D039A"/>
    <w:rsid w:val="004F5E00"/>
    <w:rsid w:val="00505179"/>
    <w:rsid w:val="00541D17"/>
    <w:rsid w:val="00562731"/>
    <w:rsid w:val="005761BD"/>
    <w:rsid w:val="005E6332"/>
    <w:rsid w:val="0061486B"/>
    <w:rsid w:val="00634D8B"/>
    <w:rsid w:val="00647116"/>
    <w:rsid w:val="00671A12"/>
    <w:rsid w:val="00691AEF"/>
    <w:rsid w:val="006A5214"/>
    <w:rsid w:val="006B1BF1"/>
    <w:rsid w:val="00703B45"/>
    <w:rsid w:val="0070679E"/>
    <w:rsid w:val="00740FB7"/>
    <w:rsid w:val="00745084"/>
    <w:rsid w:val="00767A56"/>
    <w:rsid w:val="00770E38"/>
    <w:rsid w:val="007A331F"/>
    <w:rsid w:val="007B0FCB"/>
    <w:rsid w:val="007B35E1"/>
    <w:rsid w:val="007B3672"/>
    <w:rsid w:val="007C7328"/>
    <w:rsid w:val="007D3A7B"/>
    <w:rsid w:val="007D4D4A"/>
    <w:rsid w:val="00806E64"/>
    <w:rsid w:val="00834961"/>
    <w:rsid w:val="0087547F"/>
    <w:rsid w:val="008A4389"/>
    <w:rsid w:val="0093171D"/>
    <w:rsid w:val="00942B01"/>
    <w:rsid w:val="00944E3C"/>
    <w:rsid w:val="00991D4E"/>
    <w:rsid w:val="00A046BD"/>
    <w:rsid w:val="00A1695E"/>
    <w:rsid w:val="00A31AF5"/>
    <w:rsid w:val="00A412D4"/>
    <w:rsid w:val="00A671C8"/>
    <w:rsid w:val="00AC7A35"/>
    <w:rsid w:val="00AF0D68"/>
    <w:rsid w:val="00AF1260"/>
    <w:rsid w:val="00AF261C"/>
    <w:rsid w:val="00B03342"/>
    <w:rsid w:val="00B60037"/>
    <w:rsid w:val="00B83346"/>
    <w:rsid w:val="00B8699F"/>
    <w:rsid w:val="00B913D9"/>
    <w:rsid w:val="00BC19BB"/>
    <w:rsid w:val="00BE73FA"/>
    <w:rsid w:val="00C14DDD"/>
    <w:rsid w:val="00C24548"/>
    <w:rsid w:val="00C7284F"/>
    <w:rsid w:val="00CE5570"/>
    <w:rsid w:val="00D01141"/>
    <w:rsid w:val="00D02513"/>
    <w:rsid w:val="00D02CD8"/>
    <w:rsid w:val="00D04BC7"/>
    <w:rsid w:val="00D064CB"/>
    <w:rsid w:val="00D13326"/>
    <w:rsid w:val="00D41FFB"/>
    <w:rsid w:val="00DA0CD9"/>
    <w:rsid w:val="00E22FC4"/>
    <w:rsid w:val="00E26D3C"/>
    <w:rsid w:val="00E91BA1"/>
    <w:rsid w:val="00E94200"/>
    <w:rsid w:val="00F00E8A"/>
    <w:rsid w:val="00F44E3D"/>
    <w:rsid w:val="00F53847"/>
    <w:rsid w:val="00F9032C"/>
    <w:rsid w:val="00FA3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61BD"/>
    <w:pPr>
      <w:spacing w:before="120" w:after="120"/>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B8699F"/>
    <w:pPr>
      <w:keepNext/>
      <w:keepLines/>
      <w:spacing w:before="480" w:after="200" w:line="276" w:lineRule="auto"/>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nhideWhenUsed/>
    <w:qFormat/>
    <w:rsid w:val="00B8699F"/>
    <w:pPr>
      <w:keepNext/>
      <w:keepLines/>
      <w:spacing w:before="200" w:after="200" w:line="276" w:lineRule="auto"/>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B8699F"/>
    <w:pPr>
      <w:keepNext/>
      <w:keepLines/>
      <w:spacing w:before="200" w:after="200" w:line="276" w:lineRule="auto"/>
      <w:outlineLvl w:val="2"/>
    </w:pPr>
    <w:rPr>
      <w:rFonts w:ascii="Calibri Light" w:eastAsia="Times New Roman" w:hAnsi="Calibri Light"/>
      <w:b/>
      <w:bCs/>
      <w:noProof w:val="0"/>
      <w:color w:val="5B9BD5"/>
      <w:sz w:val="22"/>
      <w:szCs w:val="22"/>
      <w:lang w:val="en-US"/>
    </w:rPr>
  </w:style>
  <w:style w:type="paragraph" w:styleId="Heading4">
    <w:name w:val="heading 4"/>
    <w:basedOn w:val="Normal"/>
    <w:next w:val="Normal"/>
    <w:link w:val="Heading4Char"/>
    <w:uiPriority w:val="9"/>
    <w:unhideWhenUsed/>
    <w:qFormat/>
    <w:rsid w:val="00B8699F"/>
    <w:pPr>
      <w:keepNext/>
      <w:keepLines/>
      <w:spacing w:before="200" w:after="200" w:line="276" w:lineRule="auto"/>
      <w:outlineLvl w:val="3"/>
    </w:pPr>
    <w:rPr>
      <w:rFonts w:ascii="Calibri Light" w:eastAsia="Times New Roman" w:hAnsi="Calibri Light"/>
      <w:b/>
      <w:bCs/>
      <w:i/>
      <w:iCs/>
      <w:noProof w:val="0"/>
      <w:color w:val="5B9BD5"/>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styleId="Header">
    <w:name w:val="header"/>
    <w:basedOn w:val="Normal"/>
    <w:link w:val="HeaderChar"/>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 w:type="character" w:customStyle="1" w:styleId="Heading1Char">
    <w:name w:val="Heading 1 Char"/>
    <w:link w:val="Heading1"/>
    <w:uiPriority w:val="9"/>
    <w:rsid w:val="00B8699F"/>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B8699F"/>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B8699F"/>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B8699F"/>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B8699F"/>
  </w:style>
  <w:style w:type="paragraph" w:styleId="NormalIndent">
    <w:name w:val="Normal Indent"/>
    <w:basedOn w:val="Normal"/>
    <w:uiPriority w:val="99"/>
    <w:unhideWhenUsed/>
    <w:rsid w:val="00B8699F"/>
    <w:pPr>
      <w:spacing w:after="200" w:line="276" w:lineRule="auto"/>
      <w:ind w:left="72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B8699F"/>
    <w:pPr>
      <w:numPr>
        <w:ilvl w:val="1"/>
      </w:numPr>
      <w:spacing w:after="200" w:line="276" w:lineRule="auto"/>
      <w:ind w:left="86"/>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B8699F"/>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B8699F"/>
    <w:rPr>
      <w:i/>
      <w:iCs/>
    </w:rPr>
  </w:style>
  <w:style w:type="character" w:styleId="Hyperlink">
    <w:name w:val="Hyperlink"/>
    <w:unhideWhenUsed/>
    <w:rsid w:val="00B8699F"/>
    <w:rPr>
      <w:color w:val="0563C1"/>
      <w:u w:val="single"/>
    </w:rPr>
  </w:style>
  <w:style w:type="table" w:styleId="TableGrid">
    <w:name w:val="Table Grid"/>
    <w:basedOn w:val="TableNormal"/>
    <w:uiPriority w:val="59"/>
    <w:rsid w:val="00B869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B8699F"/>
    <w:pPr>
      <w:spacing w:after="200"/>
    </w:pPr>
    <w:rPr>
      <w:rFonts w:ascii="Verdana" w:hAnsi="Verdana" w:cs="Verdana"/>
      <w:b/>
      <w:bCs/>
      <w:noProof w:val="0"/>
      <w:color w:val="5B9BD5"/>
      <w:lang w:val="en-US"/>
    </w:rPr>
  </w:style>
  <w:style w:type="paragraph" w:customStyle="1" w:styleId="DocDefaults">
    <w:name w:val="DocDefaults"/>
    <w:rsid w:val="00B8699F"/>
    <w:pPr>
      <w:spacing w:after="200" w:line="276" w:lineRule="auto"/>
    </w:pPr>
    <w:rPr>
      <w:sz w:val="22"/>
      <w:szCs w:val="22"/>
      <w:lang w:val="en-US" w:eastAsia="en-US"/>
    </w:rPr>
  </w:style>
  <w:style w:type="numbering" w:customStyle="1" w:styleId="NoList2">
    <w:name w:val="No List2"/>
    <w:next w:val="NoList"/>
    <w:uiPriority w:val="99"/>
    <w:semiHidden/>
    <w:unhideWhenUsed/>
    <w:rsid w:val="00AF0D68"/>
  </w:style>
  <w:style w:type="table" w:customStyle="1" w:styleId="TableGrid1">
    <w:name w:val="Table Grid1"/>
    <w:basedOn w:val="TableNormal"/>
    <w:next w:val="TableGrid"/>
    <w:uiPriority w:val="59"/>
    <w:rsid w:val="00AF0D6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F0D68"/>
    <w:rPr>
      <w:color w:val="954F72"/>
      <w:u w:val="single"/>
    </w:rPr>
  </w:style>
  <w:style w:type="numbering" w:customStyle="1" w:styleId="NoList3">
    <w:name w:val="No List3"/>
    <w:next w:val="NoList"/>
    <w:uiPriority w:val="99"/>
    <w:semiHidden/>
    <w:unhideWhenUsed/>
    <w:rsid w:val="004D01F0"/>
  </w:style>
  <w:style w:type="table" w:customStyle="1" w:styleId="TableGrid2">
    <w:name w:val="Table Grid2"/>
    <w:basedOn w:val="TableNormal"/>
    <w:next w:val="TableGrid"/>
    <w:uiPriority w:val="59"/>
    <w:rsid w:val="004D01F0"/>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61486B"/>
    <w:pPr>
      <w:widowControl w:val="0"/>
      <w:autoSpaceDE w:val="0"/>
      <w:autoSpaceDN w:val="0"/>
      <w:ind w:left="110" w:firstLine="396"/>
      <w:jc w:val="both"/>
    </w:pPr>
    <w:rPr>
      <w:rFonts w:eastAsia="Times New Roman"/>
      <w:noProof w:val="0"/>
      <w:sz w:val="22"/>
      <w:szCs w:val="22"/>
    </w:rPr>
  </w:style>
  <w:style w:type="paragraph" w:styleId="NoSpacing">
    <w:name w:val="No Spacing"/>
    <w:uiPriority w:val="1"/>
    <w:qFormat/>
    <w:rsid w:val="0061486B"/>
    <w:pPr>
      <w:contextualSpacing/>
    </w:pPr>
    <w:rPr>
      <w:rFonts w:ascii="Times New Roman" w:hAnsi="Times New Roman"/>
      <w:noProof/>
      <w:sz w:val="18"/>
      <w:szCs w:val="18"/>
      <w:lang w:eastAsia="en-US"/>
    </w:rPr>
  </w:style>
  <w:style w:type="paragraph" w:customStyle="1" w:styleId="potpis">
    <w:name w:val="potpis"/>
    <w:basedOn w:val="Normal"/>
    <w:rsid w:val="000D43CC"/>
    <w:pPr>
      <w:ind w:firstLine="480"/>
    </w:pPr>
    <w:rPr>
      <w:rFonts w:ascii="Verdana" w:eastAsia="Times New Roman" w:hAnsi="Verdana" w:cs="Arial"/>
      <w:noProof w:val="0"/>
      <w:sz w:val="20"/>
      <w:szCs w:val="20"/>
      <w:lang w:eastAsia="sr-Latn-RS"/>
    </w:rPr>
  </w:style>
  <w:style w:type="character" w:customStyle="1" w:styleId="bold">
    <w:name w:val="bold"/>
    <w:rsid w:val="000D43CC"/>
  </w:style>
  <w:style w:type="character" w:customStyle="1" w:styleId="italik1">
    <w:name w:val="italik1"/>
    <w:rsid w:val="000D43CC"/>
    <w:rPr>
      <w:i/>
      <w:iCs/>
    </w:rPr>
  </w:style>
  <w:style w:type="paragraph" w:customStyle="1" w:styleId="f">
    <w:name w:val="f"/>
    <w:basedOn w:val="Normal"/>
    <w:rsid w:val="000D43CC"/>
    <w:pPr>
      <w:ind w:firstLine="48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0D43CC"/>
    <w:pPr>
      <w:spacing w:before="100" w:beforeAutospacing="1" w:after="100" w:afterAutospacing="1"/>
    </w:pPr>
    <w:rPr>
      <w:rFonts w:ascii="Arial" w:eastAsia="Times New Roman" w:hAnsi="Arial" w:cs="Arial"/>
      <w:noProof w:val="0"/>
      <w:sz w:val="20"/>
      <w:szCs w:val="20"/>
      <w:lang w:eastAsia="sr-Latn-RS"/>
    </w:rPr>
  </w:style>
  <w:style w:type="character" w:customStyle="1" w:styleId="italik">
    <w:name w:val="italik"/>
    <w:rsid w:val="000D43CC"/>
  </w:style>
  <w:style w:type="paragraph" w:styleId="BalloonText">
    <w:name w:val="Balloon Text"/>
    <w:basedOn w:val="Normal"/>
    <w:link w:val="BalloonTextChar"/>
    <w:unhideWhenUsed/>
    <w:rsid w:val="00F00E8A"/>
    <w:rPr>
      <w:rFonts w:ascii="Tahoma" w:hAnsi="Tahoma" w:cs="Tahoma"/>
      <w:sz w:val="16"/>
      <w:szCs w:val="16"/>
    </w:rPr>
  </w:style>
  <w:style w:type="character" w:customStyle="1" w:styleId="BalloonTextChar">
    <w:name w:val="Balloon Text Char"/>
    <w:basedOn w:val="DefaultParagraphFont"/>
    <w:link w:val="BalloonText"/>
    <w:rsid w:val="00F00E8A"/>
    <w:rPr>
      <w:rFonts w:ascii="Tahoma" w:hAnsi="Tahoma" w:cs="Tahoma"/>
      <w:noProof/>
      <w:sz w:val="16"/>
      <w:szCs w:val="16"/>
      <w:lang w:eastAsia="en-US"/>
    </w:rPr>
  </w:style>
  <w:style w:type="paragraph" w:customStyle="1" w:styleId="tabela">
    <w:name w:val="tabela"/>
    <w:basedOn w:val="Normal"/>
    <w:rsid w:val="00745084"/>
    <w:pPr>
      <w:spacing w:before="100" w:beforeAutospacing="1" w:after="100" w:afterAutospacing="1"/>
    </w:pPr>
    <w:rPr>
      <w:rFonts w:eastAsia="Times New Roman"/>
      <w:noProof w:val="0"/>
      <w:sz w:val="24"/>
      <w:szCs w:val="24"/>
      <w:lang w:val="en-US"/>
    </w:rPr>
  </w:style>
  <w:style w:type="character" w:customStyle="1" w:styleId="bold1">
    <w:name w:val="bold1"/>
    <w:basedOn w:val="DefaultParagraphFont"/>
    <w:rsid w:val="00D04BC7"/>
  </w:style>
  <w:style w:type="character" w:customStyle="1" w:styleId="superscript">
    <w:name w:val="superscript"/>
    <w:basedOn w:val="DefaultParagraphFont"/>
    <w:rsid w:val="00D04BC7"/>
  </w:style>
  <w:style w:type="paragraph" w:customStyle="1" w:styleId="Normal1">
    <w:name w:val="Normal1"/>
    <w:basedOn w:val="Normal"/>
    <w:rsid w:val="00DA0CD9"/>
    <w:pPr>
      <w:spacing w:before="100" w:beforeAutospacing="1" w:after="100" w:afterAutospacing="1"/>
    </w:pPr>
    <w:rPr>
      <w:rFonts w:ascii="Arial" w:eastAsia="Times New Roman" w:hAnsi="Arial" w:cs="Arial"/>
      <w:noProof w:val="0"/>
      <w:sz w:val="22"/>
      <w:szCs w:val="22"/>
      <w:lang w:val="sr-Latn-CS" w:eastAsia="sr-Latn-CS"/>
    </w:rPr>
  </w:style>
  <w:style w:type="paragraph" w:customStyle="1" w:styleId="naslov1">
    <w:name w:val="naslov1"/>
    <w:basedOn w:val="Normal"/>
    <w:rsid w:val="00DA0CD9"/>
    <w:pPr>
      <w:spacing w:before="100" w:beforeAutospacing="1" w:after="100" w:afterAutospacing="1"/>
      <w:jc w:val="center"/>
    </w:pPr>
    <w:rPr>
      <w:rFonts w:ascii="Arial" w:eastAsia="Times New Roman" w:hAnsi="Arial" w:cs="Arial"/>
      <w:b/>
      <w:bCs/>
      <w:noProof w:val="0"/>
      <w:sz w:val="22"/>
      <w:szCs w:val="24"/>
      <w:lang w:val="sr-Latn-CS" w:eastAsia="sr-Latn-CS"/>
    </w:rPr>
  </w:style>
  <w:style w:type="paragraph" w:customStyle="1" w:styleId="naslov2">
    <w:name w:val="naslov2"/>
    <w:basedOn w:val="Normal"/>
    <w:rsid w:val="00DA0CD9"/>
    <w:pPr>
      <w:spacing w:before="100" w:beforeAutospacing="1" w:after="100" w:afterAutospacing="1"/>
      <w:jc w:val="center"/>
    </w:pPr>
    <w:rPr>
      <w:rFonts w:ascii="Arial" w:eastAsia="Times New Roman" w:hAnsi="Arial" w:cs="Arial"/>
      <w:b/>
      <w:bCs/>
      <w:noProof w:val="0"/>
      <w:sz w:val="29"/>
      <w:szCs w:val="29"/>
      <w:lang w:val="sr-Latn-CS" w:eastAsia="sr-Latn-CS"/>
    </w:rPr>
  </w:style>
  <w:style w:type="paragraph" w:customStyle="1" w:styleId="normaluvuceni">
    <w:name w:val="normal_uvuceni"/>
    <w:basedOn w:val="Normal"/>
    <w:rsid w:val="00DA0CD9"/>
    <w:pPr>
      <w:spacing w:before="100" w:beforeAutospacing="1" w:after="100" w:afterAutospacing="1"/>
      <w:ind w:left="1134" w:hanging="142"/>
    </w:pPr>
    <w:rPr>
      <w:rFonts w:ascii="Arial" w:eastAsia="Times New Roman" w:hAnsi="Arial" w:cs="Arial"/>
      <w:noProof w:val="0"/>
      <w:sz w:val="22"/>
      <w:szCs w:val="22"/>
      <w:lang w:val="sr-Latn-CS" w:eastAsia="sr-Latn-CS"/>
    </w:rPr>
  </w:style>
  <w:style w:type="paragraph" w:customStyle="1" w:styleId="normaluvuceni2">
    <w:name w:val="normal_uvuceni2"/>
    <w:basedOn w:val="Normal"/>
    <w:rsid w:val="00DA0CD9"/>
    <w:pPr>
      <w:spacing w:before="100" w:beforeAutospacing="1" w:after="100" w:afterAutospacing="1"/>
      <w:ind w:left="1701" w:hanging="227"/>
    </w:pPr>
    <w:rPr>
      <w:rFonts w:ascii="Arial" w:eastAsia="Times New Roman" w:hAnsi="Arial" w:cs="Arial"/>
      <w:noProof w:val="0"/>
      <w:sz w:val="22"/>
      <w:szCs w:val="22"/>
      <w:lang w:val="sr-Latn-CS" w:eastAsia="sr-Latn-CS"/>
    </w:rPr>
  </w:style>
  <w:style w:type="paragraph" w:customStyle="1" w:styleId="normaluvuceni3">
    <w:name w:val="normal_uvuceni3"/>
    <w:basedOn w:val="Normal"/>
    <w:rsid w:val="00DA0CD9"/>
    <w:pPr>
      <w:spacing w:before="100" w:beforeAutospacing="1" w:after="100" w:afterAutospacing="1"/>
      <w:ind w:left="992"/>
    </w:pPr>
    <w:rPr>
      <w:rFonts w:ascii="Arial" w:eastAsia="Times New Roman" w:hAnsi="Arial" w:cs="Arial"/>
      <w:noProof w:val="0"/>
      <w:sz w:val="22"/>
      <w:szCs w:val="22"/>
      <w:lang w:val="sr-Latn-CS" w:eastAsia="sr-Latn-CS"/>
    </w:rPr>
  </w:style>
  <w:style w:type="paragraph" w:customStyle="1" w:styleId="stepen">
    <w:name w:val="stepen"/>
    <w:basedOn w:val="Normal"/>
    <w:qFormat/>
    <w:rsid w:val="00DA0CD9"/>
    <w:pPr>
      <w:spacing w:before="100" w:beforeAutospacing="1" w:after="100" w:afterAutospacing="1"/>
    </w:pPr>
    <w:rPr>
      <w:rFonts w:ascii="Arial" w:eastAsia="Times New Roman" w:hAnsi="Arial"/>
      <w:noProof w:val="0"/>
      <w:sz w:val="15"/>
      <w:szCs w:val="15"/>
      <w:vertAlign w:val="superscript"/>
      <w:lang w:val="sr-Latn-CS" w:eastAsia="sr-Latn-CS"/>
    </w:rPr>
  </w:style>
  <w:style w:type="paragraph" w:customStyle="1" w:styleId="indeks">
    <w:name w:val="indeks"/>
    <w:basedOn w:val="Normal"/>
    <w:rsid w:val="00DA0CD9"/>
    <w:pPr>
      <w:spacing w:before="100" w:beforeAutospacing="1" w:after="100" w:afterAutospacing="1"/>
    </w:pPr>
    <w:rPr>
      <w:rFonts w:ascii="Arial" w:eastAsia="Times New Roman" w:hAnsi="Arial"/>
      <w:noProof w:val="0"/>
      <w:sz w:val="16"/>
      <w:szCs w:val="15"/>
      <w:vertAlign w:val="subscript"/>
      <w:lang w:val="sr-Latn-CS" w:eastAsia="sr-Latn-CS"/>
    </w:rPr>
  </w:style>
  <w:style w:type="paragraph" w:customStyle="1" w:styleId="naslovlevo">
    <w:name w:val="naslovlevo"/>
    <w:basedOn w:val="Normal"/>
    <w:rsid w:val="00DA0CD9"/>
    <w:pPr>
      <w:spacing w:before="100" w:beforeAutospacing="1" w:after="100" w:afterAutospacing="1"/>
    </w:pPr>
    <w:rPr>
      <w:rFonts w:ascii="Arial" w:eastAsia="Times New Roman" w:hAnsi="Arial" w:cs="Arial"/>
      <w:b/>
      <w:bCs/>
      <w:noProof w:val="0"/>
      <w:sz w:val="26"/>
      <w:szCs w:val="26"/>
      <w:lang w:val="sr-Latn-CS" w:eastAsia="sr-Latn-CS"/>
    </w:rPr>
  </w:style>
  <w:style w:type="paragraph" w:customStyle="1" w:styleId="normalprored">
    <w:name w:val="normalprored"/>
    <w:basedOn w:val="Normal"/>
    <w:rsid w:val="00DA0CD9"/>
    <w:pPr>
      <w:spacing w:before="0" w:after="0"/>
    </w:pPr>
    <w:rPr>
      <w:rFonts w:ascii="Arial" w:eastAsia="Times New Roman" w:hAnsi="Arial" w:cs="Arial"/>
      <w:noProof w:val="0"/>
      <w:sz w:val="26"/>
      <w:szCs w:val="26"/>
      <w:lang w:val="sr-Latn-CS" w:eastAsia="sr-Latn-CS"/>
    </w:rPr>
  </w:style>
  <w:style w:type="paragraph" w:customStyle="1" w:styleId="wyq010---deo">
    <w:name w:val="wyq010---deo"/>
    <w:basedOn w:val="Normal"/>
    <w:next w:val="Normal1"/>
    <w:rsid w:val="00DA0CD9"/>
    <w:pPr>
      <w:spacing w:before="0" w:after="0"/>
      <w:jc w:val="center"/>
    </w:pPr>
    <w:rPr>
      <w:rFonts w:ascii="Arial" w:eastAsia="Times New Roman" w:hAnsi="Arial" w:cs="Arial"/>
      <w:b/>
      <w:bCs/>
      <w:noProof w:val="0"/>
      <w:sz w:val="36"/>
      <w:szCs w:val="36"/>
      <w:lang w:val="sr-Latn-CS" w:eastAsia="sr-Latn-CS"/>
    </w:rPr>
  </w:style>
  <w:style w:type="paragraph" w:customStyle="1" w:styleId="wyq020---poddeo">
    <w:name w:val="wyq020---poddeo"/>
    <w:basedOn w:val="Normal"/>
    <w:next w:val="Normal1"/>
    <w:rsid w:val="00DA0CD9"/>
    <w:pPr>
      <w:spacing w:before="0" w:after="0"/>
      <w:jc w:val="center"/>
    </w:pPr>
    <w:rPr>
      <w:rFonts w:ascii="Arial" w:eastAsia="Times New Roman" w:hAnsi="Arial" w:cs="Arial"/>
      <w:noProof w:val="0"/>
      <w:sz w:val="36"/>
      <w:szCs w:val="36"/>
      <w:lang w:val="sr-Latn-CS" w:eastAsia="sr-Latn-CS"/>
    </w:rPr>
  </w:style>
  <w:style w:type="paragraph" w:customStyle="1" w:styleId="wyq030---glava">
    <w:name w:val="wyq030---glava"/>
    <w:basedOn w:val="Normal"/>
    <w:next w:val="Normal1"/>
    <w:rsid w:val="00DA0CD9"/>
    <w:pPr>
      <w:spacing w:before="0" w:after="0"/>
      <w:jc w:val="center"/>
    </w:pPr>
    <w:rPr>
      <w:rFonts w:ascii="Arial" w:eastAsia="Times New Roman" w:hAnsi="Arial" w:cs="Arial"/>
      <w:b/>
      <w:bCs/>
      <w:noProof w:val="0"/>
      <w:sz w:val="34"/>
      <w:szCs w:val="34"/>
      <w:lang w:val="sr-Latn-CS" w:eastAsia="sr-Latn-CS"/>
    </w:rPr>
  </w:style>
  <w:style w:type="paragraph" w:customStyle="1" w:styleId="wyq040---podglava-kurziv-bold">
    <w:name w:val="wyq040---podglava-kurziv-bold"/>
    <w:basedOn w:val="Normal"/>
    <w:next w:val="Normal1"/>
    <w:rsid w:val="00DA0CD9"/>
    <w:pPr>
      <w:spacing w:before="0" w:after="0"/>
      <w:jc w:val="center"/>
    </w:pPr>
    <w:rPr>
      <w:rFonts w:ascii="Arial" w:eastAsia="Times New Roman" w:hAnsi="Arial" w:cs="Arial"/>
      <w:b/>
      <w:bCs/>
      <w:i/>
      <w:iCs/>
      <w:noProof w:val="0"/>
      <w:sz w:val="34"/>
      <w:szCs w:val="34"/>
      <w:lang w:val="sr-Latn-CS" w:eastAsia="sr-Latn-CS"/>
    </w:rPr>
  </w:style>
  <w:style w:type="paragraph" w:customStyle="1" w:styleId="wyq045---podglava-kurziv">
    <w:name w:val="wyq045---podglava-kurziv"/>
    <w:basedOn w:val="Normal"/>
    <w:next w:val="Normal1"/>
    <w:rsid w:val="00DA0CD9"/>
    <w:pPr>
      <w:spacing w:before="0" w:after="0"/>
      <w:jc w:val="center"/>
    </w:pPr>
    <w:rPr>
      <w:rFonts w:ascii="Arial" w:eastAsia="Times New Roman" w:hAnsi="Arial" w:cs="Arial"/>
      <w:i/>
      <w:iCs/>
      <w:noProof w:val="0"/>
      <w:sz w:val="34"/>
      <w:szCs w:val="34"/>
      <w:lang w:val="sr-Latn-CS" w:eastAsia="sr-Latn-CS"/>
    </w:rPr>
  </w:style>
  <w:style w:type="paragraph" w:customStyle="1" w:styleId="wyq050---odeljak">
    <w:name w:val="wyq050---odeljak"/>
    <w:basedOn w:val="Normal"/>
    <w:next w:val="Normal1"/>
    <w:rsid w:val="00DA0CD9"/>
    <w:pPr>
      <w:spacing w:before="0" w:after="0"/>
      <w:jc w:val="center"/>
    </w:pPr>
    <w:rPr>
      <w:rFonts w:ascii="Arial" w:eastAsia="Times New Roman" w:hAnsi="Arial" w:cs="Arial"/>
      <w:b/>
      <w:bCs/>
      <w:noProof w:val="0"/>
      <w:sz w:val="31"/>
      <w:szCs w:val="31"/>
      <w:lang w:val="sr-Latn-CS" w:eastAsia="sr-Latn-CS"/>
    </w:rPr>
  </w:style>
  <w:style w:type="paragraph" w:customStyle="1" w:styleId="wyq060---pododeljak">
    <w:name w:val="wyq060---pododeljak"/>
    <w:basedOn w:val="Normal"/>
    <w:next w:val="Normal1"/>
    <w:rsid w:val="00DA0CD9"/>
    <w:pPr>
      <w:spacing w:before="0" w:after="0"/>
      <w:jc w:val="center"/>
    </w:pPr>
    <w:rPr>
      <w:rFonts w:ascii="Arial" w:eastAsia="Times New Roman" w:hAnsi="Arial" w:cs="Arial"/>
      <w:noProof w:val="0"/>
      <w:sz w:val="31"/>
      <w:szCs w:val="31"/>
      <w:lang w:val="sr-Latn-CS" w:eastAsia="sr-Latn-CS"/>
    </w:rPr>
  </w:style>
  <w:style w:type="paragraph" w:customStyle="1" w:styleId="wyq070---podpododeljak-kurziv">
    <w:name w:val="wyq070---podpododeljak-kurziv"/>
    <w:basedOn w:val="Normal"/>
    <w:next w:val="Normal1"/>
    <w:rsid w:val="00DA0CD9"/>
    <w:pPr>
      <w:spacing w:before="0" w:after="0"/>
      <w:jc w:val="center"/>
    </w:pPr>
    <w:rPr>
      <w:rFonts w:ascii="Arial" w:eastAsia="Times New Roman" w:hAnsi="Arial" w:cs="Arial"/>
      <w:i/>
      <w:iCs/>
      <w:noProof w:val="0"/>
      <w:sz w:val="30"/>
      <w:szCs w:val="30"/>
      <w:lang w:val="sr-Latn-CS" w:eastAsia="sr-Latn-CS"/>
    </w:rPr>
  </w:style>
  <w:style w:type="paragraph" w:customStyle="1" w:styleId="wyq080---odsek">
    <w:name w:val="wyq080---odsek"/>
    <w:basedOn w:val="Normal"/>
    <w:next w:val="Normal1"/>
    <w:rsid w:val="00DA0CD9"/>
    <w:pPr>
      <w:spacing w:before="0" w:after="0"/>
      <w:jc w:val="center"/>
    </w:pPr>
    <w:rPr>
      <w:rFonts w:ascii="Arial" w:eastAsia="Times New Roman" w:hAnsi="Arial" w:cs="Arial"/>
      <w:b/>
      <w:bCs/>
      <w:noProof w:val="0"/>
      <w:sz w:val="29"/>
      <w:szCs w:val="29"/>
      <w:lang w:val="sr-Latn-CS" w:eastAsia="sr-Latn-CS"/>
    </w:rPr>
  </w:style>
  <w:style w:type="paragraph" w:customStyle="1" w:styleId="wyq090---pododsek">
    <w:name w:val="wyq090---pododsek"/>
    <w:basedOn w:val="Normal1"/>
    <w:next w:val="Normal1"/>
    <w:rsid w:val="00DA0CD9"/>
    <w:pPr>
      <w:jc w:val="center"/>
    </w:pPr>
    <w:rPr>
      <w:sz w:val="28"/>
      <w:szCs w:val="28"/>
    </w:rPr>
  </w:style>
  <w:style w:type="paragraph" w:customStyle="1" w:styleId="wyq100---naslov-grupe-clanova-kurziv">
    <w:name w:val="wyq100---naslov-grupe-clanova-kurziv"/>
    <w:basedOn w:val="Normal"/>
    <w:next w:val="Normal1"/>
    <w:rsid w:val="00DA0CD9"/>
    <w:pPr>
      <w:spacing w:before="240" w:after="240"/>
      <w:jc w:val="center"/>
    </w:pPr>
    <w:rPr>
      <w:rFonts w:ascii="Arial" w:eastAsia="Times New Roman" w:hAnsi="Arial" w:cs="Arial"/>
      <w:b/>
      <w:bCs/>
      <w:i/>
      <w:iCs/>
      <w:noProof w:val="0"/>
      <w:sz w:val="22"/>
      <w:szCs w:val="24"/>
      <w:lang w:val="sr-Latn-CS" w:eastAsia="sr-Latn-CS"/>
    </w:rPr>
  </w:style>
  <w:style w:type="paragraph" w:customStyle="1" w:styleId="wyq110---naslov-clana">
    <w:name w:val="wyq110---naslov-clana"/>
    <w:basedOn w:val="Normal"/>
    <w:next w:val="Normal1"/>
    <w:rsid w:val="00DA0CD9"/>
    <w:pPr>
      <w:spacing w:before="240" w:after="240"/>
      <w:jc w:val="center"/>
    </w:pPr>
    <w:rPr>
      <w:rFonts w:ascii="Arial" w:eastAsia="Times New Roman" w:hAnsi="Arial" w:cs="Arial"/>
      <w:b/>
      <w:bCs/>
      <w:noProof w:val="0"/>
      <w:sz w:val="22"/>
      <w:szCs w:val="24"/>
      <w:lang w:val="sr-Latn-CS" w:eastAsia="sr-Latn-CS"/>
    </w:rPr>
  </w:style>
  <w:style w:type="paragraph" w:customStyle="1" w:styleId="wyq120---podnaslov-clana">
    <w:name w:val="wyq120---podnaslov-clana"/>
    <w:basedOn w:val="Normal"/>
    <w:next w:val="Normal1"/>
    <w:rsid w:val="00DA0CD9"/>
    <w:pPr>
      <w:spacing w:before="240" w:after="240"/>
      <w:jc w:val="center"/>
    </w:pPr>
    <w:rPr>
      <w:rFonts w:ascii="Arial" w:eastAsia="Times New Roman" w:hAnsi="Arial" w:cs="Arial"/>
      <w:i/>
      <w:iCs/>
      <w:noProof w:val="0"/>
      <w:sz w:val="22"/>
      <w:szCs w:val="24"/>
      <w:lang w:val="sr-Latn-CS" w:eastAsia="sr-Latn-CS"/>
    </w:rPr>
  </w:style>
  <w:style w:type="paragraph" w:customStyle="1" w:styleId="uvuceni">
    <w:name w:val="uvuceni"/>
    <w:basedOn w:val="Normal"/>
    <w:rsid w:val="00DA0CD9"/>
    <w:pPr>
      <w:spacing w:before="0" w:after="24"/>
      <w:ind w:left="720" w:hanging="288"/>
    </w:pPr>
    <w:rPr>
      <w:rFonts w:ascii="Arial" w:eastAsia="Times New Roman" w:hAnsi="Arial" w:cs="Arial"/>
      <w:noProof w:val="0"/>
      <w:sz w:val="22"/>
      <w:szCs w:val="22"/>
      <w:lang w:val="sr-Latn-CS" w:eastAsia="sr-Latn-CS"/>
    </w:rPr>
  </w:style>
  <w:style w:type="paragraph" w:customStyle="1" w:styleId="uvuceni2">
    <w:name w:val="uvuceni2"/>
    <w:basedOn w:val="Normal"/>
    <w:rsid w:val="00DA0CD9"/>
    <w:pPr>
      <w:spacing w:before="0" w:after="24"/>
      <w:ind w:left="720" w:hanging="408"/>
    </w:pPr>
    <w:rPr>
      <w:rFonts w:ascii="Arial" w:eastAsia="Times New Roman" w:hAnsi="Arial" w:cs="Arial"/>
      <w:noProof w:val="0"/>
      <w:sz w:val="22"/>
      <w:szCs w:val="22"/>
      <w:lang w:val="sr-Latn-CS" w:eastAsia="sr-Latn-CS"/>
    </w:rPr>
  </w:style>
  <w:style w:type="paragraph" w:customStyle="1" w:styleId="broj">
    <w:name w:val="broj"/>
    <w:basedOn w:val="Normal"/>
    <w:rsid w:val="00DA0CD9"/>
    <w:pPr>
      <w:spacing w:before="100" w:beforeAutospacing="1" w:after="100" w:afterAutospacing="1"/>
    </w:pPr>
    <w:rPr>
      <w:rFonts w:ascii="Arial" w:eastAsia="Times New Roman" w:hAnsi="Arial" w:cs="Arial"/>
      <w:noProof w:val="0"/>
      <w:sz w:val="20"/>
      <w:szCs w:val="20"/>
      <w:lang w:eastAsia="sr-Latn-RS"/>
    </w:rPr>
  </w:style>
  <w:style w:type="character" w:customStyle="1" w:styleId="subscript">
    <w:name w:val="subscript"/>
    <w:rsid w:val="00DA0CD9"/>
  </w:style>
  <w:style w:type="paragraph" w:customStyle="1" w:styleId="msonormal0">
    <w:name w:val="msonormal"/>
    <w:basedOn w:val="Normal"/>
    <w:rsid w:val="00DA0CD9"/>
    <w:pPr>
      <w:spacing w:before="100" w:beforeAutospacing="1" w:after="100" w:afterAutospacing="1"/>
    </w:pPr>
    <w:rPr>
      <w:rFonts w:ascii="Arial" w:eastAsia="Times New Roman" w:hAnsi="Arial" w:cs="Arial"/>
      <w:noProof w:val="0"/>
      <w:sz w:val="20"/>
      <w:szCs w:val="20"/>
      <w:lang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61BD"/>
    <w:pPr>
      <w:spacing w:before="120" w:after="120"/>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B8699F"/>
    <w:pPr>
      <w:keepNext/>
      <w:keepLines/>
      <w:spacing w:before="480" w:after="200" w:line="276" w:lineRule="auto"/>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nhideWhenUsed/>
    <w:qFormat/>
    <w:rsid w:val="00B8699F"/>
    <w:pPr>
      <w:keepNext/>
      <w:keepLines/>
      <w:spacing w:before="200" w:after="200" w:line="276" w:lineRule="auto"/>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B8699F"/>
    <w:pPr>
      <w:keepNext/>
      <w:keepLines/>
      <w:spacing w:before="200" w:after="200" w:line="276" w:lineRule="auto"/>
      <w:outlineLvl w:val="2"/>
    </w:pPr>
    <w:rPr>
      <w:rFonts w:ascii="Calibri Light" w:eastAsia="Times New Roman" w:hAnsi="Calibri Light"/>
      <w:b/>
      <w:bCs/>
      <w:noProof w:val="0"/>
      <w:color w:val="5B9BD5"/>
      <w:sz w:val="22"/>
      <w:szCs w:val="22"/>
      <w:lang w:val="en-US"/>
    </w:rPr>
  </w:style>
  <w:style w:type="paragraph" w:styleId="Heading4">
    <w:name w:val="heading 4"/>
    <w:basedOn w:val="Normal"/>
    <w:next w:val="Normal"/>
    <w:link w:val="Heading4Char"/>
    <w:uiPriority w:val="9"/>
    <w:unhideWhenUsed/>
    <w:qFormat/>
    <w:rsid w:val="00B8699F"/>
    <w:pPr>
      <w:keepNext/>
      <w:keepLines/>
      <w:spacing w:before="200" w:after="200" w:line="276" w:lineRule="auto"/>
      <w:outlineLvl w:val="3"/>
    </w:pPr>
    <w:rPr>
      <w:rFonts w:ascii="Calibri Light" w:eastAsia="Times New Roman" w:hAnsi="Calibri Light"/>
      <w:b/>
      <w:bCs/>
      <w:i/>
      <w:iCs/>
      <w:noProof w:val="0"/>
      <w:color w:val="5B9BD5"/>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eastAsia="Times New Roman" w:hAnsi="Arial" w:cs="Arial"/>
      <w:i/>
      <w:iCs/>
      <w:noProof w:val="0"/>
      <w:color w:val="FFE8BF"/>
      <w:sz w:val="20"/>
      <w:szCs w:val="20"/>
      <w:lang w:eastAsia="sr-Latn-RS"/>
    </w:rPr>
  </w:style>
  <w:style w:type="paragraph" w:styleId="Title">
    <w:name w:val="Title"/>
    <w:basedOn w:val="Normal"/>
    <w:next w:val="Normal"/>
    <w:link w:val="TitleChar"/>
    <w:uiPriority w:val="10"/>
    <w:qFormat/>
    <w:rsid w:val="00D1332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rFonts w:eastAsia="Times New Roman"/>
      <w:noProof w:val="0"/>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rFonts w:eastAsia="Times New Roman"/>
      <w:noProof w:val="0"/>
      <w:sz w:val="22"/>
      <w:szCs w:val="22"/>
    </w:rPr>
  </w:style>
  <w:style w:type="paragraph" w:customStyle="1" w:styleId="odluka-zakon">
    <w:name w:val="odluka-zakon"/>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naslov">
    <w:name w:val="naslov"/>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customStyle="1" w:styleId="basic-paragraph">
    <w:name w:val="basic-paragraph"/>
    <w:basedOn w:val="Normal"/>
    <w:rsid w:val="00806E64"/>
    <w:pPr>
      <w:spacing w:before="100" w:beforeAutospacing="1" w:after="100" w:afterAutospacing="1"/>
    </w:pPr>
    <w:rPr>
      <w:rFonts w:ascii="Arial" w:eastAsia="Times New Roman" w:hAnsi="Arial" w:cs="Arial"/>
      <w:noProof w:val="0"/>
      <w:sz w:val="20"/>
      <w:szCs w:val="20"/>
      <w:lang w:eastAsia="sr-Latn-RS"/>
    </w:rPr>
  </w:style>
  <w:style w:type="paragraph" w:styleId="Header">
    <w:name w:val="header"/>
    <w:basedOn w:val="Normal"/>
    <w:link w:val="HeaderChar"/>
    <w:unhideWhenUsed/>
    <w:rsid w:val="00562731"/>
    <w:pPr>
      <w:tabs>
        <w:tab w:val="center" w:pos="4536"/>
        <w:tab w:val="right" w:pos="9072"/>
      </w:tabs>
    </w:pPr>
  </w:style>
  <w:style w:type="character" w:customStyle="1" w:styleId="HeaderChar">
    <w:name w:val="Header Char"/>
    <w:link w:val="Header"/>
    <w:uiPriority w:val="99"/>
    <w:rsid w:val="00562731"/>
    <w:rPr>
      <w:rFonts w:ascii="Times New Roman" w:hAnsi="Times New Roman"/>
      <w:noProof/>
      <w:sz w:val="18"/>
      <w:szCs w:val="18"/>
      <w:lang w:eastAsia="en-US"/>
    </w:rPr>
  </w:style>
  <w:style w:type="paragraph" w:styleId="Footer">
    <w:name w:val="footer"/>
    <w:basedOn w:val="Normal"/>
    <w:link w:val="FooterChar"/>
    <w:unhideWhenUsed/>
    <w:rsid w:val="00562731"/>
    <w:pPr>
      <w:tabs>
        <w:tab w:val="center" w:pos="4536"/>
        <w:tab w:val="right" w:pos="9072"/>
      </w:tabs>
    </w:pPr>
  </w:style>
  <w:style w:type="character" w:customStyle="1" w:styleId="FooterChar">
    <w:name w:val="Footer Char"/>
    <w:link w:val="Footer"/>
    <w:uiPriority w:val="99"/>
    <w:rsid w:val="00562731"/>
    <w:rPr>
      <w:rFonts w:ascii="Times New Roman" w:hAnsi="Times New Roman"/>
      <w:noProof/>
      <w:sz w:val="18"/>
      <w:szCs w:val="18"/>
      <w:lang w:eastAsia="en-US"/>
    </w:rPr>
  </w:style>
  <w:style w:type="character" w:customStyle="1" w:styleId="Heading1Char">
    <w:name w:val="Heading 1 Char"/>
    <w:link w:val="Heading1"/>
    <w:uiPriority w:val="9"/>
    <w:rsid w:val="00B8699F"/>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B8699F"/>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B8699F"/>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B8699F"/>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B8699F"/>
  </w:style>
  <w:style w:type="paragraph" w:styleId="NormalIndent">
    <w:name w:val="Normal Indent"/>
    <w:basedOn w:val="Normal"/>
    <w:uiPriority w:val="99"/>
    <w:unhideWhenUsed/>
    <w:rsid w:val="00B8699F"/>
    <w:pPr>
      <w:spacing w:after="200" w:line="276" w:lineRule="auto"/>
      <w:ind w:left="72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B8699F"/>
    <w:pPr>
      <w:numPr>
        <w:ilvl w:val="1"/>
      </w:numPr>
      <w:spacing w:after="200" w:line="276" w:lineRule="auto"/>
      <w:ind w:left="86"/>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B8699F"/>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B8699F"/>
    <w:rPr>
      <w:i/>
      <w:iCs/>
    </w:rPr>
  </w:style>
  <w:style w:type="character" w:styleId="Hyperlink">
    <w:name w:val="Hyperlink"/>
    <w:unhideWhenUsed/>
    <w:rsid w:val="00B8699F"/>
    <w:rPr>
      <w:color w:val="0563C1"/>
      <w:u w:val="single"/>
    </w:rPr>
  </w:style>
  <w:style w:type="table" w:styleId="TableGrid">
    <w:name w:val="Table Grid"/>
    <w:basedOn w:val="TableNormal"/>
    <w:uiPriority w:val="59"/>
    <w:rsid w:val="00B869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B8699F"/>
    <w:pPr>
      <w:spacing w:after="200"/>
    </w:pPr>
    <w:rPr>
      <w:rFonts w:ascii="Verdana" w:hAnsi="Verdana" w:cs="Verdana"/>
      <w:b/>
      <w:bCs/>
      <w:noProof w:val="0"/>
      <w:color w:val="5B9BD5"/>
      <w:lang w:val="en-US"/>
    </w:rPr>
  </w:style>
  <w:style w:type="paragraph" w:customStyle="1" w:styleId="DocDefaults">
    <w:name w:val="DocDefaults"/>
    <w:rsid w:val="00B8699F"/>
    <w:pPr>
      <w:spacing w:after="200" w:line="276" w:lineRule="auto"/>
    </w:pPr>
    <w:rPr>
      <w:sz w:val="22"/>
      <w:szCs w:val="22"/>
      <w:lang w:val="en-US" w:eastAsia="en-US"/>
    </w:rPr>
  </w:style>
  <w:style w:type="numbering" w:customStyle="1" w:styleId="NoList2">
    <w:name w:val="No List2"/>
    <w:next w:val="NoList"/>
    <w:uiPriority w:val="99"/>
    <w:semiHidden/>
    <w:unhideWhenUsed/>
    <w:rsid w:val="00AF0D68"/>
  </w:style>
  <w:style w:type="table" w:customStyle="1" w:styleId="TableGrid1">
    <w:name w:val="Table Grid1"/>
    <w:basedOn w:val="TableNormal"/>
    <w:next w:val="TableGrid"/>
    <w:uiPriority w:val="59"/>
    <w:rsid w:val="00AF0D6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AF0D68"/>
    <w:rPr>
      <w:color w:val="954F72"/>
      <w:u w:val="single"/>
    </w:rPr>
  </w:style>
  <w:style w:type="numbering" w:customStyle="1" w:styleId="NoList3">
    <w:name w:val="No List3"/>
    <w:next w:val="NoList"/>
    <w:uiPriority w:val="99"/>
    <w:semiHidden/>
    <w:unhideWhenUsed/>
    <w:rsid w:val="004D01F0"/>
  </w:style>
  <w:style w:type="table" w:customStyle="1" w:styleId="TableGrid2">
    <w:name w:val="Table Grid2"/>
    <w:basedOn w:val="TableNormal"/>
    <w:next w:val="TableGrid"/>
    <w:uiPriority w:val="59"/>
    <w:rsid w:val="004D01F0"/>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61486B"/>
    <w:pPr>
      <w:widowControl w:val="0"/>
      <w:autoSpaceDE w:val="0"/>
      <w:autoSpaceDN w:val="0"/>
      <w:ind w:left="110" w:firstLine="396"/>
      <w:jc w:val="both"/>
    </w:pPr>
    <w:rPr>
      <w:rFonts w:eastAsia="Times New Roman"/>
      <w:noProof w:val="0"/>
      <w:sz w:val="22"/>
      <w:szCs w:val="22"/>
    </w:rPr>
  </w:style>
  <w:style w:type="paragraph" w:styleId="NoSpacing">
    <w:name w:val="No Spacing"/>
    <w:uiPriority w:val="1"/>
    <w:qFormat/>
    <w:rsid w:val="0061486B"/>
    <w:pPr>
      <w:contextualSpacing/>
    </w:pPr>
    <w:rPr>
      <w:rFonts w:ascii="Times New Roman" w:hAnsi="Times New Roman"/>
      <w:noProof/>
      <w:sz w:val="18"/>
      <w:szCs w:val="18"/>
      <w:lang w:eastAsia="en-US"/>
    </w:rPr>
  </w:style>
  <w:style w:type="paragraph" w:customStyle="1" w:styleId="potpis">
    <w:name w:val="potpis"/>
    <w:basedOn w:val="Normal"/>
    <w:rsid w:val="000D43CC"/>
    <w:pPr>
      <w:ind w:firstLine="480"/>
    </w:pPr>
    <w:rPr>
      <w:rFonts w:ascii="Verdana" w:eastAsia="Times New Roman" w:hAnsi="Verdana" w:cs="Arial"/>
      <w:noProof w:val="0"/>
      <w:sz w:val="20"/>
      <w:szCs w:val="20"/>
      <w:lang w:eastAsia="sr-Latn-RS"/>
    </w:rPr>
  </w:style>
  <w:style w:type="character" w:customStyle="1" w:styleId="bold">
    <w:name w:val="bold"/>
    <w:rsid w:val="000D43CC"/>
  </w:style>
  <w:style w:type="character" w:customStyle="1" w:styleId="italik1">
    <w:name w:val="italik1"/>
    <w:rsid w:val="000D43CC"/>
    <w:rPr>
      <w:i/>
      <w:iCs/>
    </w:rPr>
  </w:style>
  <w:style w:type="paragraph" w:customStyle="1" w:styleId="f">
    <w:name w:val="f"/>
    <w:basedOn w:val="Normal"/>
    <w:rsid w:val="000D43CC"/>
    <w:pPr>
      <w:ind w:firstLine="48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0D43CC"/>
    <w:pPr>
      <w:spacing w:before="100" w:beforeAutospacing="1" w:after="100" w:afterAutospacing="1"/>
    </w:pPr>
    <w:rPr>
      <w:rFonts w:ascii="Arial" w:eastAsia="Times New Roman" w:hAnsi="Arial" w:cs="Arial"/>
      <w:noProof w:val="0"/>
      <w:sz w:val="20"/>
      <w:szCs w:val="20"/>
      <w:lang w:eastAsia="sr-Latn-RS"/>
    </w:rPr>
  </w:style>
  <w:style w:type="character" w:customStyle="1" w:styleId="italik">
    <w:name w:val="italik"/>
    <w:rsid w:val="000D43CC"/>
  </w:style>
  <w:style w:type="paragraph" w:styleId="BalloonText">
    <w:name w:val="Balloon Text"/>
    <w:basedOn w:val="Normal"/>
    <w:link w:val="BalloonTextChar"/>
    <w:unhideWhenUsed/>
    <w:rsid w:val="00F00E8A"/>
    <w:rPr>
      <w:rFonts w:ascii="Tahoma" w:hAnsi="Tahoma" w:cs="Tahoma"/>
      <w:sz w:val="16"/>
      <w:szCs w:val="16"/>
    </w:rPr>
  </w:style>
  <w:style w:type="character" w:customStyle="1" w:styleId="BalloonTextChar">
    <w:name w:val="Balloon Text Char"/>
    <w:basedOn w:val="DefaultParagraphFont"/>
    <w:link w:val="BalloonText"/>
    <w:rsid w:val="00F00E8A"/>
    <w:rPr>
      <w:rFonts w:ascii="Tahoma" w:hAnsi="Tahoma" w:cs="Tahoma"/>
      <w:noProof/>
      <w:sz w:val="16"/>
      <w:szCs w:val="16"/>
      <w:lang w:eastAsia="en-US"/>
    </w:rPr>
  </w:style>
  <w:style w:type="paragraph" w:customStyle="1" w:styleId="tabela">
    <w:name w:val="tabela"/>
    <w:basedOn w:val="Normal"/>
    <w:rsid w:val="00745084"/>
    <w:pPr>
      <w:spacing w:before="100" w:beforeAutospacing="1" w:after="100" w:afterAutospacing="1"/>
    </w:pPr>
    <w:rPr>
      <w:rFonts w:eastAsia="Times New Roman"/>
      <w:noProof w:val="0"/>
      <w:sz w:val="24"/>
      <w:szCs w:val="24"/>
      <w:lang w:val="en-US"/>
    </w:rPr>
  </w:style>
  <w:style w:type="character" w:customStyle="1" w:styleId="bold1">
    <w:name w:val="bold1"/>
    <w:basedOn w:val="DefaultParagraphFont"/>
    <w:rsid w:val="00D04BC7"/>
  </w:style>
  <w:style w:type="character" w:customStyle="1" w:styleId="superscript">
    <w:name w:val="superscript"/>
    <w:basedOn w:val="DefaultParagraphFont"/>
    <w:rsid w:val="00D04BC7"/>
  </w:style>
  <w:style w:type="paragraph" w:customStyle="1" w:styleId="Normal1">
    <w:name w:val="Normal1"/>
    <w:basedOn w:val="Normal"/>
    <w:rsid w:val="00DA0CD9"/>
    <w:pPr>
      <w:spacing w:before="100" w:beforeAutospacing="1" w:after="100" w:afterAutospacing="1"/>
    </w:pPr>
    <w:rPr>
      <w:rFonts w:ascii="Arial" w:eastAsia="Times New Roman" w:hAnsi="Arial" w:cs="Arial"/>
      <w:noProof w:val="0"/>
      <w:sz w:val="22"/>
      <w:szCs w:val="22"/>
      <w:lang w:val="sr-Latn-CS" w:eastAsia="sr-Latn-CS"/>
    </w:rPr>
  </w:style>
  <w:style w:type="paragraph" w:customStyle="1" w:styleId="naslov1">
    <w:name w:val="naslov1"/>
    <w:basedOn w:val="Normal"/>
    <w:rsid w:val="00DA0CD9"/>
    <w:pPr>
      <w:spacing w:before="100" w:beforeAutospacing="1" w:after="100" w:afterAutospacing="1"/>
      <w:jc w:val="center"/>
    </w:pPr>
    <w:rPr>
      <w:rFonts w:ascii="Arial" w:eastAsia="Times New Roman" w:hAnsi="Arial" w:cs="Arial"/>
      <w:b/>
      <w:bCs/>
      <w:noProof w:val="0"/>
      <w:sz w:val="22"/>
      <w:szCs w:val="24"/>
      <w:lang w:val="sr-Latn-CS" w:eastAsia="sr-Latn-CS"/>
    </w:rPr>
  </w:style>
  <w:style w:type="paragraph" w:customStyle="1" w:styleId="naslov2">
    <w:name w:val="naslov2"/>
    <w:basedOn w:val="Normal"/>
    <w:rsid w:val="00DA0CD9"/>
    <w:pPr>
      <w:spacing w:before="100" w:beforeAutospacing="1" w:after="100" w:afterAutospacing="1"/>
      <w:jc w:val="center"/>
    </w:pPr>
    <w:rPr>
      <w:rFonts w:ascii="Arial" w:eastAsia="Times New Roman" w:hAnsi="Arial" w:cs="Arial"/>
      <w:b/>
      <w:bCs/>
      <w:noProof w:val="0"/>
      <w:sz w:val="29"/>
      <w:szCs w:val="29"/>
      <w:lang w:val="sr-Latn-CS" w:eastAsia="sr-Latn-CS"/>
    </w:rPr>
  </w:style>
  <w:style w:type="paragraph" w:customStyle="1" w:styleId="normaluvuceni">
    <w:name w:val="normal_uvuceni"/>
    <w:basedOn w:val="Normal"/>
    <w:rsid w:val="00DA0CD9"/>
    <w:pPr>
      <w:spacing w:before="100" w:beforeAutospacing="1" w:after="100" w:afterAutospacing="1"/>
      <w:ind w:left="1134" w:hanging="142"/>
    </w:pPr>
    <w:rPr>
      <w:rFonts w:ascii="Arial" w:eastAsia="Times New Roman" w:hAnsi="Arial" w:cs="Arial"/>
      <w:noProof w:val="0"/>
      <w:sz w:val="22"/>
      <w:szCs w:val="22"/>
      <w:lang w:val="sr-Latn-CS" w:eastAsia="sr-Latn-CS"/>
    </w:rPr>
  </w:style>
  <w:style w:type="paragraph" w:customStyle="1" w:styleId="normaluvuceni2">
    <w:name w:val="normal_uvuceni2"/>
    <w:basedOn w:val="Normal"/>
    <w:rsid w:val="00DA0CD9"/>
    <w:pPr>
      <w:spacing w:before="100" w:beforeAutospacing="1" w:after="100" w:afterAutospacing="1"/>
      <w:ind w:left="1701" w:hanging="227"/>
    </w:pPr>
    <w:rPr>
      <w:rFonts w:ascii="Arial" w:eastAsia="Times New Roman" w:hAnsi="Arial" w:cs="Arial"/>
      <w:noProof w:val="0"/>
      <w:sz w:val="22"/>
      <w:szCs w:val="22"/>
      <w:lang w:val="sr-Latn-CS" w:eastAsia="sr-Latn-CS"/>
    </w:rPr>
  </w:style>
  <w:style w:type="paragraph" w:customStyle="1" w:styleId="normaluvuceni3">
    <w:name w:val="normal_uvuceni3"/>
    <w:basedOn w:val="Normal"/>
    <w:rsid w:val="00DA0CD9"/>
    <w:pPr>
      <w:spacing w:before="100" w:beforeAutospacing="1" w:after="100" w:afterAutospacing="1"/>
      <w:ind w:left="992"/>
    </w:pPr>
    <w:rPr>
      <w:rFonts w:ascii="Arial" w:eastAsia="Times New Roman" w:hAnsi="Arial" w:cs="Arial"/>
      <w:noProof w:val="0"/>
      <w:sz w:val="22"/>
      <w:szCs w:val="22"/>
      <w:lang w:val="sr-Latn-CS" w:eastAsia="sr-Latn-CS"/>
    </w:rPr>
  </w:style>
  <w:style w:type="paragraph" w:customStyle="1" w:styleId="stepen">
    <w:name w:val="stepen"/>
    <w:basedOn w:val="Normal"/>
    <w:qFormat/>
    <w:rsid w:val="00DA0CD9"/>
    <w:pPr>
      <w:spacing w:before="100" w:beforeAutospacing="1" w:after="100" w:afterAutospacing="1"/>
    </w:pPr>
    <w:rPr>
      <w:rFonts w:ascii="Arial" w:eastAsia="Times New Roman" w:hAnsi="Arial"/>
      <w:noProof w:val="0"/>
      <w:sz w:val="15"/>
      <w:szCs w:val="15"/>
      <w:vertAlign w:val="superscript"/>
      <w:lang w:val="sr-Latn-CS" w:eastAsia="sr-Latn-CS"/>
    </w:rPr>
  </w:style>
  <w:style w:type="paragraph" w:customStyle="1" w:styleId="indeks">
    <w:name w:val="indeks"/>
    <w:basedOn w:val="Normal"/>
    <w:rsid w:val="00DA0CD9"/>
    <w:pPr>
      <w:spacing w:before="100" w:beforeAutospacing="1" w:after="100" w:afterAutospacing="1"/>
    </w:pPr>
    <w:rPr>
      <w:rFonts w:ascii="Arial" w:eastAsia="Times New Roman" w:hAnsi="Arial"/>
      <w:noProof w:val="0"/>
      <w:sz w:val="16"/>
      <w:szCs w:val="15"/>
      <w:vertAlign w:val="subscript"/>
      <w:lang w:val="sr-Latn-CS" w:eastAsia="sr-Latn-CS"/>
    </w:rPr>
  </w:style>
  <w:style w:type="paragraph" w:customStyle="1" w:styleId="naslovlevo">
    <w:name w:val="naslovlevo"/>
    <w:basedOn w:val="Normal"/>
    <w:rsid w:val="00DA0CD9"/>
    <w:pPr>
      <w:spacing w:before="100" w:beforeAutospacing="1" w:after="100" w:afterAutospacing="1"/>
    </w:pPr>
    <w:rPr>
      <w:rFonts w:ascii="Arial" w:eastAsia="Times New Roman" w:hAnsi="Arial" w:cs="Arial"/>
      <w:b/>
      <w:bCs/>
      <w:noProof w:val="0"/>
      <w:sz w:val="26"/>
      <w:szCs w:val="26"/>
      <w:lang w:val="sr-Latn-CS" w:eastAsia="sr-Latn-CS"/>
    </w:rPr>
  </w:style>
  <w:style w:type="paragraph" w:customStyle="1" w:styleId="normalprored">
    <w:name w:val="normalprored"/>
    <w:basedOn w:val="Normal"/>
    <w:rsid w:val="00DA0CD9"/>
    <w:pPr>
      <w:spacing w:before="0" w:after="0"/>
    </w:pPr>
    <w:rPr>
      <w:rFonts w:ascii="Arial" w:eastAsia="Times New Roman" w:hAnsi="Arial" w:cs="Arial"/>
      <w:noProof w:val="0"/>
      <w:sz w:val="26"/>
      <w:szCs w:val="26"/>
      <w:lang w:val="sr-Latn-CS" w:eastAsia="sr-Latn-CS"/>
    </w:rPr>
  </w:style>
  <w:style w:type="paragraph" w:customStyle="1" w:styleId="wyq010---deo">
    <w:name w:val="wyq010---deo"/>
    <w:basedOn w:val="Normal"/>
    <w:next w:val="Normal1"/>
    <w:rsid w:val="00DA0CD9"/>
    <w:pPr>
      <w:spacing w:before="0" w:after="0"/>
      <w:jc w:val="center"/>
    </w:pPr>
    <w:rPr>
      <w:rFonts w:ascii="Arial" w:eastAsia="Times New Roman" w:hAnsi="Arial" w:cs="Arial"/>
      <w:b/>
      <w:bCs/>
      <w:noProof w:val="0"/>
      <w:sz w:val="36"/>
      <w:szCs w:val="36"/>
      <w:lang w:val="sr-Latn-CS" w:eastAsia="sr-Latn-CS"/>
    </w:rPr>
  </w:style>
  <w:style w:type="paragraph" w:customStyle="1" w:styleId="wyq020---poddeo">
    <w:name w:val="wyq020---poddeo"/>
    <w:basedOn w:val="Normal"/>
    <w:next w:val="Normal1"/>
    <w:rsid w:val="00DA0CD9"/>
    <w:pPr>
      <w:spacing w:before="0" w:after="0"/>
      <w:jc w:val="center"/>
    </w:pPr>
    <w:rPr>
      <w:rFonts w:ascii="Arial" w:eastAsia="Times New Roman" w:hAnsi="Arial" w:cs="Arial"/>
      <w:noProof w:val="0"/>
      <w:sz w:val="36"/>
      <w:szCs w:val="36"/>
      <w:lang w:val="sr-Latn-CS" w:eastAsia="sr-Latn-CS"/>
    </w:rPr>
  </w:style>
  <w:style w:type="paragraph" w:customStyle="1" w:styleId="wyq030---glava">
    <w:name w:val="wyq030---glava"/>
    <w:basedOn w:val="Normal"/>
    <w:next w:val="Normal1"/>
    <w:rsid w:val="00DA0CD9"/>
    <w:pPr>
      <w:spacing w:before="0" w:after="0"/>
      <w:jc w:val="center"/>
    </w:pPr>
    <w:rPr>
      <w:rFonts w:ascii="Arial" w:eastAsia="Times New Roman" w:hAnsi="Arial" w:cs="Arial"/>
      <w:b/>
      <w:bCs/>
      <w:noProof w:val="0"/>
      <w:sz w:val="34"/>
      <w:szCs w:val="34"/>
      <w:lang w:val="sr-Latn-CS" w:eastAsia="sr-Latn-CS"/>
    </w:rPr>
  </w:style>
  <w:style w:type="paragraph" w:customStyle="1" w:styleId="wyq040---podglava-kurziv-bold">
    <w:name w:val="wyq040---podglava-kurziv-bold"/>
    <w:basedOn w:val="Normal"/>
    <w:next w:val="Normal1"/>
    <w:rsid w:val="00DA0CD9"/>
    <w:pPr>
      <w:spacing w:before="0" w:after="0"/>
      <w:jc w:val="center"/>
    </w:pPr>
    <w:rPr>
      <w:rFonts w:ascii="Arial" w:eastAsia="Times New Roman" w:hAnsi="Arial" w:cs="Arial"/>
      <w:b/>
      <w:bCs/>
      <w:i/>
      <w:iCs/>
      <w:noProof w:val="0"/>
      <w:sz w:val="34"/>
      <w:szCs w:val="34"/>
      <w:lang w:val="sr-Latn-CS" w:eastAsia="sr-Latn-CS"/>
    </w:rPr>
  </w:style>
  <w:style w:type="paragraph" w:customStyle="1" w:styleId="wyq045---podglava-kurziv">
    <w:name w:val="wyq045---podglava-kurziv"/>
    <w:basedOn w:val="Normal"/>
    <w:next w:val="Normal1"/>
    <w:rsid w:val="00DA0CD9"/>
    <w:pPr>
      <w:spacing w:before="0" w:after="0"/>
      <w:jc w:val="center"/>
    </w:pPr>
    <w:rPr>
      <w:rFonts w:ascii="Arial" w:eastAsia="Times New Roman" w:hAnsi="Arial" w:cs="Arial"/>
      <w:i/>
      <w:iCs/>
      <w:noProof w:val="0"/>
      <w:sz w:val="34"/>
      <w:szCs w:val="34"/>
      <w:lang w:val="sr-Latn-CS" w:eastAsia="sr-Latn-CS"/>
    </w:rPr>
  </w:style>
  <w:style w:type="paragraph" w:customStyle="1" w:styleId="wyq050---odeljak">
    <w:name w:val="wyq050---odeljak"/>
    <w:basedOn w:val="Normal"/>
    <w:next w:val="Normal1"/>
    <w:rsid w:val="00DA0CD9"/>
    <w:pPr>
      <w:spacing w:before="0" w:after="0"/>
      <w:jc w:val="center"/>
    </w:pPr>
    <w:rPr>
      <w:rFonts w:ascii="Arial" w:eastAsia="Times New Roman" w:hAnsi="Arial" w:cs="Arial"/>
      <w:b/>
      <w:bCs/>
      <w:noProof w:val="0"/>
      <w:sz w:val="31"/>
      <w:szCs w:val="31"/>
      <w:lang w:val="sr-Latn-CS" w:eastAsia="sr-Latn-CS"/>
    </w:rPr>
  </w:style>
  <w:style w:type="paragraph" w:customStyle="1" w:styleId="wyq060---pododeljak">
    <w:name w:val="wyq060---pododeljak"/>
    <w:basedOn w:val="Normal"/>
    <w:next w:val="Normal1"/>
    <w:rsid w:val="00DA0CD9"/>
    <w:pPr>
      <w:spacing w:before="0" w:after="0"/>
      <w:jc w:val="center"/>
    </w:pPr>
    <w:rPr>
      <w:rFonts w:ascii="Arial" w:eastAsia="Times New Roman" w:hAnsi="Arial" w:cs="Arial"/>
      <w:noProof w:val="0"/>
      <w:sz w:val="31"/>
      <w:szCs w:val="31"/>
      <w:lang w:val="sr-Latn-CS" w:eastAsia="sr-Latn-CS"/>
    </w:rPr>
  </w:style>
  <w:style w:type="paragraph" w:customStyle="1" w:styleId="wyq070---podpododeljak-kurziv">
    <w:name w:val="wyq070---podpododeljak-kurziv"/>
    <w:basedOn w:val="Normal"/>
    <w:next w:val="Normal1"/>
    <w:rsid w:val="00DA0CD9"/>
    <w:pPr>
      <w:spacing w:before="0" w:after="0"/>
      <w:jc w:val="center"/>
    </w:pPr>
    <w:rPr>
      <w:rFonts w:ascii="Arial" w:eastAsia="Times New Roman" w:hAnsi="Arial" w:cs="Arial"/>
      <w:i/>
      <w:iCs/>
      <w:noProof w:val="0"/>
      <w:sz w:val="30"/>
      <w:szCs w:val="30"/>
      <w:lang w:val="sr-Latn-CS" w:eastAsia="sr-Latn-CS"/>
    </w:rPr>
  </w:style>
  <w:style w:type="paragraph" w:customStyle="1" w:styleId="wyq080---odsek">
    <w:name w:val="wyq080---odsek"/>
    <w:basedOn w:val="Normal"/>
    <w:next w:val="Normal1"/>
    <w:rsid w:val="00DA0CD9"/>
    <w:pPr>
      <w:spacing w:before="0" w:after="0"/>
      <w:jc w:val="center"/>
    </w:pPr>
    <w:rPr>
      <w:rFonts w:ascii="Arial" w:eastAsia="Times New Roman" w:hAnsi="Arial" w:cs="Arial"/>
      <w:b/>
      <w:bCs/>
      <w:noProof w:val="0"/>
      <w:sz w:val="29"/>
      <w:szCs w:val="29"/>
      <w:lang w:val="sr-Latn-CS" w:eastAsia="sr-Latn-CS"/>
    </w:rPr>
  </w:style>
  <w:style w:type="paragraph" w:customStyle="1" w:styleId="wyq090---pododsek">
    <w:name w:val="wyq090---pododsek"/>
    <w:basedOn w:val="Normal1"/>
    <w:next w:val="Normal1"/>
    <w:rsid w:val="00DA0CD9"/>
    <w:pPr>
      <w:jc w:val="center"/>
    </w:pPr>
    <w:rPr>
      <w:sz w:val="28"/>
      <w:szCs w:val="28"/>
    </w:rPr>
  </w:style>
  <w:style w:type="paragraph" w:customStyle="1" w:styleId="wyq100---naslov-grupe-clanova-kurziv">
    <w:name w:val="wyq100---naslov-grupe-clanova-kurziv"/>
    <w:basedOn w:val="Normal"/>
    <w:next w:val="Normal1"/>
    <w:rsid w:val="00DA0CD9"/>
    <w:pPr>
      <w:spacing w:before="240" w:after="240"/>
      <w:jc w:val="center"/>
    </w:pPr>
    <w:rPr>
      <w:rFonts w:ascii="Arial" w:eastAsia="Times New Roman" w:hAnsi="Arial" w:cs="Arial"/>
      <w:b/>
      <w:bCs/>
      <w:i/>
      <w:iCs/>
      <w:noProof w:val="0"/>
      <w:sz w:val="22"/>
      <w:szCs w:val="24"/>
      <w:lang w:val="sr-Latn-CS" w:eastAsia="sr-Latn-CS"/>
    </w:rPr>
  </w:style>
  <w:style w:type="paragraph" w:customStyle="1" w:styleId="wyq110---naslov-clana">
    <w:name w:val="wyq110---naslov-clana"/>
    <w:basedOn w:val="Normal"/>
    <w:next w:val="Normal1"/>
    <w:rsid w:val="00DA0CD9"/>
    <w:pPr>
      <w:spacing w:before="240" w:after="240"/>
      <w:jc w:val="center"/>
    </w:pPr>
    <w:rPr>
      <w:rFonts w:ascii="Arial" w:eastAsia="Times New Roman" w:hAnsi="Arial" w:cs="Arial"/>
      <w:b/>
      <w:bCs/>
      <w:noProof w:val="0"/>
      <w:sz w:val="22"/>
      <w:szCs w:val="24"/>
      <w:lang w:val="sr-Latn-CS" w:eastAsia="sr-Latn-CS"/>
    </w:rPr>
  </w:style>
  <w:style w:type="paragraph" w:customStyle="1" w:styleId="wyq120---podnaslov-clana">
    <w:name w:val="wyq120---podnaslov-clana"/>
    <w:basedOn w:val="Normal"/>
    <w:next w:val="Normal1"/>
    <w:rsid w:val="00DA0CD9"/>
    <w:pPr>
      <w:spacing w:before="240" w:after="240"/>
      <w:jc w:val="center"/>
    </w:pPr>
    <w:rPr>
      <w:rFonts w:ascii="Arial" w:eastAsia="Times New Roman" w:hAnsi="Arial" w:cs="Arial"/>
      <w:i/>
      <w:iCs/>
      <w:noProof w:val="0"/>
      <w:sz w:val="22"/>
      <w:szCs w:val="24"/>
      <w:lang w:val="sr-Latn-CS" w:eastAsia="sr-Latn-CS"/>
    </w:rPr>
  </w:style>
  <w:style w:type="paragraph" w:customStyle="1" w:styleId="uvuceni">
    <w:name w:val="uvuceni"/>
    <w:basedOn w:val="Normal"/>
    <w:rsid w:val="00DA0CD9"/>
    <w:pPr>
      <w:spacing w:before="0" w:after="24"/>
      <w:ind w:left="720" w:hanging="288"/>
    </w:pPr>
    <w:rPr>
      <w:rFonts w:ascii="Arial" w:eastAsia="Times New Roman" w:hAnsi="Arial" w:cs="Arial"/>
      <w:noProof w:val="0"/>
      <w:sz w:val="22"/>
      <w:szCs w:val="22"/>
      <w:lang w:val="sr-Latn-CS" w:eastAsia="sr-Latn-CS"/>
    </w:rPr>
  </w:style>
  <w:style w:type="paragraph" w:customStyle="1" w:styleId="uvuceni2">
    <w:name w:val="uvuceni2"/>
    <w:basedOn w:val="Normal"/>
    <w:rsid w:val="00DA0CD9"/>
    <w:pPr>
      <w:spacing w:before="0" w:after="24"/>
      <w:ind w:left="720" w:hanging="408"/>
    </w:pPr>
    <w:rPr>
      <w:rFonts w:ascii="Arial" w:eastAsia="Times New Roman" w:hAnsi="Arial" w:cs="Arial"/>
      <w:noProof w:val="0"/>
      <w:sz w:val="22"/>
      <w:szCs w:val="22"/>
      <w:lang w:val="sr-Latn-CS" w:eastAsia="sr-Latn-CS"/>
    </w:rPr>
  </w:style>
  <w:style w:type="paragraph" w:customStyle="1" w:styleId="broj">
    <w:name w:val="broj"/>
    <w:basedOn w:val="Normal"/>
    <w:rsid w:val="00DA0CD9"/>
    <w:pPr>
      <w:spacing w:before="100" w:beforeAutospacing="1" w:after="100" w:afterAutospacing="1"/>
    </w:pPr>
    <w:rPr>
      <w:rFonts w:ascii="Arial" w:eastAsia="Times New Roman" w:hAnsi="Arial" w:cs="Arial"/>
      <w:noProof w:val="0"/>
      <w:sz w:val="20"/>
      <w:szCs w:val="20"/>
      <w:lang w:eastAsia="sr-Latn-RS"/>
    </w:rPr>
  </w:style>
  <w:style w:type="character" w:customStyle="1" w:styleId="subscript">
    <w:name w:val="subscript"/>
    <w:rsid w:val="00DA0CD9"/>
  </w:style>
  <w:style w:type="paragraph" w:customStyle="1" w:styleId="msonormal0">
    <w:name w:val="msonormal"/>
    <w:basedOn w:val="Normal"/>
    <w:rsid w:val="00DA0CD9"/>
    <w:pPr>
      <w:spacing w:before="100" w:beforeAutospacing="1" w:after="100" w:afterAutospacing="1"/>
    </w:pPr>
    <w:rPr>
      <w:rFonts w:ascii="Arial" w:eastAsia="Times New Roman" w:hAnsi="Arial" w:cs="Arial"/>
      <w:noProof w:val="0"/>
      <w:sz w:val="20"/>
      <w:szCs w:val="20"/>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50904">
      <w:bodyDiv w:val="1"/>
      <w:marLeft w:val="0"/>
      <w:marRight w:val="0"/>
      <w:marTop w:val="0"/>
      <w:marBottom w:val="0"/>
      <w:divBdr>
        <w:top w:val="none" w:sz="0" w:space="0" w:color="auto"/>
        <w:left w:val="none" w:sz="0" w:space="0" w:color="auto"/>
        <w:bottom w:val="none" w:sz="0" w:space="0" w:color="auto"/>
        <w:right w:val="none" w:sz="0" w:space="0" w:color="auto"/>
      </w:divBdr>
    </w:div>
    <w:div w:id="531381317">
      <w:bodyDiv w:val="1"/>
      <w:marLeft w:val="0"/>
      <w:marRight w:val="0"/>
      <w:marTop w:val="0"/>
      <w:marBottom w:val="0"/>
      <w:divBdr>
        <w:top w:val="none" w:sz="0" w:space="0" w:color="auto"/>
        <w:left w:val="none" w:sz="0" w:space="0" w:color="auto"/>
        <w:bottom w:val="none" w:sz="0" w:space="0" w:color="auto"/>
        <w:right w:val="none" w:sz="0" w:space="0" w:color="auto"/>
      </w:divBdr>
    </w:div>
    <w:div w:id="800923361">
      <w:bodyDiv w:val="1"/>
      <w:marLeft w:val="0"/>
      <w:marRight w:val="0"/>
      <w:marTop w:val="0"/>
      <w:marBottom w:val="0"/>
      <w:divBdr>
        <w:top w:val="none" w:sz="0" w:space="0" w:color="auto"/>
        <w:left w:val="none" w:sz="0" w:space="0" w:color="auto"/>
        <w:bottom w:val="none" w:sz="0" w:space="0" w:color="auto"/>
        <w:right w:val="none" w:sz="0" w:space="0" w:color="auto"/>
      </w:divBdr>
    </w:div>
    <w:div w:id="928347341">
      <w:bodyDiv w:val="1"/>
      <w:marLeft w:val="0"/>
      <w:marRight w:val="0"/>
      <w:marTop w:val="0"/>
      <w:marBottom w:val="0"/>
      <w:divBdr>
        <w:top w:val="none" w:sz="0" w:space="0" w:color="auto"/>
        <w:left w:val="none" w:sz="0" w:space="0" w:color="auto"/>
        <w:bottom w:val="none" w:sz="0" w:space="0" w:color="auto"/>
        <w:right w:val="none" w:sz="0" w:space="0" w:color="auto"/>
      </w:divBdr>
    </w:div>
    <w:div w:id="1746487942">
      <w:bodyDiv w:val="1"/>
      <w:marLeft w:val="0"/>
      <w:marRight w:val="0"/>
      <w:marTop w:val="0"/>
      <w:marBottom w:val="0"/>
      <w:divBdr>
        <w:top w:val="none" w:sz="0" w:space="0" w:color="auto"/>
        <w:left w:val="none" w:sz="0" w:space="0" w:color="auto"/>
        <w:bottom w:val="none" w:sz="0" w:space="0" w:color="auto"/>
        <w:right w:val="none" w:sz="0" w:space="0" w:color="auto"/>
      </w:divBdr>
    </w:div>
    <w:div w:id="1971082707">
      <w:bodyDiv w:val="1"/>
      <w:marLeft w:val="0"/>
      <w:marRight w:val="0"/>
      <w:marTop w:val="0"/>
      <w:marBottom w:val="0"/>
      <w:divBdr>
        <w:top w:val="none" w:sz="0" w:space="0" w:color="auto"/>
        <w:left w:val="none" w:sz="0" w:space="0" w:color="auto"/>
        <w:bottom w:val="none" w:sz="0" w:space="0" w:color="auto"/>
        <w:right w:val="none" w:sz="0" w:space="0" w:color="auto"/>
      </w:divBdr>
    </w:div>
    <w:div w:id="1984113085">
      <w:bodyDiv w:val="1"/>
      <w:marLeft w:val="0"/>
      <w:marRight w:val="0"/>
      <w:marTop w:val="0"/>
      <w:marBottom w:val="0"/>
      <w:divBdr>
        <w:top w:val="none" w:sz="0" w:space="0" w:color="auto"/>
        <w:left w:val="none" w:sz="0" w:space="0" w:color="auto"/>
        <w:bottom w:val="none" w:sz="0" w:space="0" w:color="auto"/>
        <w:right w:val="none" w:sz="0" w:space="0" w:color="auto"/>
      </w:divBdr>
    </w:div>
    <w:div w:id="2077705511">
      <w:bodyDiv w:val="1"/>
      <w:marLeft w:val="0"/>
      <w:marRight w:val="0"/>
      <w:marTop w:val="0"/>
      <w:marBottom w:val="0"/>
      <w:divBdr>
        <w:top w:val="none" w:sz="0" w:space="0" w:color="auto"/>
        <w:left w:val="none" w:sz="0" w:space="0" w:color="auto"/>
        <w:bottom w:val="none" w:sz="0" w:space="0" w:color="auto"/>
        <w:right w:val="none" w:sz="0" w:space="0" w:color="auto"/>
      </w:divBdr>
    </w:div>
    <w:div w:id="21249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jpe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247" Type="http://schemas.openxmlformats.org/officeDocument/2006/relationships/image" Target="media/image240.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37" Type="http://schemas.openxmlformats.org/officeDocument/2006/relationships/image" Target="media/image230.jpe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jpe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footnotes" Target="footnotes.xml"/><Relationship Id="rId238" Type="http://schemas.openxmlformats.org/officeDocument/2006/relationships/image" Target="media/image231.jpeg"/><Relationship Id="rId23" Type="http://schemas.openxmlformats.org/officeDocument/2006/relationships/image" Target="media/image16.png"/><Relationship Id="rId119" Type="http://schemas.openxmlformats.org/officeDocument/2006/relationships/image" Target="media/image112.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footer" Target="footer1.xml"/><Relationship Id="rId13" Type="http://schemas.openxmlformats.org/officeDocument/2006/relationships/image" Target="media/image6.png"/><Relationship Id="rId109" Type="http://schemas.openxmlformats.org/officeDocument/2006/relationships/image" Target="media/image102.jpe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endnotes" Target="endnotes.xml"/><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jpeg"/><Relationship Id="rId250" Type="http://schemas.openxmlformats.org/officeDocument/2006/relationships/fontTable" Target="fontTable.xml"/><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jpe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jpeg"/><Relationship Id="rId229" Type="http://schemas.openxmlformats.org/officeDocument/2006/relationships/image" Target="media/image222.png"/><Relationship Id="rId240" Type="http://schemas.openxmlformats.org/officeDocument/2006/relationships/image" Target="media/image233.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8" Type="http://schemas.openxmlformats.org/officeDocument/2006/relationships/image" Target="media/image1.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image" Target="media/image223.png"/><Relationship Id="rId251" Type="http://schemas.openxmlformats.org/officeDocument/2006/relationships/theme" Target="theme/theme1.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jpeg"/><Relationship Id="rId153" Type="http://schemas.openxmlformats.org/officeDocument/2006/relationships/image" Target="media/image146.png"/><Relationship Id="rId174" Type="http://schemas.openxmlformats.org/officeDocument/2006/relationships/image" Target="media/image167.png"/><Relationship Id="rId195" Type="http://schemas.openxmlformats.org/officeDocument/2006/relationships/image" Target="media/image188.png"/><Relationship Id="rId209" Type="http://schemas.openxmlformats.org/officeDocument/2006/relationships/image" Target="media/image202.png"/><Relationship Id="rId220" Type="http://schemas.openxmlformats.org/officeDocument/2006/relationships/image" Target="media/image213.png"/><Relationship Id="rId241" Type="http://schemas.openxmlformats.org/officeDocument/2006/relationships/image" Target="media/image234.pn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png"/><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64" Type="http://schemas.openxmlformats.org/officeDocument/2006/relationships/image" Target="media/image157.pn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image" Target="media/image229.png"/><Relationship Id="rId26" Type="http://schemas.openxmlformats.org/officeDocument/2006/relationships/image" Target="media/image19.png"/><Relationship Id="rId231" Type="http://schemas.openxmlformats.org/officeDocument/2006/relationships/image" Target="media/image224.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jpeg"/><Relationship Id="rId16" Type="http://schemas.openxmlformats.org/officeDocument/2006/relationships/image" Target="media/image9.png"/><Relationship Id="rId221" Type="http://schemas.openxmlformats.org/officeDocument/2006/relationships/image" Target="media/image214.png"/><Relationship Id="rId242" Type="http://schemas.openxmlformats.org/officeDocument/2006/relationships/image" Target="media/image235.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jpeg"/><Relationship Id="rId243" Type="http://schemas.openxmlformats.org/officeDocument/2006/relationships/image" Target="media/image236.png"/><Relationship Id="rId17" Type="http://schemas.openxmlformats.org/officeDocument/2006/relationships/image" Target="media/image10.png"/><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jpeg"/><Relationship Id="rId187" Type="http://schemas.openxmlformats.org/officeDocument/2006/relationships/image" Target="media/image180.png"/><Relationship Id="rId1" Type="http://schemas.openxmlformats.org/officeDocument/2006/relationships/numbering" Target="numbering.xml"/><Relationship Id="rId212" Type="http://schemas.openxmlformats.org/officeDocument/2006/relationships/image" Target="media/image205.png"/><Relationship Id="rId233" Type="http://schemas.openxmlformats.org/officeDocument/2006/relationships/image" Target="media/image226.png"/><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image" Target="media/image10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jpe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jpe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1.png"/><Relationship Id="rId39" Type="http://schemas.openxmlformats.org/officeDocument/2006/relationships/image" Target="media/image32.jpe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styles" Target="styles.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2.jpeg"/><Relationship Id="rId224" Type="http://schemas.openxmlformats.org/officeDocument/2006/relationships/image" Target="media/image217.png"/><Relationship Id="rId245" Type="http://schemas.openxmlformats.org/officeDocument/2006/relationships/image" Target="media/image238.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189" Type="http://schemas.openxmlformats.org/officeDocument/2006/relationships/image" Target="media/image182.png"/><Relationship Id="rId3" Type="http://schemas.microsoft.com/office/2007/relationships/stylesWithEffects" Target="stylesWithEffects.xml"/><Relationship Id="rId214" Type="http://schemas.openxmlformats.org/officeDocument/2006/relationships/image" Target="media/image207.png"/><Relationship Id="rId235" Type="http://schemas.openxmlformats.org/officeDocument/2006/relationships/image" Target="media/image228.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72.png"/><Relationship Id="rId190" Type="http://schemas.openxmlformats.org/officeDocument/2006/relationships/image" Target="media/image183.png"/><Relationship Id="rId204" Type="http://schemas.openxmlformats.org/officeDocument/2006/relationships/image" Target="media/image197.png"/><Relationship Id="rId225" Type="http://schemas.openxmlformats.org/officeDocument/2006/relationships/image" Target="media/image218.png"/><Relationship Id="rId246" Type="http://schemas.openxmlformats.org/officeDocument/2006/relationships/image" Target="media/image239.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948</TotalTime>
  <Pages>306</Pages>
  <Words>108152</Words>
  <Characters>616473</Characters>
  <Application>Microsoft Office Word</Application>
  <DocSecurity>0</DocSecurity>
  <Lines>5137</Lines>
  <Paragraphs>1446</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723179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11</cp:revision>
  <dcterms:created xsi:type="dcterms:W3CDTF">2026-07-02T13:48:00Z</dcterms:created>
  <dcterms:modified xsi:type="dcterms:W3CDTF">2026-07-06T06:34:00Z</dcterms:modified>
</cp:coreProperties>
</file>