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4961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"/>
        <w:gridCol w:w="9931"/>
      </w:tblGrid>
      <w:tr w:rsidR="00D13326" w:rsidRPr="004D01F0" w:rsidTr="00BC19BB">
        <w:trPr>
          <w:tblCellSpacing w:w="15" w:type="dxa"/>
        </w:trPr>
        <w:tc>
          <w:tcPr>
            <w:tcW w:w="441" w:type="pct"/>
            <w:shd w:val="clear" w:color="auto" w:fill="A41E1C"/>
            <w:vAlign w:val="center"/>
          </w:tcPr>
          <w:p w:rsidR="00D13326" w:rsidRPr="004D01F0" w:rsidRDefault="00F00E8A" w:rsidP="00E26D3C">
            <w:pPr>
              <w:pStyle w:val="NASLOVZLA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en-US"/>
              </w:rPr>
              <w:drawing>
                <wp:inline distT="0" distB="0" distL="0" distR="0" wp14:anchorId="6EA01E52" wp14:editId="0FB81C37">
                  <wp:extent cx="517525" cy="560705"/>
                  <wp:effectExtent l="0" t="0" r="0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7" w:type="pct"/>
            <w:shd w:val="clear" w:color="auto" w:fill="A41E1C"/>
            <w:vAlign w:val="center"/>
            <w:hideMark/>
          </w:tcPr>
          <w:p w:rsidR="00671A12" w:rsidRPr="00671A12" w:rsidRDefault="00C24467" w:rsidP="00671A12">
            <w:pPr>
              <w:pStyle w:val="NASLOVBELO"/>
              <w:spacing w:line="360" w:lineRule="auto"/>
              <w:rPr>
                <w:color w:val="FFE599"/>
                <w:lang w:val="en-US"/>
              </w:rPr>
            </w:pPr>
            <w:r w:rsidRPr="00C24467">
              <w:rPr>
                <w:color w:val="FFE599"/>
              </w:rPr>
              <w:t xml:space="preserve">ЗАКЉУЧАК </w:t>
            </w:r>
            <w:r w:rsidR="005761BD" w:rsidRPr="005761BD">
              <w:rPr>
                <w:color w:val="FFE599"/>
              </w:rPr>
              <w:t xml:space="preserve"> </w:t>
            </w:r>
          </w:p>
          <w:p w:rsidR="00D13326" w:rsidRPr="004D01F0" w:rsidRDefault="00FB786C" w:rsidP="007C7328">
            <w:pPr>
              <w:pStyle w:val="NASLOVBELO"/>
            </w:pPr>
            <w:r w:rsidRPr="00FB786C">
              <w:t>О УСВАЈАЊУ ОДЛУКЕ О ИЗМЕНАМА И ДОПУНАМА АКЦИОНОГ ПЛАНА ЗА СПРОВОЂЕЊЕ ИНИЦИЈАТИВЕ ПАРТНЕРСТВО ЗА ОТВОРЕНУ УПРАВУ У РЕПУБЛИЦИ СРБИЈИ ЗА ПЕРИОД 2023-2027. ГОДИНЕ</w:t>
            </w:r>
            <w:r w:rsidR="00D52EDF">
              <w:t xml:space="preserve"> </w:t>
            </w:r>
          </w:p>
          <w:p w:rsidR="00D13326" w:rsidRPr="004D01F0" w:rsidRDefault="00B913D9" w:rsidP="00DA5F7F">
            <w:pPr>
              <w:pStyle w:val="podnaslovpropisa"/>
              <w:rPr>
                <w:sz w:val="18"/>
                <w:szCs w:val="18"/>
              </w:rPr>
            </w:pPr>
            <w:r w:rsidRPr="00B913D9">
              <w:rPr>
                <w:sz w:val="18"/>
                <w:szCs w:val="18"/>
              </w:rPr>
              <w:t xml:space="preserve">("Сл. гласник РС", бр. </w:t>
            </w:r>
            <w:r w:rsidR="00DA5F7F">
              <w:rPr>
                <w:sz w:val="18"/>
                <w:szCs w:val="18"/>
              </w:rPr>
              <w:t>61</w:t>
            </w:r>
            <w:bookmarkStart w:id="0" w:name="_GoBack"/>
            <w:bookmarkEnd w:id="0"/>
            <w:r w:rsidR="00C24548">
              <w:rPr>
                <w:sz w:val="18"/>
                <w:szCs w:val="18"/>
                <w:lang w:val="sr-Cyrl-RS"/>
              </w:rPr>
              <w:t>/2026</w:t>
            </w:r>
            <w:r w:rsidRPr="00B913D9">
              <w:rPr>
                <w:sz w:val="18"/>
                <w:szCs w:val="18"/>
              </w:rPr>
              <w:t>)</w:t>
            </w:r>
          </w:p>
        </w:tc>
      </w:tr>
    </w:tbl>
    <w:p w:rsidR="00066BB1" w:rsidRPr="00066BB1" w:rsidRDefault="00066BB1" w:rsidP="00320D30">
      <w:pPr>
        <w:spacing w:before="330" w:after="0"/>
        <w:ind w:firstLine="48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ОДЛУКА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br/>
        <w:t>О ИЗМЕНАМА И ДОПУНАМА АКЦИОНОГ ПЛАНА ЗА СПРОВОЂЕЊЕ ИНИЦИЈАТИВЕ ПАРТНЕРСТВО ЗА ОТВОРЕНУ УПРАВУ У РЕПУБЛИЦИ СРБИЈИ ЗА ПЕРИОД 2023-2027. ГОДИНЕ</w:t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1. У Акционом плану за спровођење иницијативе Партнерство за отворену управу у Републици Србији за период 2023–2027.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(„Службени гласник РС”, број 119/23), у Глави III.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Процес припреме Акционог плана, након одељка IIIа.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Испуњеност стандарда ПОУ током процеса припреме Акционог плана, додаје се одељак IIIб.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Процес ревизије Акционог плана који гласи: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„У складу са правилима ПОУ, државе – учеснице у овој иницијативи које су се определиле за израду четворогодишњих акционих планова, међу којима је и Република Србија, у обавези су да размотре степен имплементације и могућности за унапређење важећег акционог плана на половини периода његовог спровођења у оквиру тзв.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процеса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ревизије.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1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 том смислу,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процес ревизије важећег Акционог плана најављен је на шестом састанку Радне групе у пуном саставу,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одржаном 5.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децембра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2025.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године.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2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 Том приликом је разматрана имплементација свих обавеза током прве две године спровођења, што је представљало основу за израду Нацрта извештаја – самопроцене о имплементацији Акционог плана за спровођење иницијативе Партнерство за отворену управу у Републици Србији за период 2023-2027.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током прве две године (децембар 2023 –децембар 2025. година) (у даљем тексту: Нацрт извештаја), као почетног корака у процесу ревизије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 основу прилога органа државне управе одговорних за спровођење обавеза из Акционог плана, МДУЛС је припремило нацрт поменутог извештаја.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циљу партиципативног и инклузивног разматрања остварених резултата током прве две године спровођења Акционог плана, као и прикупљања предлога за његово унапређење, МДУЛС је објавио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Јавни позив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којим су све заинтересоване стране позване да доставе коментаре на Нацрт извештаја, поднесу предлоге за унапређење постојећих обавеза или додавање нових, и учествују на „отвореном” (седмом) састанку Радне групе у пуном саставу, на којем ће поднети коментари и предлози бити представљени и размотрени.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3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 У оквиру Јавног позива, који је био отворен у периоду од 27.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фебруара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до 9.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марта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 објављен је и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оквирни план активности са временским оквиром за ревизију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(енгл. </w:t>
      </w:r>
      <w:proofErr w:type="gramStart"/>
      <w:r w:rsidRPr="00320D30">
        <w:rPr>
          <w:rFonts w:ascii="Arial" w:eastAsia="Times New Roman" w:hAnsi="Arial" w:cs="Arial"/>
          <w:i/>
          <w:iCs/>
          <w:noProof w:val="0"/>
          <w:color w:val="000000"/>
          <w:sz w:val="20"/>
          <w:szCs w:val="20"/>
          <w:lang w:val="en-US"/>
        </w:rPr>
        <w:t>Co-creation timeline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), како би све заинтересоване стране биле благовремено информисане о могућностима за учешће у овом процесу.</w:t>
      </w:r>
      <w:proofErr w:type="gramEnd"/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Паралелно са поменутим, организација Партнери за демократске промене Србија, чији су представници чланови Радне групе, организовала је консултативни процес са ширим кругом од 26 ОЦД из целе Србије, у оквиру којег су разматрани остварени резултати, прикупљени коментари на Нацрт извештаја и формулисани предлози за унапређење постојећих обавеза, као и нови предлози.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4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Након истека периода предвиђеног за консултације, 12.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марта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2026. године, одржан је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„отворени” (седми) састанак Радне групе у пуном саставу,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 којем су представљени сви пристигли коментари и предлози, како они који се односе на Нацрт извештаја, тако и они који се тичу унапређења Акционог плана.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5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Извештај је финализован инкорпорирањем достављених коментара од стране цивилног друштва и јавно објављен на националној ПОУ страници.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6</w:t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Подаци из Извештаја указују да је, током прве две године спровођења Акционог плана, од укупно седам обавеза које су доспеле на реализацију у потпуности имплементирано четири (57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,14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%) (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обавезе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1, 3, 7. и 9), док је код три обавезе (42,86%) присутно значајно кашњење или није започета имплементација (обавезе 2, 5. и 6).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Позитиван аспект представља податак да само једна обавеза чија је имплементација била планирана током прве две године није започета у планираном периоду и то услед изостанка планиране донаторске подршке (Обавеза 2).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Са друге стране, посматрано на нивоу свих 11 обавеза садржаних у Акционом плану (10 обавеза и једна препорука), током посматраног периода, пет обавеза (45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,5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%) је у потпуности спроведено (обавезе 1, 3, 7, 8. и 9), код једне обавезе/препоруке (9 %) је присутан ограничени напредак, док је пет обавеза (45,5%) у статусу „није започето/са значајним кашњењем” (обавезе 2, 4, 5, 6. и 10).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Степен имплементације сваке од обавеза, као и опис остварених резултата, доступан је у оквиру Извештаја.</w:t>
      </w:r>
      <w:proofErr w:type="gramEnd"/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Процес анализе спровођења Акционог плана током прве две године показао је да се имплементација одвијала у битно промењеним околностима у односу на период када је исти донет, тако да је и спровођење самих обавеза било праћено различитим изазовима.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Међу кључним изазовима издваја се промена Владе у два наврата,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7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 уз вишемесечне техничке мандате, што је битно утицало на функционисање и рад органа државне управе, довело до персоналних промена у органима, укључујући и промене на нивоу доносилаца одлука, и успорило законодавну активност, што се одразило на имплементацију оних обавеза које подразумевају доношење или измену постојеће регулативе.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Поред наведеног, изазов који је посебно дошао до изражаја огледа се у изостанку планиране донаторске подршке за реализацију појединих обавеза.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Наиме, у случају чак три обавезе (Обавеза 2, 4. и 10) није дошло до реализације донаторске подршке која је била иницијано планирана, што је утицало на динамику имплементације.</w:t>
      </w:r>
      <w:proofErr w:type="gramEnd"/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lastRenderedPageBreak/>
        <w:t>Након што су на поменутом „отвореном” (седмом) састанку Радне групе у пуном саставу представљени предлози ОЦД за унапређење Акционог плана, приступило се њиховом разматрању од стране надлежних органа.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Сви предлози су размотрени, како кроз непосредну електронску комуникацију са органима, тако и кроз састанке Радне групе у ужем саставу, којих је одржано укупно пет, поводом девет достављених предлога.</w:t>
      </w:r>
      <w:proofErr w:type="gramEnd"/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Осми састанак Радне групе у пуном саставу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одржан је 4.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јуна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 на којем су још једном дискутовани сви</w:t>
      </w:r>
      <w:r w:rsidR="000B5B4C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предлози и изнета изјашњења надлежних органа о могућностима за њихово укључивање у Акциони план кроз његове потенцијалне измене и допуне. Образложени одговори на предлоге саставни су део записника са састанка, који је јавно доступан на националној ПОУ страници.</w:t>
      </w:r>
      <w:r w:rsidRPr="00320D30">
        <w:rPr>
          <w:rFonts w:ascii="Arial" w:eastAsia="Times New Roman" w:hAnsi="Arial" w:cs="Arial"/>
          <w:noProof w:val="0"/>
          <w:color w:val="000000"/>
          <w:sz w:val="20"/>
          <w:szCs w:val="20"/>
          <w:vertAlign w:val="superscript"/>
          <w:lang w:val="en-US"/>
        </w:rPr>
        <w:t>8</w:t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 основу дискусије, Радна група је одлучила да се приступи ревизији Акционог плана кроз измене и допуне девет од укупно 11 обавеза (10 обавеза и једна препорука), и то: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–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код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1. Електронска народна иницијатива,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додају се нове активности под редним бројевима 3–6, са припадајућим елементима, уз последично продужење рока за њену импелементацију до краја важења Акционог плана, а у циљу промоције креиране услуге и њеног даље развоја кроз успостављање могућности за подношење предлога за покретање народне иницијативе електронским путем;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–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код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2. Ка квалитетнијем учешћу грађана у изради прописа и докумената јавних политика,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постојеће активности које нису започете замењују се новим, са припадајућим елементима, уз последично продужење рока за њену импелементацију до краја важења Акционог плана и измене у погледу одговорних институција, а у циљу подизања степена амбициозности обавезе у правцу унапређења нормативног оквира за учешће јавности у изради прописа и докумената јавних политика;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–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код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3. Унапређење транспарентности праћења поднетих иницијатива привреде и грађана,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додаје се активност под редним бројем 3, са припадајућим елементима, уз последично продужење рока за њену импелементацију до краја важења Акционог плана, а у циљу успостављања механизма за упућивање и разматрање иницијатива привреде које су поднете РСЈП, од стране Социјално-економског савета Републике Србије;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–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код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4. До транспарентнијег трошења буџета кроз унапређење конкурсног поступка доделе средстава организацијама цивилног друштва,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продужава се рок за њену имплементацију до краја важења Акционог плана, уз последичну измену рокова за имплементацију активности од којих се обавеза састоји, имајући у виду да иста није започета током досадашњег спровођења Акционог плана;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Код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5.</w:t>
      </w:r>
      <w:proofErr w:type="gramEnd"/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Проактивна управа – информације „на клик”,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продужава се рок за њену имплементацију до краја важења Акционог плана, уз последичну измену рокова за имплементацију активности од којих се обавеза састоји, с обзиром да постоји значајно кашњење у њеном досадашњем спровођењу;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Код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6.</w:t>
      </w:r>
      <w:proofErr w:type="gramEnd"/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Унапређење транспарентности рада Владе Републике Србије,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продужава се рок за имплементацију активности под редним бројем 2, уз последично продужење рока за имплементацију читаве обавезе до краја важења Акционог плана, с обзиром да постоји значајно кашњење у њеном досадашњем спровођењу;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Код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7.</w:t>
      </w:r>
      <w:proofErr w:type="gramEnd"/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Отворена управа за квалитетнији живот особа са инвалидитетом,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додаје се активност под редним бројем 10, са припадајућим елементима, уз последично продужење рока за њену импелементацију до краја важења Акционог плана, а у циљу отварања и визуализације нових сетова података од значаја за живот особа са инвалидидтетом;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Код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Обавезе 8.</w:t>
      </w:r>
      <w:proofErr w:type="gramEnd"/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Отворени „зелени” подаци за доступније информације о стању животне средине у Републици Србији,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додају се активности под редним бројевима 5.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6, са припадајућим елементима, уз последично продужење рока за њену импелементацију до краја важења Акционог плана, а у циљу отварања и визуализације нових сетова података од значаја за транспарентније праћење стања у области животне средине;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Код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Препоруке: Модернизација и унапређење приступачности садржаја, информација и података на интернет страници Народне скупштине Републике Србије,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продужава се рок за њену имплементацију до краја важења Акционог плана, уз последичну измену рокова за имплементацију активности од којих се обавеза састоји, с обзиром да постоји ограничени напредак у њеном досадашњем спровођењу.</w:t>
      </w:r>
    </w:p>
    <w:p w:rsidR="00066BB1" w:rsidRPr="00066BB1" w:rsidRDefault="00066BB1" w:rsidP="00320D30">
      <w:pPr>
        <w:spacing w:before="0" w:after="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 основу свега наведеног, може се закључити да су </w:t>
      </w:r>
      <w:r w:rsidRPr="00320D30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сви стандарди ПОУ у вези са процесом ревизије Акционог плана испуњени, </w:t>
      </w: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 то:</w:t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– Спроведена је анализа оствареног напретка у спровођењу Акционог плана током прве две године, укључујући разматрање остварених резултата, идентификацију изазова и простора за унапређење и разматрање контекста, кроз процес израде Извештаја – самопроцене о имплементацији Акционог плана за спровођење иницијативе Партнерство за отворену управу у Републици Србији за период 2023-2027. </w:t>
      </w: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током прве две године (децембар 2023 – децембар 2025. година);</w:t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Спроведене су јавне консултације и одржан „отворени” састанак Радне групе чиме је пружена могућност свим заинтересованим странама да доставе коментаре у вези са досадашњим степеном спровођења Акционог плана и другим налазима Извештаја, као и да поднесу предлоге за ревизију;</w:t>
      </w:r>
    </w:p>
    <w:p w:rsid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 Радна група је одобрила измене и допуне Акционог плана, након разматрања свих поднетих предлога за унапређење, уз образложене одговоре надлежних органа који су саставни део записника са осмог састанка Радне групе.”</w:t>
      </w:r>
      <w:proofErr w:type="gramEnd"/>
    </w:p>
    <w:p w:rsidR="000B5B4C" w:rsidRPr="00066BB1" w:rsidRDefault="000B5B4C" w:rsidP="000B5B4C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66BB1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–––––––––––––––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t>1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Правила ПОУ у вези са процесом ревизије, линк: https://www.opengovpartnership.org/wp-content/uploads/2024/07/Four-Year-Action-Plan-Memorandum.pdf.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lastRenderedPageBreak/>
        <w:t>2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Записник са шестог састанака Радне групе, линк: https://ekonsultacije.gov.rs/ogpPage/1.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t>3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Јавни позив за учешће у консултацијама поводом Нацрта извештаја – самопроцене о имплементацији Акционог плана за спровођење иницијативе Партнерство за отворену управу у Републици Србији за период 2023-2027.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током прве две године (децембар 2023 – децембар 2025. године), подношење предлога за унапређење Акционог плана и учешће на „отвореном (седмом) састанку Радне групе, линк: https://mduls.gov.rs/javne-rasprave-i-konsultacije/javni-poziv-partnerstvo-za-otvorenu-upravu/.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t>4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Документ са предлозима и препорукама цивилног друштва доступан је на адреси: https://eur03.safelinks.protection.outlook.com/?url=https%3A%2F%2Fwww.partners-serbia.org%2Fpublic%2Fnews%2FPreporuke_civilnog_dru%25C5%25A1tva_za_unapre%25C4%2591enje_Akcionog_plana_Partnerstva_za_otvorenu_upravu.pdf&amp;data=05%7C02%7Cdanilo.rodicc%40mduls.gov.rs%7Ceb864626bd7d455b6ab708dec22d00ca%7Ce9869d9e5f16415689b0d51630ff7000%7C1%7C0%7C639161695706130462%7CUnknown%7CTWFpbGZsb3d8eyJFbXB0eU1hcGkiOnRydWUsIlYiOiIwLjAuMDAwMCIsIlAiOiJXaW4zMiIsIkFOIjoiTWFpbCIsIldUIjoyfQ%3D%3D%7C0%7C%7C%7C&amp;sdata=igTaUcd8S%2B2ReX5VqQl3X%2BynlMwFX%2BRC4DmXCBieZqQ%3D&amp;reserved=0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t>5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Записник са седмог састанака Радне групе, линк: https://ekonsultacije.gov.rs/ogpPage/1.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t>6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Извештај – самопроцена о имплементацији Акционог плана за спровођење иницијативе Партнерство за отворену управу у Републици Србији за период 2023–2027.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током прве две године (децембар 2023–децембар 2025. година), линк: https://ekonsultacije.gov.rs/ogpPage/1.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t>7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Прва промена Владе уследила је након ванредних парламентарних избора који су одржани 17.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децембра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2023.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, након чега је нова Влада изабрана 2.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маја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2025.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.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До друге промене дошло је услед подношење оставке Председника Владе у јануару 2025.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године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, а нова Влада изабрана је 12. </w:t>
      </w:r>
      <w:proofErr w:type="gramStart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>априла</w:t>
      </w:r>
      <w:proofErr w:type="gramEnd"/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исте године.</w:t>
      </w:r>
    </w:p>
    <w:p w:rsidR="000B5B4C" w:rsidRPr="000B5B4C" w:rsidRDefault="000B5B4C" w:rsidP="000B5B4C">
      <w:pPr>
        <w:spacing w:before="0" w:after="150"/>
        <w:ind w:firstLine="480"/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</w:pP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vertAlign w:val="superscript"/>
          <w:lang w:val="en-US"/>
        </w:rPr>
        <w:t>8</w:t>
      </w:r>
      <w:r w:rsidRPr="000B5B4C">
        <w:rPr>
          <w:rFonts w:ascii="Arial" w:eastAsia="Times New Roman" w:hAnsi="Arial" w:cs="Arial"/>
          <w:i/>
          <w:noProof w:val="0"/>
          <w:color w:val="000000"/>
          <w:sz w:val="20"/>
          <w:szCs w:val="20"/>
          <w:lang w:val="en-US"/>
        </w:rPr>
        <w:t xml:space="preserve"> Записник са осмог састанака Радне групе, линк: https://ekonsultacije.gov.rs/ogpPage/1.</w:t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CDBF34B" wp14:editId="4D116F51">
            <wp:extent cx="6404400" cy="9000000"/>
            <wp:effectExtent l="0" t="0" r="0" b="0"/>
            <wp:docPr id="312" name="Picture 312" descr="https://slgl.pravno-informacioni-sistem.rs/api/LawAdActAttachment/slike/1056115/Zakljucak_Page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lgl.pravno-informacioni-sistem.rs/api/LawAdActAttachment/slike/1056115/Zakljucak_Page_0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4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30E865FF" wp14:editId="5E9DACDE">
            <wp:extent cx="6408000" cy="9000000"/>
            <wp:effectExtent l="0" t="0" r="0" b="0"/>
            <wp:docPr id="311" name="Picture 311" descr="A document in Serbian discussing legal and procedural aspects of addressing a specific problem, including sections on problem description, legal framework, and proposed solu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document in Serbian discussing legal and procedural aspects of addressing a specific problem, including sections on problem description, legal framework, and proposed solu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1FDBA8E" wp14:editId="5DEAC7BB">
            <wp:extent cx="6408000" cy="9000000"/>
            <wp:effectExtent l="0" t="0" r="0" b="0"/>
            <wp:docPr id="310" name="Picture 310" descr="A document in Serbian with tables outlining obligations, deadlines, and planning for announcements related to technical inspections and electricity supply servic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document in Serbian with tables outlining obligations, deadlines, and planning for announcements related to technical inspections and electricity supply servic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2FD2B3A" wp14:editId="156FFED4">
            <wp:extent cx="6408000" cy="9000000"/>
            <wp:effectExtent l="0" t="0" r="0" b="0"/>
            <wp:docPr id="309" name="Picture 309" descr="A detailed table in a foreign language outlining responsibilities, institutions, and partners related to electrical energy production, distribution, and consumption regula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detailed table in a foreign language outlining responsibilities, institutions, and partners related to electrical energy production, distribution, and consumption regula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048FCBAF" wp14:editId="1B85A2B0">
            <wp:extent cx="6408000" cy="9000000"/>
            <wp:effectExtent l="0" t="0" r="0" b="0"/>
            <wp:docPr id="308" name="Picture 308" descr="A document in a table format with text in a Slavic language discussing citizen participation in local government and public services, including sections on responsibilities, cooperation, and oversight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document in a table format with text in a Slavic language discussing citizen participation in local government and public services, including sections on responsibilities, cooperation, and oversight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0BEF08F" wp14:editId="681F87BF">
            <wp:extent cx="6408000" cy="9000000"/>
            <wp:effectExtent l="0" t="0" r="0" b="0"/>
            <wp:docPr id="307" name="Picture 307" descr="A document in Serbian discussing the definition of a problem related to the implementation of inclusive education policies and practices over a specified time period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document in Serbian discussing the definition of a problem related to the implementation of inclusive education policies and practices over a specified time period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CA79683" wp14:editId="6445D72F">
            <wp:extent cx="6408000" cy="9000000"/>
            <wp:effectExtent l="0" t="0" r="0" b="0"/>
            <wp:docPr id="306" name="Picture 306" descr="A scanned document in Serbian text discussing the challenges and proposed solutions related to the implementation of electronic identification and digital services in the Republic of Serbia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scanned document in Serbian text discussing the challenges and proposed solutions related to the implementation of electronic identification and digital services in the Republic of Serbia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65D1DBC" wp14:editId="1D4A9236">
            <wp:extent cx="6408000" cy="9000000"/>
            <wp:effectExtent l="0" t="0" r="0" b="0"/>
            <wp:docPr id="305" name="Picture 305" descr="A document in a Slavic language containing paragraphs of text and a table analyzing obligations with columns for questions and answer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 document in a Slavic language containing paragraphs of text and a table analyzing obligations with columns for questions and answer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0D7DE15" wp14:editId="046FBBE0">
            <wp:extent cx="6408000" cy="9000000"/>
            <wp:effectExtent l="0" t="0" r="0" b="0"/>
            <wp:docPr id="304" name="Picture 304" descr="A detailed table in Serbian outlines a planning announcement with objectives, activities, responsible institutions, and participants related to constitutional changes and administrative reform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detailed table in Serbian outlines a planning announcement with objectives, activities, responsible institutions, and participants related to constitutional changes and administrative reform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D873799" wp14:editId="576CBD66">
            <wp:extent cx="6408000" cy="9000000"/>
            <wp:effectExtent l="0" t="0" r="0" b="0"/>
            <wp:docPr id="303" name="Picture 303" descr="A table comparing the responsibilities and roles of different government institutions in overseeing agricultural land use and environmental protection initiativ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 table comparing the responsibilities and roles of different government institutions in overseeing agricultural land use and environmental protection initiativ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01AAE393" wp14:editId="13E93900">
            <wp:extent cx="6408000" cy="9000000"/>
            <wp:effectExtent l="0" t="0" r="0" b="0"/>
            <wp:docPr id="302" name="Picture 302" descr="A document in Serbian containing a table outlining responsible institutions and a section titled &quot;Definition of the Problem&quot; discussing issues related to social protection and public policy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document in Serbian containing a table outlining responsible institutions and a section titled &quot;Definition of the Problem&quot; discussing issues related to social protection and public policy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53C6A20" wp14:editId="29C03627">
            <wp:extent cx="6408000" cy="9000000"/>
            <wp:effectExtent l="0" t="0" r="0" b="0"/>
            <wp:docPr id="301" name="Picture 301" descr="A scanned document in Serbian discussing the problem of access to public information and the current state of resolving this issue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 scanned document in Serbian discussing the problem of access to public information and the current state of resolving this issue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DEA38A1" wp14:editId="2D8B56C0">
            <wp:extent cx="6408000" cy="9000000"/>
            <wp:effectExtent l="0" t="0" r="0" b="0"/>
            <wp:docPr id="300" name="Picture 300" descr="A document in Serbian discussing the transparency and accessibility of public information with a table analyzing obligations related to public access and information disclosure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 document in Serbian discussing the transparency and accessibility of public information with a table analyzing obligations related to public access and information disclosure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58BCA8E" wp14:editId="6EE69C60">
            <wp:extent cx="6408000" cy="9000000"/>
            <wp:effectExtent l="0" t="0" r="0" b="0"/>
            <wp:docPr id="299" name="Picture 299" descr="A detailed table in Serbian outlining planned activities, expected results, deadlines, and responsible institutions for a project related to information sharing and public administration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detailed table in Serbian outlining planned activities, expected results, deadlines, and responsible institutions for a project related to information sharing and public administration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009F335" wp14:editId="38C3F41F">
            <wp:extent cx="6408000" cy="9000000"/>
            <wp:effectExtent l="0" t="0" r="0" b="0"/>
            <wp:docPr id="298" name="Picture 298" descr="A document in Serbian containing tables and text discussing the management and allocation of funds for local infrastructure projects with references to government and public organiza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 document in Serbian containing tables and text discussing the management and allocation of funds for local infrastructure projects with references to government and public organiza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079281F" wp14:editId="53050574">
            <wp:extent cx="6408000" cy="9000000"/>
            <wp:effectExtent l="0" t="0" r="0" b="0"/>
            <wp:docPr id="297" name="Picture 297" descr="A document in a table format with a heading about defining a problem and detailed text discussing issues related to financing and organizational challenges in public and private sector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 document in a table format with a heading about defining a problem and detailed text discussing issues related to financing and organizational challenges in public and private sector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02AF04F7" wp14:editId="0F5E38B2">
            <wp:extent cx="6408000" cy="9000000"/>
            <wp:effectExtent l="0" t="0" r="0" b="0"/>
            <wp:docPr id="296" name="Picture 296" descr="A scanned document in Serbian discussing the issue of financing and management challenges in a specific sector, formatted with numbered sections and paragraph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anned document in Serbian discussing the issue of financing and management challenges in a specific sector, formatted with numbered sections and paragraph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CB1CAA7" wp14:editId="3BB825CF">
            <wp:extent cx="6408000" cy="9000000"/>
            <wp:effectExtent l="0" t="0" r="0" b="0"/>
            <wp:docPr id="32" name="Picture 32" descr="A document in a foreign language with multiple paragraphs and a table discussing regulations and procedures related to public administration and fiscal polici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document in a foreign language with multiple paragraphs and a table discussing regulations and procedures related to public administration and fiscal polici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28F586F" wp14:editId="704052D1">
            <wp:extent cx="6408000" cy="9000000"/>
            <wp:effectExtent l="0" t="0" r="0" b="0"/>
            <wp:docPr id="31" name="Picture 31" descr="A document in a Slavic language containing paragraphs of text and a table outlining planned activities, objectives, and responsible institutions related to education and administrative process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 document in a Slavic language containing paragraphs of text and a table outlining planned activities, objectives, and responsible institutions related to education and administrative process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EB61A7A" wp14:editId="5B22B294">
            <wp:extent cx="6408000" cy="9000000"/>
            <wp:effectExtent l="0" t="0" r="0" b="0"/>
            <wp:docPr id="30" name="Picture 30" descr="A detailed table in a document outlines organizational roles, financial management, and operational responsibilities related to a specific program or project, including sections on practical management and information flow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 detailed table in a document outlines organizational roles, financial management, and operational responsibilities related to a specific program or project, including sections on practical management and information flow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D29C622" wp14:editId="26A2F58C">
            <wp:extent cx="6408000" cy="9000000"/>
            <wp:effectExtent l="0" t="0" r="0" b="0"/>
            <wp:docPr id="29" name="Picture 29" descr="https://slgl.pravno-informacioni-sistem.rs/api/LawAdActAttachment/slike/1056115/Zakljucak_Page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lgl.pravno-informacioni-sistem.rs/api/LawAdActAttachment/slike/1056115/Zakljucak_Page_21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4B2C49D" wp14:editId="692DA32F">
            <wp:extent cx="6408000" cy="9000000"/>
            <wp:effectExtent l="0" t="0" r="0" b="0"/>
            <wp:docPr id="28" name="Picture 28" descr="https://slgl.pravno-informacioni-sistem.rs/api/LawAdActAttachment/slike/1056115/Zakljucak_Page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lgl.pravno-informacioni-sistem.rs/api/LawAdActAttachment/slike/1056115/Zakljucak_Page_22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6DA2E59" wp14:editId="4B30D1DD">
            <wp:extent cx="6408000" cy="9000000"/>
            <wp:effectExtent l="0" t="0" r="0" b="0"/>
            <wp:docPr id="27" name="Picture 27" descr="https://slgl.pravno-informacioni-sistem.rs/api/LawAdActAttachment/slike/1056115/Zakljucak_Page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lgl.pravno-informacioni-sistem.rs/api/LawAdActAttachment/slike/1056115/Zakljucak_Page_23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AEFFAB5" wp14:editId="5371A90D">
            <wp:extent cx="6408000" cy="9000000"/>
            <wp:effectExtent l="0" t="0" r="0" b="0"/>
            <wp:docPr id="26" name="Picture 26" descr="A document in Serbian containing text about data protection, responsibilities, and a planning announcement table with activities, deadlines, and responsible institu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document in Serbian containing text about data protection, responsibilities, and a planning announcement table with activities, deadlines, and responsible institu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A6F3382" wp14:editId="2717EFA0">
            <wp:extent cx="6408000" cy="9000000"/>
            <wp:effectExtent l="0" t="0" r="0" b="0"/>
            <wp:docPr id="25" name="Picture 25" descr="A table in a foreign language detailing organizational roles, responsibilities, and approval processes related to a specific institution or project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 table in a foreign language detailing organizational roles, responsibilities, and approval processes related to a specific institution or project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C508818" wp14:editId="1881D8B0">
            <wp:extent cx="6408000" cy="9000000"/>
            <wp:effectExtent l="0" t="0" r="0" b="0"/>
            <wp:docPr id="24" name="Picture 24" descr="https://slgl.pravno-informacioni-sistem.rs/api/LawAdActAttachment/slike/1056115/Zakljucak_Page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lgl.pravno-informacioni-sistem.rs/api/LawAdActAttachment/slike/1056115/Zakljucak_Page_26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86294DB" wp14:editId="08F562E3">
            <wp:extent cx="6408000" cy="9000000"/>
            <wp:effectExtent l="0" t="0" r="0" b="0"/>
            <wp:docPr id="23" name="Picture 23" descr="A document in Serbian containing official text about a public consultation and problem-solving process related to a government website, including instructions and contact information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A document in Serbian containing official text about a public consultation and problem-solving process related to a government website, including instructions and contact information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8DF6353" wp14:editId="3CF23E38">
            <wp:extent cx="6408000" cy="9000000"/>
            <wp:effectExtent l="0" t="0" r="0" b="0"/>
            <wp:docPr id="22" name="Picture 22" descr="A document in Serbian discussing the analysis of public transportation services and user satisfaction in the city of Vlasotince with a table summarizing key questions and finding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A document in Serbian discussing the analysis of public transportation services and user satisfaction in the city of Vlasotince with a table summarizing key questions and finding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3449C6BB" wp14:editId="0D59CC5A">
            <wp:extent cx="6408000" cy="9000000"/>
            <wp:effectExtent l="0" t="0" r="0" b="0"/>
            <wp:docPr id="21" name="Picture 21" descr="A detailed planning document in Serbian outlines activities, objectives, timelines, and responsible institutions for improving administrative procedures and servic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A detailed planning document in Serbian outlines activities, objectives, timelines, and responsible institutions for improving administrative procedures and servic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901590F" wp14:editId="53C26F69">
            <wp:extent cx="6408000" cy="9000000"/>
            <wp:effectExtent l="0" t="0" r="0" b="0"/>
            <wp:docPr id="20" name="Picture 20" descr="A table in Serbian outlines the obligations and critical notes regarding the management of hazardous waste under a specific law, detailing definitions, responsibilities, and procedures for handling and disposing of such waste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table in Serbian outlines the obligations and critical notes regarding the management of hazardous waste under a specific law, detailing definitions, responsibilities, and procedures for handling and disposing of such waste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538FC9D" wp14:editId="563FFB56">
            <wp:extent cx="6408000" cy="9000000"/>
            <wp:effectExtent l="0" t="0" r="0" b="0"/>
            <wp:docPr id="19" name="Picture 19" descr="A table in a document outlines responsible institutions for social protection and employment policy, listing government bodies, civil society, and private sector partners, followed by a section defining the problem related to employment and social inclusion challeng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A table in a document outlines responsible institutions for social protection and employment policy, listing government bodies, civil society, and private sector partners, followed by a section defining the problem related to employment and social inclusion challeng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F99E616" wp14:editId="7E1CBDA5">
            <wp:extent cx="6408000" cy="9000000"/>
            <wp:effectExtent l="0" t="0" r="0" b="0"/>
            <wp:docPr id="18" name="Picture 18" descr="The document discusses issues related to access and use of public information, the importance of transparency, and the challenges of obtaining relevant data from public institution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he document discusses issues related to access and use of public information, the importance of transparency, and the challenges of obtaining relevant data from public institution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FA45343" wp14:editId="4E1AEF9B">
            <wp:extent cx="6408000" cy="9000000"/>
            <wp:effectExtent l="0" t="0" r="0" b="0"/>
            <wp:docPr id="17" name="Picture 17" descr="A document in a Slavic language with text discussing legal or procedural information, including sections with numbered points and a table at the bottom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A document in a Slavic language with text discussing legal or procedural information, including sections with numbered points and a table at the bottom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A66E4F9" wp14:editId="586B123A">
            <wp:extent cx="6408000" cy="9000000"/>
            <wp:effectExtent l="0" t="0" r="0" b="0"/>
            <wp:docPr id="16" name="Picture 16" descr="A document in a tabular format with text in a Slavic language discussing planning announcements, responsibilities, and organizational detail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A document in a tabular format with text in a Slavic language discussing planning announcements, responsibilities, and organizational detail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EA718F5" wp14:editId="0B753956">
            <wp:extent cx="6408000" cy="9000000"/>
            <wp:effectExtent l="0" t="0" r="0" b="0"/>
            <wp:docPr id="15" name="Picture 15" descr="https://slgl.pravno-informacioni-sistem.rs/api/LawAdActAttachment/slike/1056115/Zakljucak_Page_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lgl.pravno-informacioni-sistem.rs/api/LawAdActAttachment/slike/1056115/Zakljucak_Page_35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B2552EA" wp14:editId="51EA9719">
            <wp:extent cx="6408000" cy="9000000"/>
            <wp:effectExtent l="0" t="0" r="0" b="0"/>
            <wp:docPr id="14" name="Picture 14" descr="A detailed table in a foreign language outlining responsibilities, deadlines, and involved institutions related to the implementation and monitoring of rehabilitation measures and professional rehabilitation for individuals with disabilitie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A detailed table in a foreign language outlining responsibilities, deadlines, and involved institutions related to the implementation and monitoring of rehabilitation measures and professional rehabilitation for individuals with disabilitie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FB38DD9" wp14:editId="165589AA">
            <wp:extent cx="6408000" cy="9000000"/>
            <wp:effectExtent l="0" t="0" r="0" b="0"/>
            <wp:docPr id="13" name="Picture 13" descr="https://slgl.pravno-informacioni-sistem.rs/api/LawAdActAttachment/slike/1056115/Zakljucak_Page_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lgl.pravno-informacioni-sistem.rs/api/LawAdActAttachment/slike/1056115/Zakljucak_Page_37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A8EEB56" wp14:editId="07E7455F">
            <wp:extent cx="6408000" cy="9000000"/>
            <wp:effectExtent l="0" t="0" r="0" b="0"/>
            <wp:docPr id="12" name="Picture 12" descr="https://slgl.pravno-informacioni-sistem.rs/api/LawAdActAttachment/slike/1056115/Zakljucak_Page_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lgl.pravno-informacioni-sistem.rs/api/LawAdActAttachment/slike/1056115/Zakljucak_Page_38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E5CFC0B" wp14:editId="603E041E">
            <wp:extent cx="6408000" cy="9000000"/>
            <wp:effectExtent l="0" t="0" r="0" b="0"/>
            <wp:docPr id="11" name="Picture 11" descr="https://slgl.pravno-informacioni-sistem.rs/api/LawAdActAttachment/slike/1056115/Zakljucak_Page_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lgl.pravno-informacioni-sistem.rs/api/LawAdActAttachment/slike/1056115/Zakljucak_Page_39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630CFBC" wp14:editId="599E3B28">
            <wp:extent cx="6408000" cy="9000000"/>
            <wp:effectExtent l="0" t="0" r="0" b="0"/>
            <wp:docPr id="10" name="Picture 10" descr="https://slgl.pravno-informacioni-sistem.rs/api/LawAdActAttachment/slike/1056115/Zakljucak_Page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lgl.pravno-informacioni-sistem.rs/api/LawAdActAttachment/slike/1056115/Zakljucak_Page_40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65061E6" wp14:editId="74C86B66">
            <wp:extent cx="6408000" cy="9000000"/>
            <wp:effectExtent l="0" t="0" r="0" b="0"/>
            <wp:docPr id="9" name="Picture 9" descr="https://slgl.pravno-informacioni-sistem.rs/api/LawAdActAttachment/slike/1056115/Zakljucak_Page_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lgl.pravno-informacioni-sistem.rs/api/LawAdActAttachment/slike/1056115/Zakljucak_Page_41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47CD26C2" wp14:editId="2454C050">
            <wp:extent cx="6408000" cy="9000000"/>
            <wp:effectExtent l="0" t="0" r="0" b="0"/>
            <wp:docPr id="8" name="Picture 8" descr="https://slgl.pravno-informacioni-sistem.rs/api/LawAdActAttachment/slike/1056115/Zakljucak_Page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lgl.pravno-informacioni-sistem.rs/api/LawAdActAttachment/slike/1056115/Zakljucak_Page_42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2627CC0" wp14:editId="7758BAB9">
            <wp:extent cx="6408000" cy="9000000"/>
            <wp:effectExtent l="0" t="0" r="0" b="0"/>
            <wp:docPr id="7" name="Picture 7" descr="https://slgl.pravno-informacioni-sistem.rs/api/LawAdActAttachment/slike/1056115/Zakljucak_Page_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lgl.pravno-informacioni-sistem.rs/api/LawAdActAttachment/slike/1056115/Zakljucak_Page_43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2003768" wp14:editId="7D5A4F58">
            <wp:extent cx="6408000" cy="9000000"/>
            <wp:effectExtent l="0" t="0" r="0" b="0"/>
            <wp:docPr id="6" name="Picture 6" descr="https://slgl.pravno-informacioni-sistem.rs/api/LawAdActAttachment/slike/1056115/Zakljucak_Page_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lgl.pravno-informacioni-sistem.rs/api/LawAdActAttachment/slike/1056115/Zakljucak_Page_44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0CA2D683" wp14:editId="5E0C16A9">
            <wp:extent cx="6408000" cy="9000000"/>
            <wp:effectExtent l="0" t="0" r="0" b="0"/>
            <wp:docPr id="5" name="Picture 5" descr="https://slgl.pravno-informacioni-sistem.rs/api/LawAdActAttachment/slike/1056115/Zakljucak_Page_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lgl.pravno-informacioni-sistem.rs/api/LawAdActAttachment/slike/1056115/Zakljucak_Page_45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0CE3EA5" wp14:editId="5345ECF9">
            <wp:extent cx="6408000" cy="9000000"/>
            <wp:effectExtent l="0" t="0" r="0" b="0"/>
            <wp:docPr id="4" name="Picture 4" descr="https://slgl.pravno-informacioni-sistem.rs/api/LawAdActAttachment/slike/1056115/Zakljucak_Page_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lgl.pravno-informacioni-sistem.rs/api/LawAdActAttachment/slike/1056115/Zakljucak_Page_46.pn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3CA0ECAA" wp14:editId="04A4184B">
            <wp:extent cx="6408000" cy="9000000"/>
            <wp:effectExtent l="0" t="0" r="0" b="0"/>
            <wp:docPr id="3" name="Picture 3" descr="https://slgl.pravno-informacioni-sistem.rs/api/LawAdActAttachment/slike/1056115/Zakljucak_Page_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lgl.pravno-informacioni-sistem.rs/api/LawAdActAttachment/slike/1056115/Zakljucak_Page_47.pn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BB1" w:rsidRPr="00066BB1" w:rsidRDefault="00066BB1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320D30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644A341" wp14:editId="3237BC52">
            <wp:extent cx="6408000" cy="9000000"/>
            <wp:effectExtent l="0" t="0" r="0" b="0"/>
            <wp:docPr id="2" name="Picture 2" descr="https://slgl.pravno-informacioni-sistem.rs/api/LawAdActAttachment/slike/1056115/Zakljucak_Page_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lgl.pravno-informacioni-sistem.rs/api/LawAdActAttachment/slike/1056115/Zakljucak_Page_48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000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7C5" w:rsidRPr="00320D30" w:rsidRDefault="003527C5" w:rsidP="00320D30">
      <w:pPr>
        <w:spacing w:before="0" w:after="150"/>
        <w:ind w:firstLine="480"/>
        <w:rPr>
          <w:rFonts w:ascii="Arial" w:eastAsia="Times New Roman" w:hAnsi="Arial" w:cs="Arial"/>
          <w:noProof w:val="0"/>
          <w:color w:val="333333"/>
        </w:rPr>
      </w:pPr>
    </w:p>
    <w:sectPr w:rsidR="003527C5" w:rsidRPr="00320D30" w:rsidSect="006B1BF1">
      <w:footerReference w:type="default" r:id="rId58"/>
      <w:pgSz w:w="11906" w:h="16838" w:code="9"/>
      <w:pgMar w:top="380" w:right="431" w:bottom="280" w:left="567" w:header="720" w:footer="527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3C" w:rsidRDefault="00E26D3C" w:rsidP="00562731">
      <w:r>
        <w:separator/>
      </w:r>
    </w:p>
    <w:p w:rsidR="00E26D3C" w:rsidRDefault="00E26D3C"/>
  </w:endnote>
  <w:endnote w:type="continuationSeparator" w:id="0">
    <w:p w:rsidR="00E26D3C" w:rsidRDefault="00E26D3C" w:rsidP="00562731">
      <w:r>
        <w:continuationSeparator/>
      </w:r>
    </w:p>
    <w:p w:rsidR="00E26D3C" w:rsidRDefault="00E26D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D3C" w:rsidRPr="005761BD" w:rsidRDefault="00E26D3C" w:rsidP="005761BD">
    <w:pPr>
      <w:pStyle w:val="Footer"/>
      <w:jc w:val="center"/>
      <w:rPr>
        <w:caps/>
        <w:color w:val="5B9BD5"/>
      </w:rPr>
    </w:pPr>
    <w:r w:rsidRPr="00562731">
      <w:rPr>
        <w:caps/>
        <w:noProof w:val="0"/>
        <w:color w:val="5B9BD5"/>
      </w:rPr>
      <w:fldChar w:fldCharType="begin"/>
    </w:r>
    <w:r w:rsidRPr="00562731">
      <w:rPr>
        <w:caps/>
        <w:color w:val="5B9BD5"/>
      </w:rPr>
      <w:instrText xml:space="preserve"> PAGE   \* MERGEFORMAT </w:instrText>
    </w:r>
    <w:r w:rsidRPr="00562731">
      <w:rPr>
        <w:caps/>
        <w:noProof w:val="0"/>
        <w:color w:val="5B9BD5"/>
      </w:rPr>
      <w:fldChar w:fldCharType="separate"/>
    </w:r>
    <w:r w:rsidR="00DA5F7F">
      <w:rPr>
        <w:caps/>
        <w:color w:val="5B9BD5"/>
      </w:rPr>
      <w:t>1</w:t>
    </w:r>
    <w:r w:rsidRPr="00562731">
      <w:rPr>
        <w:caps/>
        <w:color w:val="5B9BD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3C" w:rsidRDefault="00E26D3C" w:rsidP="00562731">
      <w:r>
        <w:separator/>
      </w:r>
    </w:p>
    <w:p w:rsidR="00E26D3C" w:rsidRDefault="00E26D3C"/>
  </w:footnote>
  <w:footnote w:type="continuationSeparator" w:id="0">
    <w:p w:rsidR="00E26D3C" w:rsidRDefault="00E26D3C" w:rsidP="00562731">
      <w:r>
        <w:continuationSeparator/>
      </w:r>
    </w:p>
    <w:p w:rsidR="00E26D3C" w:rsidRDefault="00E26D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6128AF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C363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DD0E0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38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CC06A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1E58E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7EC0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9C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B1C42E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096632C"/>
    <w:multiLevelType w:val="multilevel"/>
    <w:tmpl w:val="97A2C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C92FAD"/>
    <w:multiLevelType w:val="multilevel"/>
    <w:tmpl w:val="61EA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0E1CE0"/>
    <w:multiLevelType w:val="multilevel"/>
    <w:tmpl w:val="D520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3E145C"/>
    <w:multiLevelType w:val="hybridMultilevel"/>
    <w:tmpl w:val="65889AD2"/>
    <w:lvl w:ilvl="0" w:tplc="F7BA221A">
      <w:start w:val="1"/>
      <w:numFmt w:val="decimal"/>
      <w:lvlText w:val="%1)"/>
      <w:lvlJc w:val="left"/>
      <w:pPr>
        <w:ind w:left="702" w:hanging="1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eastAsia="en-US" w:bidi="ar-SA"/>
      </w:rPr>
    </w:lvl>
    <w:lvl w:ilvl="1" w:tplc="C298CA38">
      <w:numFmt w:val="bullet"/>
      <w:lvlText w:val="–"/>
      <w:lvlJc w:val="left"/>
      <w:pPr>
        <w:ind w:left="11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eastAsia="en-US" w:bidi="ar-SA"/>
      </w:rPr>
    </w:lvl>
    <w:lvl w:ilvl="2" w:tplc="8152CD14">
      <w:numFmt w:val="bullet"/>
      <w:lvlText w:val="•"/>
      <w:lvlJc w:val="left"/>
      <w:pPr>
        <w:ind w:left="607" w:hanging="153"/>
      </w:pPr>
      <w:rPr>
        <w:rFonts w:hint="default"/>
        <w:lang w:eastAsia="en-US" w:bidi="ar-SA"/>
      </w:rPr>
    </w:lvl>
    <w:lvl w:ilvl="3" w:tplc="F066F8C6">
      <w:numFmt w:val="bullet"/>
      <w:lvlText w:val="•"/>
      <w:lvlJc w:val="left"/>
      <w:pPr>
        <w:ind w:left="515" w:hanging="153"/>
      </w:pPr>
      <w:rPr>
        <w:rFonts w:hint="default"/>
        <w:lang w:eastAsia="en-US" w:bidi="ar-SA"/>
      </w:rPr>
    </w:lvl>
    <w:lvl w:ilvl="4" w:tplc="4DFC1C7E">
      <w:numFmt w:val="bullet"/>
      <w:lvlText w:val="•"/>
      <w:lvlJc w:val="left"/>
      <w:pPr>
        <w:ind w:left="422" w:hanging="153"/>
      </w:pPr>
      <w:rPr>
        <w:rFonts w:hint="default"/>
        <w:lang w:eastAsia="en-US" w:bidi="ar-SA"/>
      </w:rPr>
    </w:lvl>
    <w:lvl w:ilvl="5" w:tplc="4D8E9A4A">
      <w:numFmt w:val="bullet"/>
      <w:lvlText w:val="•"/>
      <w:lvlJc w:val="left"/>
      <w:pPr>
        <w:ind w:left="330" w:hanging="153"/>
      </w:pPr>
      <w:rPr>
        <w:rFonts w:hint="default"/>
        <w:lang w:eastAsia="en-US" w:bidi="ar-SA"/>
      </w:rPr>
    </w:lvl>
    <w:lvl w:ilvl="6" w:tplc="AC967C1E">
      <w:numFmt w:val="bullet"/>
      <w:lvlText w:val="•"/>
      <w:lvlJc w:val="left"/>
      <w:pPr>
        <w:ind w:left="237" w:hanging="153"/>
      </w:pPr>
      <w:rPr>
        <w:rFonts w:hint="default"/>
        <w:lang w:eastAsia="en-US" w:bidi="ar-SA"/>
      </w:rPr>
    </w:lvl>
    <w:lvl w:ilvl="7" w:tplc="F782DDE2">
      <w:numFmt w:val="bullet"/>
      <w:lvlText w:val="•"/>
      <w:lvlJc w:val="left"/>
      <w:pPr>
        <w:ind w:left="145" w:hanging="153"/>
      </w:pPr>
      <w:rPr>
        <w:rFonts w:hint="default"/>
        <w:lang w:eastAsia="en-US" w:bidi="ar-SA"/>
      </w:rPr>
    </w:lvl>
    <w:lvl w:ilvl="8" w:tplc="C9AC7AE0">
      <w:numFmt w:val="bullet"/>
      <w:lvlText w:val="•"/>
      <w:lvlJc w:val="left"/>
      <w:pPr>
        <w:ind w:left="53" w:hanging="153"/>
      </w:pPr>
      <w:rPr>
        <w:rFonts w:hint="default"/>
        <w:lang w:eastAsia="en-US" w:bidi="ar-SA"/>
      </w:rPr>
    </w:lvl>
  </w:abstractNum>
  <w:abstractNum w:abstractNumId="13">
    <w:nsid w:val="6B114381"/>
    <w:multiLevelType w:val="multilevel"/>
    <w:tmpl w:val="E3AC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26"/>
    <w:rsid w:val="00001239"/>
    <w:rsid w:val="00025D8B"/>
    <w:rsid w:val="0003065A"/>
    <w:rsid w:val="00044DC0"/>
    <w:rsid w:val="0004642A"/>
    <w:rsid w:val="00066BB1"/>
    <w:rsid w:val="00095B31"/>
    <w:rsid w:val="000B5B4C"/>
    <w:rsid w:val="000D43CC"/>
    <w:rsid w:val="000E41A0"/>
    <w:rsid w:val="001749E2"/>
    <w:rsid w:val="00195D6F"/>
    <w:rsid w:val="00251BA3"/>
    <w:rsid w:val="00273DB6"/>
    <w:rsid w:val="002A0BD4"/>
    <w:rsid w:val="002E296A"/>
    <w:rsid w:val="00320D30"/>
    <w:rsid w:val="0032793D"/>
    <w:rsid w:val="003527C5"/>
    <w:rsid w:val="003C0E07"/>
    <w:rsid w:val="003F36D1"/>
    <w:rsid w:val="00404EB1"/>
    <w:rsid w:val="00426874"/>
    <w:rsid w:val="004877B7"/>
    <w:rsid w:val="00497C37"/>
    <w:rsid w:val="004B4B91"/>
    <w:rsid w:val="004D01F0"/>
    <w:rsid w:val="004D039A"/>
    <w:rsid w:val="004F5E00"/>
    <w:rsid w:val="00505179"/>
    <w:rsid w:val="00541D17"/>
    <w:rsid w:val="00562731"/>
    <w:rsid w:val="005761BD"/>
    <w:rsid w:val="005E6332"/>
    <w:rsid w:val="0061486B"/>
    <w:rsid w:val="00634D8B"/>
    <w:rsid w:val="00647116"/>
    <w:rsid w:val="00657014"/>
    <w:rsid w:val="00671A12"/>
    <w:rsid w:val="00691AEF"/>
    <w:rsid w:val="006A5214"/>
    <w:rsid w:val="006B1BF1"/>
    <w:rsid w:val="006D4264"/>
    <w:rsid w:val="00703B45"/>
    <w:rsid w:val="0070679E"/>
    <w:rsid w:val="00740FB7"/>
    <w:rsid w:val="00745084"/>
    <w:rsid w:val="00767A56"/>
    <w:rsid w:val="00770E38"/>
    <w:rsid w:val="007A331F"/>
    <w:rsid w:val="007B0FCB"/>
    <w:rsid w:val="007B35E1"/>
    <w:rsid w:val="007B3672"/>
    <w:rsid w:val="007C7328"/>
    <w:rsid w:val="007D3A7B"/>
    <w:rsid w:val="007D4D4A"/>
    <w:rsid w:val="00806E64"/>
    <w:rsid w:val="00834961"/>
    <w:rsid w:val="0087547F"/>
    <w:rsid w:val="008A4389"/>
    <w:rsid w:val="0093171D"/>
    <w:rsid w:val="00942B01"/>
    <w:rsid w:val="00944E3C"/>
    <w:rsid w:val="00991D4E"/>
    <w:rsid w:val="00A046BD"/>
    <w:rsid w:val="00A1695E"/>
    <w:rsid w:val="00A31AF5"/>
    <w:rsid w:val="00A412D4"/>
    <w:rsid w:val="00A671C8"/>
    <w:rsid w:val="00AC7A35"/>
    <w:rsid w:val="00AF0D68"/>
    <w:rsid w:val="00AF1260"/>
    <w:rsid w:val="00AF261C"/>
    <w:rsid w:val="00B03342"/>
    <w:rsid w:val="00B60037"/>
    <w:rsid w:val="00B83346"/>
    <w:rsid w:val="00B8699F"/>
    <w:rsid w:val="00B913D9"/>
    <w:rsid w:val="00BC19BB"/>
    <w:rsid w:val="00BE73FA"/>
    <w:rsid w:val="00C14DDD"/>
    <w:rsid w:val="00C24467"/>
    <w:rsid w:val="00C24548"/>
    <w:rsid w:val="00C7284F"/>
    <w:rsid w:val="00CE5570"/>
    <w:rsid w:val="00D01141"/>
    <w:rsid w:val="00D02513"/>
    <w:rsid w:val="00D02CD8"/>
    <w:rsid w:val="00D04BC7"/>
    <w:rsid w:val="00D064CB"/>
    <w:rsid w:val="00D13326"/>
    <w:rsid w:val="00D41FFB"/>
    <w:rsid w:val="00D52EDF"/>
    <w:rsid w:val="00DA0CD9"/>
    <w:rsid w:val="00DA5F7F"/>
    <w:rsid w:val="00E22FC4"/>
    <w:rsid w:val="00E26D3C"/>
    <w:rsid w:val="00E91BA1"/>
    <w:rsid w:val="00E94200"/>
    <w:rsid w:val="00F00E8A"/>
    <w:rsid w:val="00F44E3D"/>
    <w:rsid w:val="00F53847"/>
    <w:rsid w:val="00F9032C"/>
    <w:rsid w:val="00FA30FE"/>
    <w:rsid w:val="00FB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61BD"/>
    <w:pPr>
      <w:spacing w:before="120" w:after="120"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699F"/>
    <w:pPr>
      <w:keepNext/>
      <w:keepLines/>
      <w:spacing w:before="480" w:after="200" w:line="276" w:lineRule="auto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B8699F"/>
    <w:pPr>
      <w:keepNext/>
      <w:keepLines/>
      <w:spacing w:before="200" w:after="200" w:line="276" w:lineRule="auto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699F"/>
    <w:pPr>
      <w:keepNext/>
      <w:keepLines/>
      <w:spacing w:before="200" w:after="200" w:line="276" w:lineRule="auto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699F"/>
    <w:pPr>
      <w:keepNext/>
      <w:keepLines/>
      <w:spacing w:before="200" w:after="200" w:line="276" w:lineRule="auto"/>
      <w:outlineLvl w:val="3"/>
    </w:pPr>
    <w:rPr>
      <w:rFonts w:ascii="Calibri Light" w:eastAsia="Times New Roman" w:hAnsi="Calibri Light"/>
      <w:b/>
      <w:bCs/>
      <w:i/>
      <w:iCs/>
      <w:noProof w:val="0"/>
      <w:color w:val="5B9BD5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paragraph" w:customStyle="1" w:styleId="NASLOVZLATO">
    <w:name w:val="NASLOV ZLATO"/>
    <w:basedOn w:val="Title"/>
    <w:qFormat/>
    <w:rsid w:val="00D13326"/>
    <w:pPr>
      <w:spacing w:before="120"/>
    </w:pPr>
    <w:rPr>
      <w:rFonts w:ascii="Arial" w:hAnsi="Arial" w:cs="Arial"/>
      <w:color w:val="FFE599"/>
      <w:sz w:val="24"/>
      <w:szCs w:val="24"/>
      <w:lang w:eastAsia="sr-Latn-RS"/>
    </w:rPr>
  </w:style>
  <w:style w:type="paragraph" w:customStyle="1" w:styleId="NASLOVBELO">
    <w:name w:val="NASLOV BELO"/>
    <w:basedOn w:val="Title"/>
    <w:rsid w:val="00D13326"/>
    <w:pPr>
      <w:spacing w:before="120"/>
    </w:pPr>
    <w:rPr>
      <w:rFonts w:ascii="Arial" w:hAnsi="Arial" w:cs="Arial"/>
      <w:color w:val="FFFFFF"/>
      <w:sz w:val="24"/>
      <w:szCs w:val="24"/>
      <w:lang w:eastAsia="sr-Latn-RS"/>
    </w:rPr>
  </w:style>
  <w:style w:type="paragraph" w:customStyle="1" w:styleId="podnaslovpropisa">
    <w:name w:val="podnaslovpropisa"/>
    <w:basedOn w:val="Normal"/>
    <w:rsid w:val="00D13326"/>
    <w:pPr>
      <w:shd w:val="clear" w:color="auto" w:fill="000000"/>
      <w:spacing w:before="100" w:beforeAutospacing="1" w:after="100" w:afterAutospacing="1" w:line="264" w:lineRule="auto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styleId="Title">
    <w:name w:val="Title"/>
    <w:basedOn w:val="Normal"/>
    <w:next w:val="Normal"/>
    <w:link w:val="TitleChar"/>
    <w:uiPriority w:val="10"/>
    <w:qFormat/>
    <w:rsid w:val="00D1332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3326"/>
    <w:rPr>
      <w:rFonts w:ascii="Calibri Light" w:eastAsia="Times New Roman" w:hAnsi="Calibri Light" w:cs="Times New Roman"/>
      <w:b/>
      <w:bCs/>
      <w:noProof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4F5E00"/>
    <w:pPr>
      <w:widowControl w:val="0"/>
      <w:autoSpaceDE w:val="0"/>
      <w:autoSpaceDN w:val="0"/>
    </w:pPr>
    <w:rPr>
      <w:rFonts w:eastAsia="Times New Roman"/>
      <w:noProof w:val="0"/>
    </w:rPr>
  </w:style>
  <w:style w:type="character" w:customStyle="1" w:styleId="BodyTextChar">
    <w:name w:val="Body Text Char"/>
    <w:link w:val="BodyText"/>
    <w:uiPriority w:val="1"/>
    <w:rsid w:val="004F5E00"/>
    <w:rPr>
      <w:rFonts w:ascii="Times New Roman" w:eastAsia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F5E00"/>
    <w:pPr>
      <w:widowControl w:val="0"/>
      <w:autoSpaceDE w:val="0"/>
      <w:autoSpaceDN w:val="0"/>
      <w:spacing w:before="18"/>
      <w:ind w:left="228"/>
      <w:jc w:val="center"/>
    </w:pPr>
    <w:rPr>
      <w:rFonts w:eastAsia="Times New Roman"/>
      <w:noProof w:val="0"/>
      <w:sz w:val="22"/>
      <w:szCs w:val="22"/>
    </w:rPr>
  </w:style>
  <w:style w:type="paragraph" w:customStyle="1" w:styleId="odluka-zakon">
    <w:name w:val="odluka-zakon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806E64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styleId="Header">
    <w:name w:val="header"/>
    <w:basedOn w:val="Normal"/>
    <w:link w:val="Head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nhideWhenUsed/>
    <w:rsid w:val="00562731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62731"/>
    <w:rPr>
      <w:rFonts w:ascii="Times New Roman" w:hAnsi="Times New Roman"/>
      <w:noProof/>
      <w:sz w:val="18"/>
      <w:szCs w:val="18"/>
      <w:lang w:eastAsia="en-US"/>
    </w:rPr>
  </w:style>
  <w:style w:type="character" w:customStyle="1" w:styleId="Heading1Char">
    <w:name w:val="Heading 1 Char"/>
    <w:link w:val="Heading1"/>
    <w:uiPriority w:val="9"/>
    <w:rsid w:val="00B8699F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B8699F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B8699F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character" w:customStyle="1" w:styleId="Heading4Char">
    <w:name w:val="Heading 4 Char"/>
    <w:link w:val="Heading4"/>
    <w:uiPriority w:val="9"/>
    <w:rsid w:val="00B8699F"/>
    <w:rPr>
      <w:rFonts w:ascii="Calibri Light" w:eastAsia="Times New Roman" w:hAnsi="Calibri Light"/>
      <w:b/>
      <w:bCs/>
      <w:i/>
      <w:i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B8699F"/>
  </w:style>
  <w:style w:type="paragraph" w:styleId="NormalIndent">
    <w:name w:val="Normal Indent"/>
    <w:basedOn w:val="Normal"/>
    <w:uiPriority w:val="99"/>
    <w:unhideWhenUsed/>
    <w:rsid w:val="00B8699F"/>
    <w:pPr>
      <w:spacing w:after="200" w:line="276" w:lineRule="auto"/>
      <w:ind w:left="72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99F"/>
    <w:pPr>
      <w:numPr>
        <w:ilvl w:val="1"/>
      </w:numPr>
      <w:spacing w:after="200" w:line="276" w:lineRule="auto"/>
      <w:ind w:left="86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B8699F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B8699F"/>
    <w:rPr>
      <w:i/>
      <w:iCs/>
    </w:rPr>
  </w:style>
  <w:style w:type="character" w:styleId="Hyperlink">
    <w:name w:val="Hyperlink"/>
    <w:unhideWhenUsed/>
    <w:rsid w:val="00B8699F"/>
    <w:rPr>
      <w:color w:val="0563C1"/>
      <w:u w:val="single"/>
    </w:rPr>
  </w:style>
  <w:style w:type="table" w:styleId="TableGrid">
    <w:name w:val="Table Grid"/>
    <w:basedOn w:val="TableNormal"/>
    <w:uiPriority w:val="59"/>
    <w:rsid w:val="00B8699F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B8699F"/>
    <w:pPr>
      <w:spacing w:after="20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B8699F"/>
    <w:pPr>
      <w:spacing w:after="200" w:line="276" w:lineRule="auto"/>
    </w:pPr>
    <w:rPr>
      <w:sz w:val="22"/>
      <w:szCs w:val="22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AF0D68"/>
  </w:style>
  <w:style w:type="table" w:customStyle="1" w:styleId="TableGrid1">
    <w:name w:val="Table Grid1"/>
    <w:basedOn w:val="TableNormal"/>
    <w:next w:val="TableGrid"/>
    <w:uiPriority w:val="59"/>
    <w:rsid w:val="00AF0D68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AF0D68"/>
    <w:rPr>
      <w:color w:val="954F72"/>
      <w:u w:val="single"/>
    </w:rPr>
  </w:style>
  <w:style w:type="numbering" w:customStyle="1" w:styleId="NoList3">
    <w:name w:val="No List3"/>
    <w:next w:val="NoList"/>
    <w:uiPriority w:val="99"/>
    <w:semiHidden/>
    <w:unhideWhenUsed/>
    <w:rsid w:val="004D01F0"/>
  </w:style>
  <w:style w:type="table" w:customStyle="1" w:styleId="TableGrid2">
    <w:name w:val="Table Grid2"/>
    <w:basedOn w:val="TableNormal"/>
    <w:next w:val="TableGrid"/>
    <w:uiPriority w:val="59"/>
    <w:rsid w:val="004D01F0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61486B"/>
    <w:pPr>
      <w:widowControl w:val="0"/>
      <w:autoSpaceDE w:val="0"/>
      <w:autoSpaceDN w:val="0"/>
      <w:ind w:left="110" w:firstLine="396"/>
      <w:jc w:val="both"/>
    </w:pPr>
    <w:rPr>
      <w:rFonts w:eastAsia="Times New Roman"/>
      <w:noProof w:val="0"/>
      <w:sz w:val="22"/>
      <w:szCs w:val="22"/>
    </w:rPr>
  </w:style>
  <w:style w:type="paragraph" w:styleId="NoSpacing">
    <w:name w:val="No Spacing"/>
    <w:uiPriority w:val="1"/>
    <w:qFormat/>
    <w:rsid w:val="0061486B"/>
    <w:pPr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customStyle="1" w:styleId="potpis">
    <w:name w:val="potpis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">
    <w:name w:val="bold"/>
    <w:rsid w:val="000D43CC"/>
  </w:style>
  <w:style w:type="character" w:customStyle="1" w:styleId="italik1">
    <w:name w:val="italik1"/>
    <w:rsid w:val="000D43CC"/>
    <w:rPr>
      <w:i/>
      <w:iCs/>
    </w:rPr>
  </w:style>
  <w:style w:type="paragraph" w:customStyle="1" w:styleId="f">
    <w:name w:val="f"/>
    <w:basedOn w:val="Normal"/>
    <w:rsid w:val="000D43CC"/>
    <w:pPr>
      <w:ind w:firstLine="48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0D43CC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italik">
    <w:name w:val="italik"/>
    <w:rsid w:val="000D43CC"/>
  </w:style>
  <w:style w:type="paragraph" w:styleId="BalloonText">
    <w:name w:val="Balloon Text"/>
    <w:basedOn w:val="Normal"/>
    <w:link w:val="BalloonTextChar"/>
    <w:unhideWhenUsed/>
    <w:rsid w:val="00F00E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E8A"/>
    <w:rPr>
      <w:rFonts w:ascii="Tahoma" w:hAnsi="Tahoma" w:cs="Tahoma"/>
      <w:noProof/>
      <w:sz w:val="16"/>
      <w:szCs w:val="16"/>
      <w:lang w:eastAsia="en-US"/>
    </w:rPr>
  </w:style>
  <w:style w:type="paragraph" w:customStyle="1" w:styleId="tabela">
    <w:name w:val="tabela"/>
    <w:basedOn w:val="Normal"/>
    <w:rsid w:val="00745084"/>
    <w:pPr>
      <w:spacing w:before="100" w:beforeAutospacing="1" w:after="100" w:afterAutospacing="1"/>
    </w:pPr>
    <w:rPr>
      <w:rFonts w:eastAsia="Times New Roman"/>
      <w:noProof w:val="0"/>
      <w:sz w:val="24"/>
      <w:szCs w:val="24"/>
      <w:lang w:val="en-US"/>
    </w:rPr>
  </w:style>
  <w:style w:type="character" w:customStyle="1" w:styleId="bold1">
    <w:name w:val="bold1"/>
    <w:basedOn w:val="DefaultParagraphFont"/>
    <w:rsid w:val="00D04BC7"/>
  </w:style>
  <w:style w:type="character" w:customStyle="1" w:styleId="superscript">
    <w:name w:val="superscript"/>
    <w:basedOn w:val="DefaultParagraphFont"/>
    <w:rsid w:val="00D04BC7"/>
  </w:style>
  <w:style w:type="paragraph" w:customStyle="1" w:styleId="Normal1">
    <w:name w:val="Normal1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aslov1">
    <w:name w:val="naslov1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naslov2">
    <w:name w:val="naslov2"/>
    <w:basedOn w:val="Normal"/>
    <w:rsid w:val="00DA0CD9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normaluvuceni">
    <w:name w:val="normal_uvuceni"/>
    <w:basedOn w:val="Normal"/>
    <w:rsid w:val="00DA0CD9"/>
    <w:pPr>
      <w:spacing w:before="100" w:beforeAutospacing="1" w:after="100" w:afterAutospacing="1"/>
      <w:ind w:left="1134" w:hanging="14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2">
    <w:name w:val="normal_uvuceni2"/>
    <w:basedOn w:val="Normal"/>
    <w:rsid w:val="00DA0CD9"/>
    <w:pPr>
      <w:spacing w:before="100" w:beforeAutospacing="1" w:after="100" w:afterAutospacing="1"/>
      <w:ind w:left="1701" w:hanging="227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normaluvuceni3">
    <w:name w:val="normal_uvuceni3"/>
    <w:basedOn w:val="Normal"/>
    <w:rsid w:val="00DA0CD9"/>
    <w:pPr>
      <w:spacing w:before="100" w:beforeAutospacing="1" w:after="100" w:afterAutospacing="1"/>
      <w:ind w:left="992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stepen">
    <w:name w:val="stepen"/>
    <w:basedOn w:val="Normal"/>
    <w:qFormat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5"/>
      <w:szCs w:val="15"/>
      <w:vertAlign w:val="superscript"/>
      <w:lang w:val="sr-Latn-CS" w:eastAsia="sr-Latn-CS"/>
    </w:rPr>
  </w:style>
  <w:style w:type="paragraph" w:customStyle="1" w:styleId="indeks">
    <w:name w:val="indeks"/>
    <w:basedOn w:val="Normal"/>
    <w:rsid w:val="00DA0CD9"/>
    <w:pPr>
      <w:spacing w:before="100" w:beforeAutospacing="1" w:after="100" w:afterAutospacing="1"/>
    </w:pPr>
    <w:rPr>
      <w:rFonts w:ascii="Arial" w:eastAsia="Times New Roman" w:hAnsi="Arial"/>
      <w:noProof w:val="0"/>
      <w:sz w:val="16"/>
      <w:szCs w:val="15"/>
      <w:vertAlign w:val="subscript"/>
      <w:lang w:val="sr-Latn-CS" w:eastAsia="sr-Latn-CS"/>
    </w:rPr>
  </w:style>
  <w:style w:type="paragraph" w:customStyle="1" w:styleId="naslovlevo">
    <w:name w:val="naslovlevo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b/>
      <w:bCs/>
      <w:noProof w:val="0"/>
      <w:sz w:val="26"/>
      <w:szCs w:val="26"/>
      <w:lang w:val="sr-Latn-CS" w:eastAsia="sr-Latn-CS"/>
    </w:rPr>
  </w:style>
  <w:style w:type="paragraph" w:customStyle="1" w:styleId="normalprored">
    <w:name w:val="normalprored"/>
    <w:basedOn w:val="Normal"/>
    <w:rsid w:val="00DA0CD9"/>
    <w:pPr>
      <w:spacing w:before="0" w:after="0"/>
    </w:pPr>
    <w:rPr>
      <w:rFonts w:ascii="Arial" w:eastAsia="Times New Roman" w:hAnsi="Arial" w:cs="Arial"/>
      <w:noProof w:val="0"/>
      <w:sz w:val="26"/>
      <w:szCs w:val="26"/>
      <w:lang w:val="sr-Latn-CS" w:eastAsia="sr-Latn-CS"/>
    </w:rPr>
  </w:style>
  <w:style w:type="paragraph" w:customStyle="1" w:styleId="wyq010---deo">
    <w:name w:val="wyq010---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6"/>
      <w:szCs w:val="36"/>
      <w:lang w:val="sr-Latn-CS" w:eastAsia="sr-Latn-CS"/>
    </w:rPr>
  </w:style>
  <w:style w:type="paragraph" w:customStyle="1" w:styleId="wyq020---poddeo">
    <w:name w:val="wyq020---poddeo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6"/>
      <w:szCs w:val="36"/>
      <w:lang w:val="sr-Latn-CS" w:eastAsia="sr-Latn-CS"/>
    </w:rPr>
  </w:style>
  <w:style w:type="paragraph" w:customStyle="1" w:styleId="wyq030---glava">
    <w:name w:val="wyq030---glava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4"/>
      <w:szCs w:val="34"/>
      <w:lang w:val="sr-Latn-CS" w:eastAsia="sr-Latn-CS"/>
    </w:rPr>
  </w:style>
  <w:style w:type="paragraph" w:customStyle="1" w:styleId="wyq040---podglava-kurziv-bold">
    <w:name w:val="wyq040---podglava-kurziv-bold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val="sr-Latn-CS" w:eastAsia="sr-Latn-CS"/>
    </w:rPr>
  </w:style>
  <w:style w:type="paragraph" w:customStyle="1" w:styleId="wyq045---podglava-kurziv">
    <w:name w:val="wyq045---podglava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4"/>
      <w:szCs w:val="34"/>
      <w:lang w:val="sr-Latn-CS" w:eastAsia="sr-Latn-CS"/>
    </w:rPr>
  </w:style>
  <w:style w:type="paragraph" w:customStyle="1" w:styleId="wyq050---odeljak">
    <w:name w:val="wyq050---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31"/>
      <w:szCs w:val="31"/>
      <w:lang w:val="sr-Latn-CS" w:eastAsia="sr-Latn-CS"/>
    </w:rPr>
  </w:style>
  <w:style w:type="paragraph" w:customStyle="1" w:styleId="wyq060---pododeljak">
    <w:name w:val="wyq060---pododelja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noProof w:val="0"/>
      <w:sz w:val="31"/>
      <w:szCs w:val="31"/>
      <w:lang w:val="sr-Latn-CS" w:eastAsia="sr-Latn-CS"/>
    </w:rPr>
  </w:style>
  <w:style w:type="paragraph" w:customStyle="1" w:styleId="wyq070---podpododeljak-kurziv">
    <w:name w:val="wyq070---podpododeljak-kurziv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i/>
      <w:iCs/>
      <w:noProof w:val="0"/>
      <w:sz w:val="30"/>
      <w:szCs w:val="30"/>
      <w:lang w:val="sr-Latn-CS" w:eastAsia="sr-Latn-CS"/>
    </w:rPr>
  </w:style>
  <w:style w:type="paragraph" w:customStyle="1" w:styleId="wyq080---odsek">
    <w:name w:val="wyq080---odsek"/>
    <w:basedOn w:val="Normal"/>
    <w:next w:val="Normal1"/>
    <w:rsid w:val="00DA0CD9"/>
    <w:pPr>
      <w:spacing w:before="0" w:after="0"/>
      <w:jc w:val="center"/>
    </w:pPr>
    <w:rPr>
      <w:rFonts w:ascii="Arial" w:eastAsia="Times New Roman" w:hAnsi="Arial" w:cs="Arial"/>
      <w:b/>
      <w:bCs/>
      <w:noProof w:val="0"/>
      <w:sz w:val="29"/>
      <w:szCs w:val="29"/>
      <w:lang w:val="sr-Latn-CS" w:eastAsia="sr-Latn-CS"/>
    </w:rPr>
  </w:style>
  <w:style w:type="paragraph" w:customStyle="1" w:styleId="wyq090---pododsek">
    <w:name w:val="wyq090---pododsek"/>
    <w:basedOn w:val="Normal1"/>
    <w:next w:val="Normal1"/>
    <w:rsid w:val="00DA0CD9"/>
    <w:pPr>
      <w:jc w:val="center"/>
    </w:pPr>
    <w:rPr>
      <w:sz w:val="28"/>
      <w:szCs w:val="28"/>
    </w:rPr>
  </w:style>
  <w:style w:type="paragraph" w:customStyle="1" w:styleId="wyq100---naslov-grupe-clanova-kurziv">
    <w:name w:val="wyq100---naslov-grupe-clanova-kurziv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i/>
      <w:iCs/>
      <w:noProof w:val="0"/>
      <w:sz w:val="22"/>
      <w:szCs w:val="24"/>
      <w:lang w:val="sr-Latn-CS" w:eastAsia="sr-Latn-CS"/>
    </w:rPr>
  </w:style>
  <w:style w:type="paragraph" w:customStyle="1" w:styleId="wyq110---naslov-clana">
    <w:name w:val="wyq110---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b/>
      <w:bCs/>
      <w:noProof w:val="0"/>
      <w:sz w:val="22"/>
      <w:szCs w:val="24"/>
      <w:lang w:val="sr-Latn-CS" w:eastAsia="sr-Latn-CS"/>
    </w:rPr>
  </w:style>
  <w:style w:type="paragraph" w:customStyle="1" w:styleId="wyq120---podnaslov-clana">
    <w:name w:val="wyq120---podnaslov-clana"/>
    <w:basedOn w:val="Normal"/>
    <w:next w:val="Normal1"/>
    <w:rsid w:val="00DA0CD9"/>
    <w:pPr>
      <w:spacing w:before="240" w:after="240"/>
      <w:jc w:val="center"/>
    </w:pPr>
    <w:rPr>
      <w:rFonts w:ascii="Arial" w:eastAsia="Times New Roman" w:hAnsi="Arial" w:cs="Arial"/>
      <w:i/>
      <w:iCs/>
      <w:noProof w:val="0"/>
      <w:sz w:val="22"/>
      <w:szCs w:val="24"/>
      <w:lang w:val="sr-Latn-CS" w:eastAsia="sr-Latn-CS"/>
    </w:rPr>
  </w:style>
  <w:style w:type="paragraph" w:customStyle="1" w:styleId="uvuceni">
    <w:name w:val="uvuceni"/>
    <w:basedOn w:val="Normal"/>
    <w:rsid w:val="00DA0CD9"/>
    <w:pPr>
      <w:spacing w:before="0" w:after="24"/>
      <w:ind w:left="720" w:hanging="28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uvuceni2">
    <w:name w:val="uvuceni2"/>
    <w:basedOn w:val="Normal"/>
    <w:rsid w:val="00DA0CD9"/>
    <w:pPr>
      <w:spacing w:before="0" w:after="24"/>
      <w:ind w:left="720" w:hanging="408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broj">
    <w:name w:val="broj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character" w:customStyle="1" w:styleId="subscript">
    <w:name w:val="subscript"/>
    <w:rsid w:val="00DA0CD9"/>
  </w:style>
  <w:style w:type="paragraph" w:customStyle="1" w:styleId="msonormal0">
    <w:name w:val="msonormal"/>
    <w:basedOn w:val="Normal"/>
    <w:rsid w:val="00DA0CD9"/>
    <w:pPr>
      <w:spacing w:before="100" w:beforeAutospacing="1" w:after="100" w:afterAutospacing="1"/>
    </w:pPr>
    <w:rPr>
      <w:rFonts w:ascii="Arial" w:eastAsia="Times New Roman" w:hAnsi="Arial" w:cs="Arial"/>
      <w:noProof w:val="0"/>
      <w:sz w:val="20"/>
      <w:szCs w:val="20"/>
      <w:lang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0EDF-8D5F-47AE-8381-A3424EE8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1930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12906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3</cp:revision>
  <dcterms:created xsi:type="dcterms:W3CDTF">2026-07-06T12:24:00Z</dcterms:created>
  <dcterms:modified xsi:type="dcterms:W3CDTF">2026-07-07T06:15:00Z</dcterms:modified>
</cp:coreProperties>
</file>