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D059FE" w:rsidTr="00497C37">
        <w:trPr>
          <w:tblCellSpacing w:w="15" w:type="dxa"/>
        </w:trPr>
        <w:tc>
          <w:tcPr>
            <w:tcW w:w="441" w:type="pct"/>
            <w:shd w:val="clear" w:color="auto" w:fill="A41E1C"/>
            <w:vAlign w:val="center"/>
          </w:tcPr>
          <w:p w:rsidR="00D13326" w:rsidRPr="00D059FE" w:rsidRDefault="00463BF1" w:rsidP="0041610E">
            <w:pPr>
              <w:pStyle w:val="NASLOVZLATO"/>
              <w:rPr>
                <w:sz w:val="20"/>
                <w:szCs w:val="20"/>
              </w:rPr>
            </w:pPr>
            <w:r w:rsidRPr="00D059FE">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D059FE" w:rsidRPr="00D059FE" w:rsidRDefault="00D059FE" w:rsidP="00D059FE">
            <w:pPr>
              <w:pStyle w:val="NASLOVBELO"/>
              <w:spacing w:line="360" w:lineRule="auto"/>
              <w:rPr>
                <w:color w:val="FFE599"/>
                <w:lang w:val="sr-Cyrl-RS"/>
              </w:rPr>
            </w:pPr>
            <w:r w:rsidRPr="00D059FE">
              <w:rPr>
                <w:color w:val="FFE599"/>
              </w:rPr>
              <w:t>ПРАВИЛНИК</w:t>
            </w:r>
          </w:p>
          <w:p w:rsidR="006D6D76" w:rsidRPr="00D059FE" w:rsidRDefault="00D059FE" w:rsidP="00D059FE">
            <w:pPr>
              <w:pStyle w:val="NASLOVBELO"/>
            </w:pPr>
            <w:r w:rsidRPr="00D059FE">
              <w:t>О МЕТОДОЛОГИЈИ ЗА ИЗВРШАВАЊЕ ПОСЛОВА У СКЛАДУ СА ЗАКОНОМ О СПРЕЧАВАЊУ ПРАЊА НОВЦА И ФИНАНСИРАЊА ТЕРОРИЗМА</w:t>
            </w:r>
          </w:p>
          <w:p w:rsidR="00D13326" w:rsidRPr="00D059FE" w:rsidRDefault="004F7DDF" w:rsidP="00697723">
            <w:pPr>
              <w:pStyle w:val="podnaslovpropisa"/>
              <w:rPr>
                <w:sz w:val="18"/>
                <w:szCs w:val="18"/>
              </w:rPr>
            </w:pPr>
            <w:r w:rsidRPr="00D059FE">
              <w:rPr>
                <w:sz w:val="18"/>
                <w:szCs w:val="18"/>
              </w:rPr>
              <w:t xml:space="preserve">("Сл. гласник РС", бр. </w:t>
            </w:r>
            <w:r w:rsidR="00CD4F9D" w:rsidRPr="00D059FE">
              <w:rPr>
                <w:sz w:val="18"/>
                <w:szCs w:val="18"/>
              </w:rPr>
              <w:t>8</w:t>
            </w:r>
            <w:r w:rsidR="00697723" w:rsidRPr="00D059FE">
              <w:rPr>
                <w:sz w:val="18"/>
                <w:szCs w:val="18"/>
              </w:rPr>
              <w:t>0</w:t>
            </w:r>
            <w:r w:rsidRPr="00D059FE">
              <w:rPr>
                <w:sz w:val="18"/>
                <w:szCs w:val="18"/>
              </w:rPr>
              <w:t>/202</w:t>
            </w:r>
            <w:r w:rsidR="008C2F05" w:rsidRPr="00D059FE">
              <w:rPr>
                <w:sz w:val="18"/>
                <w:szCs w:val="18"/>
              </w:rPr>
              <w:t>0</w:t>
            </w:r>
            <w:r w:rsidRPr="00D059FE">
              <w:rPr>
                <w:sz w:val="18"/>
                <w:szCs w:val="18"/>
              </w:rPr>
              <w:t>)</w:t>
            </w:r>
          </w:p>
        </w:tc>
      </w:tr>
    </w:tbl>
    <w:p w:rsidR="00D059FE" w:rsidRPr="00D059FE" w:rsidRDefault="00D059FE" w:rsidP="00D059FE">
      <w:pPr>
        <w:spacing w:after="150" w:line="276" w:lineRule="auto"/>
        <w:contextualSpacing w:val="0"/>
        <w:rPr>
          <w:rFonts w:ascii="Arial" w:hAnsi="Arial" w:cs="Arial"/>
          <w:noProof w:val="0"/>
          <w:sz w:val="22"/>
          <w:szCs w:val="22"/>
          <w:lang w:val="en-US"/>
        </w:rPr>
      </w:pPr>
    </w:p>
    <w:p w:rsidR="00D059FE" w:rsidRPr="00D059FE" w:rsidRDefault="00D059FE" w:rsidP="00D059FE">
      <w:pPr>
        <w:spacing w:after="150" w:line="276" w:lineRule="auto"/>
        <w:contextualSpacing w:val="0"/>
        <w:jc w:val="center"/>
        <w:rPr>
          <w:rFonts w:ascii="Arial" w:hAnsi="Arial" w:cs="Arial"/>
          <w:noProof w:val="0"/>
          <w:sz w:val="22"/>
          <w:szCs w:val="22"/>
          <w:lang w:val="en-US"/>
        </w:rPr>
      </w:pPr>
      <w:r w:rsidRPr="00D059FE">
        <w:rPr>
          <w:rFonts w:ascii="Arial" w:hAnsi="Arial" w:cs="Arial"/>
          <w:sz w:val="22"/>
          <w:szCs w:val="22"/>
          <w:lang w:eastAsia="sr-Latn-RS"/>
        </w:rPr>
        <w:pict>
          <v:shape id="_x0000_i1059" type="#_x0000_t75" style="width:419.25pt;height:588pt;visibility:visible;mso-wrap-style:square">
            <v:imagedata r:id="rId7"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lastRenderedPageBreak/>
        <w:pict>
          <v:shape id="Picture 2" o:spid="_x0000_i1058" type="#_x0000_t75" style="width:451.5pt;height:633.75pt;visibility:visible;mso-wrap-style:square">
            <v:imagedata r:id="rId8"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3" o:spid="_x0000_i1057" type="#_x0000_t75" style="width:451.5pt;height:633.75pt;visibility:visible;mso-wrap-style:square">
            <v:imagedata r:id="rId9"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4" o:spid="_x0000_i1056" type="#_x0000_t75" style="width:451.5pt;height:633.75pt;visibility:visible;mso-wrap-style:square">
            <v:imagedata r:id="rId10"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5" o:spid="_x0000_i1055" type="#_x0000_t75" style="width:451.5pt;height:633.75pt;visibility:visible;mso-wrap-style:square">
            <v:imagedata r:id="rId11"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6" o:spid="_x0000_i1054" type="#_x0000_t75" style="width:451.5pt;height:633.75pt;visibility:visible;mso-wrap-style:square">
            <v:imagedata r:id="rId12"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7" o:spid="_x0000_i1053" type="#_x0000_t75" style="width:451.5pt;height:633.75pt;visibility:visible;mso-wrap-style:square">
            <v:imagedata r:id="rId13"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8" o:spid="_x0000_i1052" type="#_x0000_t75" style="width:451.5pt;height:633.75pt;visibility:visible;mso-wrap-style:square">
            <v:imagedata r:id="rId14"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9" o:spid="_x0000_i1051" type="#_x0000_t75" style="width:451.5pt;height:633.75pt;visibility:visible;mso-wrap-style:square">
            <v:imagedata r:id="rId15"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0" o:spid="_x0000_i1050" type="#_x0000_t75" style="width:451.5pt;height:633.75pt;visibility:visible;mso-wrap-style:square">
            <v:imagedata r:id="rId16"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1" o:spid="_x0000_i1049" type="#_x0000_t75" style="width:451.5pt;height:633.75pt;visibility:visible;mso-wrap-style:square">
            <v:imagedata r:id="rId17"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2" o:spid="_x0000_i1048" type="#_x0000_t75" style="width:451.5pt;height:633.75pt;visibility:visible;mso-wrap-style:square">
            <v:imagedata r:id="rId18"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3" o:spid="_x0000_i1047" type="#_x0000_t75" style="width:451.5pt;height:633.75pt;visibility:visible;mso-wrap-style:square">
            <v:imagedata r:id="rId19"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4" o:spid="_x0000_i1046" type="#_x0000_t75" style="width:451.5pt;height:633.75pt;visibility:visible;mso-wrap-style:square">
            <v:imagedata r:id="rId20"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5" o:spid="_x0000_i1045" type="#_x0000_t75" style="width:451.5pt;height:633.75pt;visibility:visible;mso-wrap-style:square">
            <v:imagedata r:id="rId21"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6" o:spid="_x0000_i1044" type="#_x0000_t75" style="width:451.5pt;height:633.75pt;visibility:visible;mso-wrap-style:square">
            <v:imagedata r:id="rId22"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7" o:spid="_x0000_i1043" type="#_x0000_t75" style="width:451.5pt;height:633.75pt;visibility:visible;mso-wrap-style:square">
            <v:imagedata r:id="rId23"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8" o:spid="_x0000_i1042" type="#_x0000_t75" style="width:451.5pt;height:633.75pt;visibility:visible;mso-wrap-style:square">
            <v:imagedata r:id="rId24" o:title=""/>
          </v:shape>
        </w:pict>
      </w:r>
    </w:p>
    <w:p w:rsidR="00D059FE" w:rsidRPr="00D059FE" w:rsidRDefault="00D059FE" w:rsidP="00D059FE">
      <w:pPr>
        <w:spacing w:after="120" w:line="276" w:lineRule="auto"/>
        <w:contextualSpacing w:val="0"/>
        <w:jc w:val="center"/>
        <w:rPr>
          <w:rFonts w:ascii="Arial" w:hAnsi="Arial" w:cs="Arial"/>
          <w:noProof w:val="0"/>
          <w:sz w:val="22"/>
          <w:szCs w:val="22"/>
          <w:lang w:val="en-US"/>
        </w:rPr>
      </w:pPr>
      <w:r w:rsidRPr="00D059FE">
        <w:rPr>
          <w:rFonts w:ascii="Arial" w:hAnsi="Arial" w:cs="Arial"/>
          <w:noProof w:val="0"/>
          <w:color w:val="000000"/>
          <w:sz w:val="22"/>
          <w:szCs w:val="22"/>
          <w:lang w:val="en-US"/>
        </w:rPr>
        <w:t>УПУТСТВО ЗА ПОПУЊАВАЊЕ ОБРАСЦА ЗА ПРИЈАВУ ГОТОВИНСКИХ И СУМЊИВИХ ТРАНСАКЦИЈА И СУМЊИВИХ АКТИВНОСТИ (ОБРАСЦА 1)</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Образац за пријаву готовинских и сумњивих трансакција и сумњивих активности (у даљем тексту: Образац), који је саставни део овог правилника, попуњава се у електронској форми. Ако обвезник, из оправданих разлога, не може да попуни Образац у електронској форми, Образац се попуњава штампаним словима.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Обвезник попуњава податке у зависности од врсте трансакције и учесника у трансакцији у сваком конкретном случају.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Банке, овлашћени мењачи, привредни субјекти који мењачке послове обављају на основу посебног закона којим се уређује њихова делатност, друштва за осигурање, друштва за посредовање у осигурању, друштва за заступање у осигурању и заступници у осигурању, који имају дозволу за обављање послова осигурања живота, осим друштава за заступање и заступника у осигурању за чији рад одговара друштво за осигурање у складу са законом, брокерско-дилерска друштва и платне институције, не могу користити Део 17 Обрасца – Подаци о трансакцији приликом пријављивања готовинских и сумњивих трансакција и сумњивих активности.</w:t>
      </w:r>
    </w:p>
    <w:p w:rsidR="00D059FE" w:rsidRPr="00D059FE" w:rsidRDefault="00D059FE" w:rsidP="00D059FE">
      <w:pPr>
        <w:spacing w:after="120" w:line="276" w:lineRule="auto"/>
        <w:contextualSpacing w:val="0"/>
        <w:jc w:val="center"/>
        <w:rPr>
          <w:rFonts w:ascii="Arial" w:hAnsi="Arial" w:cs="Arial"/>
          <w:noProof w:val="0"/>
          <w:sz w:val="22"/>
          <w:szCs w:val="22"/>
          <w:lang w:val="en-US"/>
        </w:rPr>
      </w:pPr>
      <w:r w:rsidRPr="00D059FE">
        <w:rPr>
          <w:rFonts w:ascii="Arial" w:hAnsi="Arial" w:cs="Arial"/>
          <w:noProof w:val="0"/>
          <w:color w:val="000000"/>
          <w:sz w:val="22"/>
          <w:szCs w:val="22"/>
          <w:lang w:val="en-US"/>
        </w:rPr>
        <w:t>ПОПУЊАВАЊЕ ОБРАСЦА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 – Извештај,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 (Број извештаја) уписује се број извештаја који је генерисан од стране информационог система код обвезника (или на други начин одређен од стране обвезника), а на основу кога се извештај јединствено идентификује код тог обвезника.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1.2. (Овим извештајем се мења претходно достављен извештај)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мења претходно достављен извештај попуњава се рубрика а) Да, и у том случају претходно достављен извештај се поништава. Обвезник може да промени претходно достављен извештај у року Законом прописаном за достављање извештаја о готовинским или сумњивим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обвезник доставља извештај којим се не мења претходно достављен извештај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 (У извештају се наводе разлози за сумњу)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достављају подаци и информације које указују на то да у вези са трансакцијом или лицем које је у вези са трансакцијом постоји сумња да се ради о прању новца или финансирању тероризма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достављају подаци о готовинским трансакцијама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 (Разлози за сумњу) уписују се подаци и информације које указују на то да у вези са трансакцијом или лицем које је у вези са трансакцијом постоји сумња да се ради о прању новца или финансирању тероризма.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 (Индикатори да постоји сумња да се ради о прању новца или финансирању тероризма) уписује се редни број из листе индикатора за препознавање трансакција и лица за које постоји сумња да се ради о прању новца или финансирању тероризма који су објављени на wеб страници Управе за спречавање прања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2 – Учесници у трансакцијама,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2.1. (Учесници у трансакцијама)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колону „Редни број” уписује се редни број за свако лице које је учесник у трансакцији или трансакцијама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колону „Име и презиме/Назив” уписује се име и презиме физичког лица или предузетника, односно пословно име правног лица које је учесник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колону „ЈМБГ / ПИБ” уписује се јединствени матични број грађана (у даљем тексту: ЈМБГ) физичког лица или предузетника, односно порески идентификациони број (у даљем тексту: ПИБ) правног лица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3 – Физичко лице/Предузетник тип 1 попуњава се у онолико примерака колико је потребно да се идентификују сва лица која су учесници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3.1. (Лице 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физичко лице/предузетник које је учесник у трансакцији резидент попуњава се рубрика а) Резидент.</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физичко лице/предузетник које је учесник у трансакцији нерезидент попуњава се рубрика б) Нерезидент.</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3.2. (Име) уписује се име физичког лица/предузетника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3.3. (Презиме) уписује се презиме физичког лица/предузетника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3.4. (ЈМБГ) уписује се ЈМБГ физичког лица/предузетника које је учесник у трансакцији ако је то лице/предузетник држављанин Републике Србије.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3.5. (Место рођења) уписује се место рођења физичког лица, односно место рођења предузетника који је учесник у трансакцији ако је тај предузетник страни држављанин.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3.6. (Датум рођења) уписује се датум рођења физичког лица које је учесник у трансакцији ако је то лице страни држављанин, и то: дан, месец и година рођења (у даљем тексту: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3.7. (Пребивалиште ( место)) попуњава се место пребивалишта физичког лица/предузетника које је учесник у трансакцији. Ако је то физичко лице/предузетник страни држављанин које има само боравиште на територији Републике Србије у ову рубрику уписује се место боравишта тог лица/предузетника.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3.8. (Пребивалиште (адреса)) уписује се назив улице и број (у даљем тексту: адреса) пребивалишта физичког лица/предузетника које је учесник у трансакцији. Ако је то физичко лице/предузетник страни држављанин које има само боравиште на територији Републике Србије у ову рубрику уписује се адреса боравишта тог лица/предузетника.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3.9. (Држава) уписује се назив државе/а чији је држављанин физичко лице/предузетник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3.10. (Идентификациона исправа)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идентификација странке извршена на основу личне карте попуњава се рубрика а) Лична карта.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идентификација странке извршена на основу пасоша попуњава се рубрика б) Пасош.</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идентификација странке извршена на основу неког другог документа који мора имати фотографију странке и чији је издавалац државни орган попуњава се рубрика в) Остало, а у пољу које се налази уз ову рубрику уписује се врста исправе на основу које се врши идентификација странке.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3.11. (Број исправе) уписује се број личне исправе на основу које је извршена идентификација странке.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3.12. (Место издавања исправе) уписује се место издавања исправе на основу које је извршена идентификација странке. Ако је идентификација извршена на основу путне исправе која је издата у страној држави у ову рубрику уписује се назив државе у којој је путна исправа издата.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3.13. (Датум издавања исправе) уписује се датум издавања исправе, и то: дд.мм.гггг. Попуњавање ове рубрике није обавезно.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Када се пријављује безготовинска трансакција а физичко лице/предузетник које је учесник у тој трансакцији није идентификовано код обвезника који доставља извештај, обавезно је попуњавање само рубрике 3.3. (Презиме).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4 – Правно лице/Предузетник тип 2 (односи се на случај када предузетник послује у форми предузетничке радње) попуњава се у онолико примерака колико је потребно да се идентификују сва лица која су учесници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4.1. (Лице 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правно лице које је учесник у трансакцији резидент попуњава се рубрика а) Резидент.</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правно лице које је учесник у трансакцији нерезидент попуњава се рубрика б) Нерезидент.</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4.2. (Назив правног лица/предузетника) уписује се пословно име правног лица/предузетника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4.3. (Матични број) уписује се матични број правног лица/предузетничке радње које је учесник у трансакцији ако је то правно лице/предузетник резидент.</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4.4. (ПИБ) уписује се ПИБ правног лица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4.5. (Седиште(место)) уписује се назив места где се налази регистровано седиште правног лица/предузетника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4.6. (Седиште (адреса)) уписује се адреса седишта правног лица/предузетничке радње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4.7. (Држава) уписује се назив државе у којој је регистровано правно лице/предузетник које је учесник у трансакцији.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Када се пријављује безготовинска трансакција а правно лице/предузетник које је учесник у тој трансакцији није идентификовано код обвезника који доставља извештај, обавезно је попуњавање само рубрике 4.2. (Назив правног лица/предузетника) и рубрике 4.5. (Седиште(место)).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5 – Рачуни попуњава се у онолико примерака колико је потребно да се идентификују сви рачуни на којима су евидентиране или би биле евидентиране књиговодствене промене за трансакцију која је предмет извештаја. Овај део не попуњава се ако се ради о мењачким пословима.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 (Рачуни) уписују се подаци о рачуну на коме су евидентиране књиговодствене промене за трансакцију која је предмет извештаја. Ако се пријављује трансакција која још није извршена, у ову рубрику уписују се подаци о рачуну на коме би се спровело сагласно књижење за трансакцију која је предмет извештаја, и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5.1. (Рачун је интерни)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рачун странке води код обвезника који доставља извештај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рачун странке не води код обвезника који доставља извештај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5.2. (Број рачуна) уписује се број рачуна странке.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5.3. (Банка) уписује се ознака банке у SWIFT систему – (Bank Identifier Code (BIC)). Ова рубрика се не попуњава ако се рачун води код банке која доставља извештај.</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5.4. (Врста рачуна) уписује се врста рачуна на коме се евидентирају промене за трансакцију која је предмет извештаја, и то: девизна штедна књижица, девизни рачун, динарска штедна књижица, динарски текући рачун, наменски рачун, нерезидентни рачун или благајна.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5.5. (Власник рачуна)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име и презиме физичког лица или предузетника, односно пословно име правног лица/предузетничке радње које је власник рачуна.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5.6. (Датум отварања рачуна) уписује се датум отварања текућег (основног) рачуна странке,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5.7. (Валута салда)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5.8. (Салдо на рачуну) уписује се стање средстава на рачуну странке у тренутку након трансакције или у тренутку када је трансакција била захтевана. Салдо мора бити изражен у две децимале ако децимални део постоји.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Попуњавање рубрика 5.3. (Банка) и 5.5. (Власник рачуна) није обавезно, а попуњавање рубрика 5.6. (Датум отварања рачуна), 5.7. (Валута салда) и 5.8. (Салдо на рачуну) обавезно је када се ради о пријављивању сумњивих трансакција.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6 – Трансакција полагања готовог новца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6.2. (Лице које полаже готов новац) уписују се подаци о физичком лицу, предузетнику или правном лицу које полаже или захтева полагање готовог новца,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полаже или захтева полагање готовог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6.2.1. (Овлашћено лице) уписују се подаци о овлашћеном лицу странке, ако у име или за рачун странке полагање готовог новца врши или захтева овлашћено лице,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овлашћеног лица које у име или за рачун странке полаже или захтева полагање готовог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6.2.1.1. (Запослено код даваоца овлашћења)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овлашћено лице запослено код даваоца овлашћења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овлашћено лице није запослено код даваоца овлашћења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6.3. (Лице чији се рачун одобрава за износ трансакције) уписују се подаци о лицу коме је трансакција намењена. Ако је трансакција извршена уписују се подаци о лицу чији је рачун одобрен за износ трансакције. Ако је трансакција била захтевана а, без обзира на разлог, није извршена, уписују се подаци о лицу чији рачун би био одобрен за износ трансакције да је била извршена. Ова рубрика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чији се рачун одобрава за износ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6.4.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којих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6.5. (Евиденциони број трансакције) уписује се евиденциони број трансакције која се пријављује.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6.6.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када је трансакција захтевана,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6.7.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час и минут (у даљем тексту: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када је трансакција захтевана,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6.8. (Број рачуна) уписује се број рачуна странке који је одобрен за износ трансакције ако је трансакција извршена, односно, ако трансакција није извршена, који би био одобрен за износ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6.9. (Шифра основа/плаћања) уписује се одговарајућа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односно одговарајућа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6.10. (Сврха трансакције) уписује се сврха трансакције, и то: полагање орочених депозита, уплата пазара, динарска штедња по виђењу, динарска штедња орочена, девизна штедња по виђењу, девизна штедња орочена, полагање на текући рачун, плаћање рачуна, купопродајни уговор, полагање по основу куповине непокретности, уплата позајмице, докапитализација, оснивачки улог, отплата кредита, авансна плаћања, платни промет Република Србија и Аутономна покрајина Косово и Метохија, полагање по основу промета робе и услуга, животно осигурање, осигурање непокретности, осигурање покретне имовине, аукцијска куповина предузећа, акцијски фонд, куповина или продаја хартија од вредности, полагање по основу плаћања пореза, такси, накнада и јавних прихода, инвестиције у објекте и опрему, куповина возила, плаћање према иностранству, уплата донације и спонзорства, полагање ефективног страног новца на нерезидентни рачун, повећање улога нерезидента, или се уписује друга сврха ако сврха трансакције која се пријављује није наведена.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6.11.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основа из Упутства за спровођење Одлуке о условима и начину обављања платног промета са иностранством.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те трансакције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7 – Трансакција подизања готовог новца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7.2. (Лице са чијег рачуна се исплаћује готов новац) уписују се подаци о физичком лицу, предузетнику или правном лицу са чијег рачуна се исплаћује готов новац,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са чијег рачуна се исплаћује готов новац.</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7.2.1. (Овлашћено лице) уписују се подаци о овлашћеном лицу странке, ако у име или за рачун странке готов новац подиже или захтева његово подизање овлашћено лице,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овлашћеног лица које у име или за рачун странке подиже или захтева подизање готовог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7.2.1.1. (Запослено код даваоца овлашћења)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овлашћено лице запослено код даваоца овлашћења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овлашћено лице није запослено код даваоца овлашћења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7.3. (Лица којима је намењен готов новац) уписују се подаци о лицима којима је готов новац који се подиже намењен. Ако је трансакција извршена уписују се подаци о лицу коме овлашћено лице, ако овлашћено лице учествује у трансакцији, предаје готов новац. Ако је трансакција била захтевана а није извршена без обзира на разлоге, уписују се подаци о лицу коме би готов новац био предат да је била извршена. Ова рубрика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коме је готов новац намењен.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7.4.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којих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7.5. (Евиденциони број трансакције) уписује се евиденциони број трансакције која се пријављује.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7.6.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када је трансакција захтевана,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7.7.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када је трансакција захтевана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7.8. (Број рачуна) уписује се број рачуна странке са којег је новац подигнут ако је трансакција извршена, односно ако трансакција није извршена, са кога би новац био подигнут.</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7.9. (Шифра основа/плаћања) уписује се одговарајућа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односно одговарајућа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7.10. (Сврха трансакције) уписује се сврха трансакције, и то: подизање орочених депозита, динарска штедња по виђењу, динарска штедња орочена, девизна штедња по виђењу, девизна штедња орочена, купопродајни уговор, подизање по основу продаје непокретности, исплата позајмице, подизање оснивачког улога, авансне наплате, платни промет Република Србија и Аутономна покрајина Косово и Метохија, подизање по основу промета робе и услуга, животно осигурање, осигурање непокретности, осигурање покретне имовине, аукцијска продаја предузећа, акцијски фонд, куповина или продаја хартија од вредности, исплата зараде и других примања запослених, куповина возила, наплата из иностранства, исплата из донације и спонзорства, исплата са текућег рачуна, исплата ефективног страног новца са нерезидентног рачуна, смањење улога нерезидента, исплата по судском решењу, или се уписује друга сврха ако сврха трансакције која се пријављује није наведена.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7.11.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те трансакције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8 – Трансакција обављања мењачких послова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8.1.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8.2. (Лице које врши замену) уписују се подаци о физичком лицу, предузетнику или правном лицу које врши или захтева замену готовог новца,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врши или захтева замену готовог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8.2.1. (Овлашћено лице) уписују се подаци о овлашћеном лицу странке, ако у име или за рачун странке замену готовог новца врши или захтева овлашћено лице,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овлашћеног лица које у име или за рачун странке врши замену готовог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8.3.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којих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8.4. (Евиденциони број трансакције) уписује се евиденциони број трансакције која се пријављује.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8.5.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када је трансакција захтевана,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8.6.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када је трансакција захтевана,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8.7. (Положени износи)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(Ознака валуте) уписују се ознаке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(Износ у валути) уписује се износ новца који се мења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8.8. (Подигнути износи)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(Ознака валуте) уписују се ознаке за валуту из Упутства за спровођење Одлуке о условима и начину обављања платног промета са иностранством.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(Износ у валути) уписује се износ новца у валути у коју се мења готов новац, изражен у две децимале. Ако трансакција није извршена у ове поделе уписују се износи које би странка примила или који би рачуну странке били одобрени да је трансакција била извршена.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8.9. (Шифра основа) уписује се шифра основа из Упутства за спровођење Одлуке о условима и начину обављања платног промета са иностранством.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8.10. (Сврха трансакције) уписује се сврха трансакције, и то: откуп ефективног страног новца или продаја ефективног страног новца.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9 – Трансакција обављања девизног платног промета – прилив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овом делу уписују се подаци о трансакцији која се односи на девизни платни промет, и то на прилив средстава (у даљем тексту: лоро дознака). Ова рубрика попуњава се само у случајевима када се ради о извештају о сумњивој трансакцији,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(улица и број)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9.2. (Налогодавац трансакције) уписују се подаци о физичком лицу, предузетнику или правном лицу које је налогодавац лоро дознаке,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 које је налогодавац лоро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9.3. (Корисник трансакције) уписују се подаци о физичком лицу, предузетнику или правном лицу које је корисник лоро дознаке,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лоро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9.3.1. (Овлашћено лице за располагање средствима на рачуну) уписују се подаци о физичком лицу које је овлашћено за располагање средствима на рачуну корисника лоро дознаке. Попуњавање ове рубрике обавезно је ако је корисник трансакције правно лице/предузетничка радња. Ова рубрика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физичког лица које је овлашћено за располагање средствима на рачуну корисника лоро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9.3.2. (Крајњи корисници)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(Редни број) уписује се редни број под којим су лица евидентирана као учесници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(Име и презиме/Назив) уписују се имена и презимена физичких лица или предузетника, односно пословна имена правних лица/предузетничких радњи на чије рачуне су средства одобрена по лоро дознаци пренета по налогу корисника лоро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9.4.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којих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9.5. (Референца банке налогодавца) уписује се евиденциони број трансакције који се води код банке налогодавца (Transaction Reference Number).</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9.6. (Евиденциони број трансакције) уписује се евиденциони број трансакције код обвезника који пријављује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9.7.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пријема SWIFT поруке,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9.8.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пријема SWIFT поруке,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9.9. (Рачун налогодавца) уписује се број рачуна налогодавца лоро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9.10. (SWIFT Код банке налогодавца) уписује се ознака банке у којој се води рачун налогодавца у SWIFT систему – (Bank Identifier Code (BIC)).</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9.11. (Рачун корисника дознаке) уписује се број рачуна корисника лоро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9.12. (Шифра основа) уписује се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9.13. (Сврха трансакције) уписује се сврха трансакције, и то: девизна дознака физичког лица, посредовање и друге услуге у вези са трговином, истраживање и развој, правне, рачуноводствене и консултантске услуге, пословни консалтинг, пропаганда и испитивање тржишта, доходак од капитала, права индустријске својине, рачунарске и информационе услуге, финансијске услуге, инвестициони радови, трансакције по основу размене робе између резидената и нерезидената, или друга сврха ако сврха трансакције која се пријављује није напред наведена.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9.14.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трансакције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10 – Трансакција обављања девизног платног промета – одлив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овом делу уписују се подаци о трансакцији која се односи на девизни платни промет, и то на одлив средстава (у даљем тексту: ностро дозна</w:t>
      </w:r>
      <w:bookmarkStart w:id="0" w:name="_GoBack"/>
      <w:bookmarkEnd w:id="0"/>
      <w:r w:rsidRPr="00D059FE">
        <w:rPr>
          <w:rFonts w:ascii="Arial" w:hAnsi="Arial" w:cs="Arial"/>
          <w:noProof w:val="0"/>
          <w:color w:val="000000"/>
          <w:sz w:val="22"/>
          <w:szCs w:val="22"/>
          <w:lang w:val="en-US"/>
        </w:rPr>
        <w:t>ка). Ова рубрика попуњава се само у случајевима када се ради о извештају о сумњивој трансакцији,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(улица и број)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10.2. (Налогодавац трансакције) уписују се подаци о физичком лицу, предузетнику или правном лицу које је налогодавац ностро дознаке,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налогодавац ностро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10.2.1. (Овлашћено лице које врши трансакцију) уписују се подаци о овлашћеном лицу странке ако, у име или за рачун странке, трансакцију врши овлашћено лице,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овлашћеног лица које у име или за рачун странке врши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10.2.2. (Лице по чијем налогу налогодавац врши трансакцију) уписују се подаци о лицу за кога налогодавац врши трансакцију, ако такво лице постоји,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10.3. (Корисник трансакције) уписују се подаци о физичком лицу, предузетнику или правном лицу које је корисник ностро дознаке,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 које је корисник ностро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10.4.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10.5. (Евиденциони број трансакције) уписује се евиденциони број трансакције која се пријављује код обвезника код кога се води рачун налогодавца ностро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10.6. (Референца банке налогодавца) уписује се евиденциони број трансакције који се води код банке у којој се води рачун налогодавца (</w:t>
      </w:r>
      <w:r w:rsidRPr="00D059FE">
        <w:rPr>
          <w:rFonts w:ascii="Arial" w:hAnsi="Arial" w:cs="Arial"/>
          <w:i/>
          <w:noProof w:val="0"/>
          <w:color w:val="000000"/>
          <w:sz w:val="22"/>
          <w:szCs w:val="22"/>
          <w:lang w:val="en-US"/>
        </w:rPr>
        <w:t>Transaction</w:t>
      </w:r>
      <w:r w:rsidRPr="00D059FE">
        <w:rPr>
          <w:rFonts w:ascii="Arial" w:hAnsi="Arial" w:cs="Arial"/>
          <w:noProof w:val="0"/>
          <w:color w:val="000000"/>
          <w:sz w:val="22"/>
          <w:szCs w:val="22"/>
          <w:lang w:val="en-US"/>
        </w:rPr>
        <w:t xml:space="preserve"> </w:t>
      </w:r>
      <w:r w:rsidRPr="00D059FE">
        <w:rPr>
          <w:rFonts w:ascii="Arial" w:hAnsi="Arial" w:cs="Arial"/>
          <w:i/>
          <w:noProof w:val="0"/>
          <w:color w:val="000000"/>
          <w:sz w:val="22"/>
          <w:szCs w:val="22"/>
          <w:lang w:val="en-US"/>
        </w:rPr>
        <w:t>Reference Number</w:t>
      </w:r>
      <w:r w:rsidRPr="00D059FE">
        <w:rPr>
          <w:rFonts w:ascii="Arial" w:hAnsi="Arial" w:cs="Arial"/>
          <w:noProof w:val="0"/>
          <w:color w:val="000000"/>
          <w:sz w:val="22"/>
          <w:szCs w:val="22"/>
          <w:lang w:val="en-US"/>
        </w:rPr>
        <w:t>).</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10.7.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када је трансакција захтевана,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10.8.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када је трансакција захтевана,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10.9. (Рачун налогодавца) уписује се број рачуна налогодавца ностро дознаке.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10.10. (Рачун корисника дознаке) уписује се број рачуна корисника ностро дознаке у страној банци. Попуњавање ове рубрике није обавезно, осим у случајевима када је налогодавац у налогу навео број рачуна корисника.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10.11. (SWIFT Код банке корисника) уписује се ознака банке у којој се води рачун корисника дознаке у SWIFT систему – (</w:t>
      </w:r>
      <w:r w:rsidRPr="00D059FE">
        <w:rPr>
          <w:rFonts w:ascii="Arial" w:hAnsi="Arial" w:cs="Arial"/>
          <w:i/>
          <w:noProof w:val="0"/>
          <w:color w:val="000000"/>
          <w:sz w:val="22"/>
          <w:szCs w:val="22"/>
          <w:lang w:val="en-US"/>
        </w:rPr>
        <w:t>Bank Identifier Code</w:t>
      </w:r>
      <w:r w:rsidRPr="00D059FE">
        <w:rPr>
          <w:rFonts w:ascii="Arial" w:hAnsi="Arial" w:cs="Arial"/>
          <w:noProof w:val="0"/>
          <w:color w:val="000000"/>
          <w:sz w:val="22"/>
          <w:szCs w:val="22"/>
          <w:lang w:val="en-US"/>
        </w:rPr>
        <w:t xml:space="preserve"> (BIC)).</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10.12. (Шифра основа) уписује се шифра основа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10.13. (Сврха трансакције) уписује се сврха трансакције, и то: плаћања у иностранство с девизних рачуна резидената физичких лица, посредовање и друге услуге у вези са трговином, истраживање и развој, правне, рачуноводствене и консултантске услуге, пословни консалтинг, пропаганда и испитивање тржишта, доходак од капитала, права индустријске својине, рачунарске и информационе услуге, финансијске услуге, инвестициони радови, трансакције по основу размене робе између резидената и нерезидената, или друга сврха, ако сврха трансакције која се пријављује није напред наведена.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10.14.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трансакције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11 – Трансакција обављања платног промета у земљи (прилив)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овом делу уписују се подаци о трансакцији која се односи на платни промет у земљи, и то у случајевима када је обвезник који доставља извештај прималац средстава која су предмет трансакције. Ова рубрика попуњава се само у случајевима када се ради о извештају о сумњивој трансакцији,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(улица и број)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11.2. (Налогодавац трансакције) уписују се подаци о физичком лицу, предузетнику или правном лицу које је налогодавац трансакције,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 Назив) уписује се име и презиме физичког лица или предузетника, односно пословно име правног лица/предузетничке радње које је налогодавац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11.2.1. (Лице по чијем налогу налогодавац врши трансакцију) уписују се подаци о лицу за кога налогодавац врши трансакцију, ако такво лице постоји и обвезник који доставља извештај располаже таквим податком,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11.3. (Корисник трансакције) уписују се подаци о физичком лицу, предузетнику или правном лицу које је корисник трансакције,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11.3.1. (Овлашћено лице корисника) уписују се подаци о лицу овлашћеном да располаже средствима на рачуну корисника трансакције,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лица овлашћеног да располаже средствима на рачуну корисника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11.3.2. (Крајњи корисници) уписују се подаци о лицима на чије рачуне су, по налогу корисника трансакције, пренета примљена средства, ако таква лица постоје и обвезник располаже тим подацима. Ова рубрика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(Редни број) уписује се редни број под којим су лица евидентирана као учесници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поделе у колони (Име и презиме/Назив) уписују се имена и презимена физичких лица или предузетника, односно пословна имена правних лица/предузетничких радњи на чије рачуне су средства одобрена на основу трансакције, пренета по налогу корисника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11.4.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11.5. (Евиденциони број трансакције) уписује се евиденциони број трансакције код обвезника који води рачун корисника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11.6.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када је трансакција захтевана,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11.7.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када је трансакција захтевана,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11.8. (Референца банке налогодавца) уписује се ознака банке у којој се води рачун са кога се средства дозначавају, у SWIFT систему – (Bank Identifier Code (BIC)).</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11.9. (Рачун задужења) уписује се број рачуна налогодавца тј. рачуна са кога су средства трансферисана, и то ако обвезник поседује тај податак.</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11.10. (Рачун одобрења) уписује се број рачуна који је одобрен за износ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11.11. (Шифра плаћања) уписује се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11.12. (Сврха трансакције) уписује се сврха трансакције, и то: промет робе и услуга – међуфазна потрошња, промет робе и услуга, плаћање по судским решењима, зараде и друга примања запослених, зараде по другим основама, позајмица оснивача за ликвидност, повраћај позајмице за ликвидност, закупнине, остали пласмани, инвестиције у објекте и опрему, инвестиције – остало, друге трансакције или друга сврха, ако сврха трансакције која се пријављује није напред наведена.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11.13.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трансакције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12 – Трансакција обављања платног промета у земљи – одлив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овом делу уписују се подаци о трансакцији која се односи на платни промет у земљи, и то у случајевима када је обвезник који доставља извештај пошиљалац средстава која су предмет трансакције. Ова рубрика попуњава се само у случајевима када се ради о извештају о сумњивој трансакцији,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12.1. (Организациона јединица у којој је извршена или захтевана трансакција) уписују се подаци о организационој јединици код обвезника који доставља извештај,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((а) Назив) уписује се назив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((б) Адреса) уписује се адреса (улица и број) организационе јединице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((в) Место) уписује се место у коме се налази организациона јединица у којој је трансакција извршена или била захтевана.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((г) Тип организационе јединице) уписује се тип организационе јединице у којој је трансакција извршена или била захтевана и то: централа, експозитура, радна јединица, агенција или други тип организационе јединице.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12.2. (Налогодавац трансакције) уписују се подаци о физичком лицу, предузетнику или правном лицу које је налогодавац трансакције,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налогодавац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12.2.1. (Овлашћено лице налогодавца) уписују се подаци о овлашћеном лицу налогодавца ако, у његово име или за његов рачун, трансакцију врши овлашћено лице,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 уписује се име и презиме овлашћеног лица које у име или за рачун налогодавца врши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12.2.2. (Лице по чијем налогу налогодавац врши трансакцију) уписују се подаци о лицу за кога налогодавац врши трансакцију, ако такво лице постоји и обвезник располаже тим податком,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по чијем налогу налогодавац врши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12.3. (Корисник трансакције) уписују се подаци о физичком лицу, предузетнику или правном лицу које је корисник трансакције, ако такво лице постоји и познато је обвезнику,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корисник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12.3.1. (Крајњи корисник трансакције) уписују се подаци о физичком лицу, предузетнику или правном лицу на чији рачун су средства која су предмет трансакције пренета по налогу корисника трансакције,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крајњи корисник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12.4.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12.5. (Евиденциони број трансакције) уписује се евиденциони број трансакције код обвезника који води рачун налогодавца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12.6. (Референца банке налогодавца) уписује се ознака банке у којој се води рачун примаоца средстава која су предмет трансакције, у SWIFT систему – (</w:t>
      </w:r>
      <w:r w:rsidRPr="00D059FE">
        <w:rPr>
          <w:rFonts w:ascii="Arial" w:hAnsi="Arial" w:cs="Arial"/>
          <w:i/>
          <w:noProof w:val="0"/>
          <w:color w:val="000000"/>
          <w:sz w:val="22"/>
          <w:szCs w:val="22"/>
          <w:lang w:val="en-US"/>
        </w:rPr>
        <w:t>Bank</w:t>
      </w:r>
      <w:r w:rsidRPr="00D059FE">
        <w:rPr>
          <w:rFonts w:ascii="Arial" w:hAnsi="Arial" w:cs="Arial"/>
          <w:noProof w:val="0"/>
          <w:color w:val="000000"/>
          <w:sz w:val="22"/>
          <w:szCs w:val="22"/>
          <w:lang w:val="en-US"/>
        </w:rPr>
        <w:t xml:space="preserve"> </w:t>
      </w:r>
      <w:r w:rsidRPr="00D059FE">
        <w:rPr>
          <w:rFonts w:ascii="Arial" w:hAnsi="Arial" w:cs="Arial"/>
          <w:i/>
          <w:noProof w:val="0"/>
          <w:color w:val="000000"/>
          <w:sz w:val="22"/>
          <w:szCs w:val="22"/>
          <w:lang w:val="en-US"/>
        </w:rPr>
        <w:t>Identifier Code</w:t>
      </w:r>
      <w:r w:rsidRPr="00D059FE">
        <w:rPr>
          <w:rFonts w:ascii="Arial" w:hAnsi="Arial" w:cs="Arial"/>
          <w:noProof w:val="0"/>
          <w:color w:val="000000"/>
          <w:sz w:val="22"/>
          <w:szCs w:val="22"/>
          <w:lang w:val="en-US"/>
        </w:rPr>
        <w:t xml:space="preserve"> (BIC)).</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12.7.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пријема налога за плаћање,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12.8.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пријема налога за плаћање,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12.9. (Рачун задужења) уписује се број рачуна налогодавца тј. рачуна са кога су средства трансферисана.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12.10. (Рачун одобрења) уписује се број рачуна који је одобрен за износ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12.11. (Шифра плаћања) уписује се шифра плаћања из Одлуке о облику, садржини и начину коришћења образаца платних налога за извршење платних трансакција у динарима („Службени гласник РС”, бр. 55/15, 78/15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12.12. (Сврха трансакције) уписује се сврха трансакције, и то: промет робе и услуга – међуфазна потрошња, промет робе и услуга, плаћање по судским решењима, зараде и друга примања запослених, зараде по другим основама, позајмица оснивача за ликвидност, повраћај позајмице за ликвидност, закупнине, остали пласмани, инвестиције у објекте и опрему, инвестиције – остало, друге трансакције или друга сврха, ако сврха трансакције која се пријављује није напред наведена.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12.13.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трансакције изражен у две децимале.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13 – Трансакција трговања хартијама од вредности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13.1.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13.2. (Датум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датум када је трансакција извршена,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датум када је трансакција захтевана,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13.3. (Време вршења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извршена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трансакција није извршена, из било ког разлога, уписује се време када је трансакција захтевана,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13.4. (Врста хартије од вредности) уписују се подаци о врсти хартије од вредности која је предмет тровања,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су предмет трговања акције попуњава се рубрика а) 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су предмет трговања обвезнице попуњава се рубрика б) Обвезнице.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су предмет трговања друге хартије од вредности попуњава се рубрика в) Остало, а у поделу уз ову рубрику уписује се врста хартије од вредности која је предмет трговања.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13.5. (Издавалац хартије од вредности) уписују се подаци о издаваоцу хартије од вредности која је предмет тровања,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Република Србија попуњава се рубрика а) Република Србија.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Народна банка Србије попуњава се рубрика б) Народна банка Србије.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јединица локалне самоуправе попуњава се рубрика в) Локална самоуправа.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привредно друштво попуњава се рубрика г) Привредно друштво.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други субјект попуњава се рубрика д) Остало, а у поделу уз ову рубрику уписује се назив издаваоца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13.6. (ISIN број) уписује се идентификациони број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13.7. (CFI Код) уписује се класификациони број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13.8. (Број налога или уговора) уписује се број налога странке или уговора на основу кога се реализује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13.9. (Начин трговања)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трговање хартијама од вредности извршено на берзанском организованом тржишту попуњава се рубрика а) Берзанско трговање.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трговање хартијама од вредности извршено на ванберзанском организованом тржишту попуњава се рубрика б) Ванберзанско трговање.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13.10. (Покриће трансакције)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трговање хартијама од вредности извршено преко наменског рачуна попуњава се рубрика а) Преко наменског рачуна.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трговање хартијама од вредности нема финансијско покриће попуњава се рубрика б) Нема финансијског покрића.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13.11. (Број наменског рачуна) уписује се број наменског рачуна на коме је обезбеђено финансијско покриће у трговању са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13.12 (Банка продавца) уписује се пун назив банке код које је продавац хартије од вредности отворио наменски рачун за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13.13. (Ознака валуте и износ) састоји се од две поделе и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продавац хартија од вредности приходовао од продаје тих хартија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новца који је уплаћен продавцу.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13.14. (Банка купца) уписује се назив банке код које је купац хартија од вредности отворио наменски рачун за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13.15.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у којој је купац хартија од вредности обезбедио покриће на наменском рачуну за куповину хартија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новца који је положен или уплаћен на наменски рачун.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13.16. (Шифра основа) уписује се шифра 295 ако се ради о продаји акција, шифра 296 ако се ради о куповини акција, шифра 297 ако се ради о продаји обвезница, шифра 298 ако се ради о куповини обвезница, шифра 299 ако се ради о продаји осталих хартија од вредности или шифра 300 ако се ради о куповини осталих хартија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13.17. (Купац хартије од вредности) уписују се подаци о физичком лицу, предузетнику или правном лицу које је купац хартије од вредности,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купац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13.18. (Продавац хартије од вредности) уписују се подаци о физичком лицу, предузетнику или правном лицу које је продавац хартије од вредности,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продавац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13.19. (Посредник у трговању)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13.19.1. (Матични број) уписује се матични број брокерско дилерског друштва или овлашћене банке за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13.19.2. (Назив) уписује се пословно име брокерско дилерског друштва или овлашћене банке за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14 – Трансакција преноса – прекњижавања хартија од вредности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14.1.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14.2. (Датум прекњижавања у Централном регистру ХОВ) уписује се датум када је Централни регистар хартија од вредности извршио (одобрио) пренос-прекњижавање хартија од вредности,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14.3. (Време извршења трансакције) уписује се време када је трансакција извршена,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14.4. (Врста хартије од вредности) уписују се подаци о врсти хартије од вредности која се преноси на стицаоца,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на стицаоца преносе акције попуњава се рубрика а) 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на стицаоца преносе обвезнице попуњава се рубрика б) Обвезнице.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на стицаоца преносе друге хартије од вредности попуњава се рубрика в) Остало, а у поделу уз ову рубрику уписује се врста хартије од вредности која се преноси на стицаоца.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14.5. (Издавалац хартије од вредности) уписују се подаци о издаваоцу хартије од вредности која се преноси на стицаоца, и то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Република Србија попуњава се рубрика а) Република Србија.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Народна банка Србије попуњава се рубрика б) Народна банка Србије.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јединица локалне самоуправе попуњава се рубрика в) Локална самоуправа.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привредно друштво попуњава се рубрика г) Привредно друштво.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издавалац хартије од вредности други субјект попуњава се рубрика д) Остало, а у поделу уз ову рубрику уписује се назив издаваоца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14.6. (ISIN број) уписује се идентификациони број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14.7. (CFI Код) уписује се класификациони број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14.8. (Износ трансакције у динарима) уписује се вредност хартија од вредности које су предмет трансакције, изражена у динарима, и то: тржишна вредност на дан прекњижавања ако се ради о хартијама од вредности којима се трговало на организованом тржишту, односно њихова номинална вредност ако хартије од вредности нису биле предмет трговања.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14.9. (Шифра основа) уписује се трансакциони код (шифра) који утврђује Централни регистар, депо и клиринг хартија од вредности за трансакцију која се пријављује.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14.10. (Преносиоци хартије од вредности) уписују се подаци о физичком лицу, предузетнику или правном лицу преносиоцу хартије од вредности,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преносилац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14.11. (Стицалац хартије од вредности) уписују се подаци о физичком лицу, предузетнику или правном лицу стицаоцу хартије од вредности,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које је стицалац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14.12. (Посредник у трговању)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14.12.1. (Матични број) уписује се матични број брокерско дилерског друштва или овлашћене банке за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14.12.2. (Назив) уписује се пословно име брокерско дилерског друштва или овлашћене банке за трговање хартијама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15 – Трансакција уплате премије животног осигурања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15.1.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15.2. (Број полисе) уписује се број полисе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15.3. (Начин плаћања)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животног осигурања врши у новцу попуњава се рубрика а) Новац.</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животног осигурања врши на основу продаје или залоге хартија од вредности попуњава се рубрика б) Хартије од вредности.</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15.4. (Шифра основа) уписује се шифра 260 за уплату премије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15.5. (Датум закључења уговора) уписује се датум закључења уговора о животном осигурању,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15.6. (Датум извршења уговора) уписује се датум уплате премије на основу закљученог уговора о животном осигурању,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15.7. (Време извршења трансакције) уписује се време уплате премије на основу закљученог уговора о животном осигурању,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15.8. (Банка) уписује се пуно пословно име банке у којој је извршена уплата премије животног осигурања која се пријављује.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15.9. (Врста премије)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врши једнократно попуњава се рубрика а) Једнократна премија.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врши у месечним ануитетима попуњава се рубрика б) Месечна премија.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врши квартално попуњава се рубрика в) Квартална премија.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врши полугодишње попуњава се рубрика г) Полугодишња премија.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се уплата премије врши годишње попуњава се рубрика д) Годишња премија.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15.10. (Трајање осигурања у годинама) уписује се број година трајања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15.11.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уплаћена премија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уплаћене премије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15.12. (Уговарачи осигурања) уписују се подаци о уговарачима осигурања,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лица/предузетничке радње уговарача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15.13. (Осигураници) уписују се подаци о осигураницима,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односно назив осигураника.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15.14. (Корисници) уписују се подаци о корисницима осигурања,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 – корисника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16 – Трансакција исплате накнаде животног осигурања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16.1.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16.2. (Број полисе) уписује се број полисе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16.3. (Шифра основа) уписује се шифра 160 за исплату накнаде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16.4. (Датум закључења уговора) уписује се датум закључења уговора о живoтном осигурању,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16.5. (Датум извршења уговора) уписује се датум исплате накнаде животног осигурања на основу закљученог уговора о животном осигурању,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16.6. (Време извршења трансакције) уписује се време исплате накнаде животног осигурања на основу закљученог уговора о животном осигурању, и то: чч.мм.</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16.7. (Разлог за исплату)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разлог за исплату накнаде настанак осигураног случаја попуњава се рубрика а) Осигурани случај.</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разлог за исплату накнаде раскид уговора попуњава се рубрика б) Раскид уговора.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разлог за исплату накнаде истек уговора попуњава се рубрика в) Истек уговора.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16.8.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исплаћена накнада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исплаћене накнаде животног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16.9. (Банка у којој се врши исплата) уписује се пословно име банке у којој је извршена исплата накнаде осигуранику и корисницима по основу уговора о животном осигурању.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16.10. (Корисници исплате) уписују се подаци о корисницима осигурања, и то:</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(Редни број) уписује се редни број под којим је лице евидентирано као учесник у трансакцијама у рубрици 2.1. (Учесници у трансакцијама).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поделу (Име и презиме/Назив) уписује се име и презиме физичког лица или предузетника, односно пословно име правног лица – корисника осигурања.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17 – Подаци о трансакцији попуњава се у онолико примерака колико је потребно да се наведу све трансакције које су предмет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17.1. (Трансакција је већ извршена)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већ извршена попуњава се рубрика а) Да.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Ако је трансакција захтевана али, из било ког разлога, није извршена попуњава се рубрика б) Не.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17.2. (Евиденциони број трансакције) уписује се евиденциони број трансакције, односно број уговора, налога или другог правног основа за извршење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17.3. (Датум вршења трансакције) уписује се датум извршења трансакције, и то: дд.мм.гггг.</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Рубрике 17.4. (Број рачуна) и 17.5. (Банка) попуњавају се уколико је трансакција обављена преко рачуна.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17.6. ( Сврха трансакције) уписује се сврха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17.7. (Ознака валуте и износ)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прву поделу уписује се словна ознака за валуту из Упутства за спровођење Одлуке о условима и начину обављања платног промета са иностранством („Службени гласник РС”, бр. 24/07, 31/07, 41/07, 3/08, 61/08, 120/08, 38/10, 92/11, 62/13, 51/15, 111/15 и 82/17) у којој је исплаћена трансакција.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другу поделу уписује се износ трансакције.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Део 18 – Подаци о обвезнику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18.1. (Назив обвезника) уписује се пословно име обвезника који пријављује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18.1.1. (Седиште) уписује се адреса седишта обвезника који пријављује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18.1.2. (Матични број) уписује се матични број обвезника који пријављује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18.1.3. (ПИБ) уписује се ПИБ обвезника који пријављује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Рубрика 18.2. (Овлашћено лице) попуњава се на следећи начин: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18.2.1. (Име и презиме) уписује се име и презиме овлашћеног лица код обвезника који пријављује трансакцију.</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18.2.2. (ЈМБГ или датум рођења) уписује се ЈМБГ овлашћеног лица код обвезника које је држављанин Републике Србије или датум рођења овлашћеног лица које је страни држављанин.</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18.2.3. (Број телефона) уписује се број телефона овлашћеног лица.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18.2.4. (Потпис овлашћеног лица) потписује се овлашћено лице.</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noProof w:val="0"/>
          <w:color w:val="000000"/>
          <w:sz w:val="22"/>
          <w:szCs w:val="22"/>
          <w:lang w:val="en-US"/>
        </w:rPr>
        <w:t>У рубрику 18.3. (Датум достављања извештаја) уписује се датум достављања извештаја.</w: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19" o:spid="_x0000_i1041" type="#_x0000_t75" style="width:451.5pt;height:321.75pt;visibility:visible;mso-wrap-style:square">
            <v:imagedata r:id="rId25"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0" o:spid="_x0000_i1040" type="#_x0000_t75" style="width:451.5pt;height:321.75pt;visibility:visible;mso-wrap-style:square">
            <v:imagedata r:id="rId26"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1" o:spid="_x0000_i1039" type="#_x0000_t75" style="width:451.5pt;height:321.75pt;visibility:visible;mso-wrap-style:square">
            <v:imagedata r:id="rId27"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2" o:spid="_x0000_i1038" type="#_x0000_t75" style="width:451.5pt;height:321.75pt;visibility:visible;mso-wrap-style:square">
            <v:imagedata r:id="rId28"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3" o:spid="_x0000_i1037" type="#_x0000_t75" style="width:451.5pt;height:321.75pt;visibility:visible;mso-wrap-style:square">
            <v:imagedata r:id="rId29"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4" o:spid="_x0000_i1036" type="#_x0000_t75" style="width:451.5pt;height:321.75pt;visibility:visible;mso-wrap-style:square">
            <v:imagedata r:id="rId30"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5" o:spid="_x0000_i1035" type="#_x0000_t75" style="width:451.5pt;height:321.75pt;visibility:visible;mso-wrap-style:square">
            <v:imagedata r:id="rId31"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6" o:spid="_x0000_i1034" type="#_x0000_t75" style="width:451.5pt;height:321.75pt;visibility:visible;mso-wrap-style:square">
            <v:imagedata r:id="rId32"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7" o:spid="_x0000_i1033" type="#_x0000_t75" style="width:451.5pt;height:321.75pt;visibility:visible;mso-wrap-style:square">
            <v:imagedata r:id="rId33"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8" o:spid="_x0000_i1032" type="#_x0000_t75" style="width:451.5pt;height:321.75pt;visibility:visible;mso-wrap-style:square">
            <v:imagedata r:id="rId34"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29" o:spid="_x0000_i1031" type="#_x0000_t75" style="width:451.5pt;height:321.75pt;visibility:visible;mso-wrap-style:square">
            <v:imagedata r:id="rId35"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30" o:spid="_x0000_i1030" type="#_x0000_t75" style="width:451.5pt;height:321.75pt;visibility:visible;mso-wrap-style:square">
            <v:imagedata r:id="rId36"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31" o:spid="_x0000_i1029" type="#_x0000_t75" style="width:451.5pt;height:321.75pt;visibility:visible;mso-wrap-style:square">
            <v:imagedata r:id="rId37" o:title=""/>
          </v:shape>
        </w:pict>
      </w:r>
    </w:p>
    <w:p w:rsidR="00D059FE" w:rsidRPr="00D059FE" w:rsidRDefault="00D059FE" w:rsidP="00D059FE">
      <w:pPr>
        <w:spacing w:after="150" w:line="276" w:lineRule="auto"/>
        <w:contextualSpacing w:val="0"/>
        <w:rPr>
          <w:rFonts w:ascii="Arial" w:hAnsi="Arial" w:cs="Arial"/>
          <w:noProof w:val="0"/>
          <w:sz w:val="22"/>
          <w:szCs w:val="22"/>
          <w:lang w:val="en-US"/>
        </w:rPr>
      </w:pPr>
      <w:r w:rsidRPr="00D059FE">
        <w:rPr>
          <w:rFonts w:ascii="Arial" w:hAnsi="Arial" w:cs="Arial"/>
          <w:sz w:val="22"/>
          <w:szCs w:val="22"/>
          <w:lang w:eastAsia="sr-Latn-RS"/>
        </w:rPr>
        <w:pict>
          <v:shape id="Picture 32" o:spid="_x0000_i1028" type="#_x0000_t75" style="width:451.5pt;height:321.75pt;visibility:visible;mso-wrap-style:square">
            <v:imagedata r:id="rId38" o:title=""/>
          </v:shape>
        </w:pict>
      </w:r>
    </w:p>
    <w:p w:rsidR="00D059FE" w:rsidRPr="00D059FE" w:rsidRDefault="00D059FE" w:rsidP="00497C37">
      <w:pPr>
        <w:rPr>
          <w:rFonts w:ascii="Arial" w:hAnsi="Arial" w:cs="Arial"/>
        </w:rPr>
      </w:pPr>
    </w:p>
    <w:sectPr w:rsidR="00D059FE" w:rsidRPr="00D059FE" w:rsidSect="000A612A">
      <w:footerReference w:type="default" r:id="rId39"/>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C48" w:rsidRDefault="00756C48" w:rsidP="000A612A">
      <w:r>
        <w:separator/>
      </w:r>
    </w:p>
  </w:endnote>
  <w:endnote w:type="continuationSeparator" w:id="0">
    <w:p w:rsidR="00756C48" w:rsidRDefault="00756C48"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7C" w:rsidRPr="00803C7C" w:rsidRDefault="00803C7C">
    <w:pPr>
      <w:pStyle w:val="Footer"/>
      <w:jc w:val="center"/>
      <w:rPr>
        <w:caps/>
        <w:color w:val="5B9BD5"/>
      </w:rPr>
    </w:pPr>
    <w:r w:rsidRPr="00803C7C">
      <w:rPr>
        <w:caps/>
        <w:noProof w:val="0"/>
        <w:color w:val="5B9BD5"/>
      </w:rPr>
      <w:fldChar w:fldCharType="begin"/>
    </w:r>
    <w:r w:rsidRPr="00803C7C">
      <w:rPr>
        <w:caps/>
        <w:color w:val="5B9BD5"/>
      </w:rPr>
      <w:instrText xml:space="preserve"> PAGE   \* MERGEFORMAT </w:instrText>
    </w:r>
    <w:r w:rsidRPr="00803C7C">
      <w:rPr>
        <w:caps/>
        <w:noProof w:val="0"/>
        <w:color w:val="5B9BD5"/>
      </w:rPr>
      <w:fldChar w:fldCharType="separate"/>
    </w:r>
    <w:r w:rsidR="00756C48">
      <w:rPr>
        <w:caps/>
        <w:color w:val="5B9BD5"/>
      </w:rPr>
      <w:t>1</w:t>
    </w:r>
    <w:r w:rsidRPr="00803C7C">
      <w:rPr>
        <w:caps/>
        <w:color w:val="5B9BD5"/>
      </w:rPr>
      <w:fldChar w:fldCharType="end"/>
    </w:r>
  </w:p>
  <w:p w:rsidR="00803C7C" w:rsidRDefault="0080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C48" w:rsidRDefault="00756C48" w:rsidP="000A612A">
      <w:r>
        <w:separator/>
      </w:r>
    </w:p>
  </w:footnote>
  <w:footnote w:type="continuationSeparator" w:id="0">
    <w:p w:rsidR="00756C48" w:rsidRDefault="00756C48"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0C1964"/>
    <w:rsid w:val="00117892"/>
    <w:rsid w:val="001331A0"/>
    <w:rsid w:val="00142F96"/>
    <w:rsid w:val="00241920"/>
    <w:rsid w:val="00251BA3"/>
    <w:rsid w:val="00463BF1"/>
    <w:rsid w:val="00497C37"/>
    <w:rsid w:val="004F2FB1"/>
    <w:rsid w:val="004F5E00"/>
    <w:rsid w:val="004F7DDF"/>
    <w:rsid w:val="005605E1"/>
    <w:rsid w:val="00697723"/>
    <w:rsid w:val="006D6D76"/>
    <w:rsid w:val="00756C48"/>
    <w:rsid w:val="0078520C"/>
    <w:rsid w:val="00803C7C"/>
    <w:rsid w:val="00806E64"/>
    <w:rsid w:val="00874FF0"/>
    <w:rsid w:val="008C2F05"/>
    <w:rsid w:val="00944E3C"/>
    <w:rsid w:val="009C791D"/>
    <w:rsid w:val="00A31AF5"/>
    <w:rsid w:val="00A52CF3"/>
    <w:rsid w:val="00C90019"/>
    <w:rsid w:val="00CD4F9D"/>
    <w:rsid w:val="00D059FE"/>
    <w:rsid w:val="00D13326"/>
    <w:rsid w:val="00E15A07"/>
    <w:rsid w:val="00F54207"/>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EBC13"/>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paragraph" w:styleId="Heading5">
    <w:name w:val="heading 5"/>
    <w:basedOn w:val="Normal"/>
    <w:link w:val="Heading5Char"/>
    <w:uiPriority w:val="9"/>
    <w:qFormat/>
    <w:rsid w:val="00697723"/>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697723"/>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4F7DDF"/>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4F7DDF"/>
  </w:style>
  <w:style w:type="character" w:customStyle="1" w:styleId="italik1">
    <w:name w:val="italik1"/>
    <w:rsid w:val="004F7DDF"/>
    <w:rPr>
      <w:i/>
      <w:iCs/>
    </w:rPr>
  </w:style>
  <w:style w:type="paragraph" w:customStyle="1" w:styleId="f">
    <w:name w:val="f"/>
    <w:basedOn w:val="Normal"/>
    <w:rsid w:val="004F7DDF"/>
    <w:pPr>
      <w:ind w:firstLine="480"/>
      <w:contextualSpacing w:val="0"/>
    </w:pPr>
    <w:rPr>
      <w:rFonts w:ascii="Verdana" w:eastAsia="Times New Roman" w:hAnsi="Verdana" w:cs="Arial"/>
      <w:noProof w:val="0"/>
      <w:sz w:val="20"/>
      <w:szCs w:val="20"/>
      <w:lang w:eastAsia="sr-Latn-RS"/>
    </w:rPr>
  </w:style>
  <w:style w:type="paragraph" w:customStyle="1" w:styleId="f1">
    <w:name w:val="f1"/>
    <w:basedOn w:val="Normal"/>
    <w:rsid w:val="004F7DDF"/>
    <w:pPr>
      <w:contextualSpacing w:val="0"/>
    </w:pPr>
    <w:rPr>
      <w:rFonts w:ascii="Verdana" w:eastAsia="Times New Roman" w:hAnsi="Verdana" w:cs="Arial"/>
      <w:i/>
      <w:iCs/>
      <w:noProof w:val="0"/>
      <w:sz w:val="20"/>
      <w:szCs w:val="20"/>
      <w:lang w:eastAsia="sr-Latn-RS"/>
    </w:rPr>
  </w:style>
  <w:style w:type="paragraph" w:customStyle="1" w:styleId="clan1">
    <w:name w:val="clan1"/>
    <w:basedOn w:val="Normal"/>
    <w:rsid w:val="004F7DDF"/>
    <w:pPr>
      <w:spacing w:before="330" w:after="120"/>
      <w:ind w:firstLine="480"/>
      <w:contextualSpacing w:val="0"/>
      <w:jc w:val="center"/>
    </w:pPr>
    <w:rPr>
      <w:rFonts w:ascii="Verdana" w:eastAsia="Times New Roman" w:hAnsi="Verdana" w:cs="Arial"/>
      <w:noProof w:val="0"/>
      <w:sz w:val="20"/>
      <w:szCs w:val="20"/>
      <w:lang w:eastAsia="sr-Latn-RS"/>
    </w:rPr>
  </w:style>
  <w:style w:type="character" w:customStyle="1" w:styleId="italik">
    <w:name w:val="italik"/>
    <w:rsid w:val="004F7DDF"/>
  </w:style>
  <w:style w:type="numbering" w:customStyle="1" w:styleId="NoList1">
    <w:name w:val="No List1"/>
    <w:next w:val="NoList"/>
    <w:uiPriority w:val="99"/>
    <w:semiHidden/>
    <w:unhideWhenUsed/>
    <w:rsid w:val="00803C7C"/>
  </w:style>
  <w:style w:type="table" w:customStyle="1" w:styleId="TableGrid1">
    <w:name w:val="Table Grid1"/>
    <w:basedOn w:val="TableNormal"/>
    <w:next w:val="TableGrid"/>
    <w:uiPriority w:val="59"/>
    <w:rsid w:val="00803C7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8520C"/>
  </w:style>
  <w:style w:type="table" w:customStyle="1" w:styleId="TableGrid2">
    <w:name w:val="Table Grid2"/>
    <w:basedOn w:val="TableNormal"/>
    <w:next w:val="TableGrid"/>
    <w:uiPriority w:val="59"/>
    <w:rsid w:val="0078520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rsid w:val="00697723"/>
    <w:rPr>
      <w:rFonts w:ascii="inherit" w:eastAsia="Times New Roman" w:hAnsi="inherit" w:cs="Arial"/>
      <w:sz w:val="21"/>
      <w:szCs w:val="21"/>
    </w:rPr>
  </w:style>
  <w:style w:type="character" w:customStyle="1" w:styleId="Heading6Char">
    <w:name w:val="Heading 6 Char"/>
    <w:link w:val="Heading6"/>
    <w:uiPriority w:val="9"/>
    <w:rsid w:val="00697723"/>
    <w:rPr>
      <w:rFonts w:ascii="inherit" w:eastAsia="Times New Roman" w:hAnsi="inherit" w:cs="Arial"/>
      <w:sz w:val="15"/>
      <w:szCs w:val="15"/>
    </w:rPr>
  </w:style>
  <w:style w:type="numbering" w:customStyle="1" w:styleId="NoList3">
    <w:name w:val="No List3"/>
    <w:next w:val="NoList"/>
    <w:uiPriority w:val="99"/>
    <w:semiHidden/>
    <w:unhideWhenUsed/>
    <w:rsid w:val="00697723"/>
  </w:style>
  <w:style w:type="character" w:styleId="FollowedHyperlink">
    <w:name w:val="FollowedHyperlink"/>
    <w:uiPriority w:val="99"/>
    <w:semiHidden/>
    <w:unhideWhenUsed/>
    <w:rsid w:val="00697723"/>
    <w:rPr>
      <w:strike w:val="0"/>
      <w:dstrike w:val="0"/>
      <w:color w:val="337AB7"/>
      <w:u w:val="none"/>
      <w:effect w:val="none"/>
    </w:rPr>
  </w:style>
  <w:style w:type="paragraph" w:customStyle="1" w:styleId="msonormal0">
    <w:name w:val="msonormal"/>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ukaz">
    <w:name w:val="ukaz"/>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grupa">
    <w:name w:val="broj-grupa"/>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697723"/>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697723"/>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697723"/>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stilovimml">
    <w:name w:val="stilovi_mml"/>
    <w:basedOn w:val="Normal"/>
    <w:rsid w:val="00697723"/>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akt">
    <w:name w:val="akt"/>
    <w:basedOn w:val="Normal"/>
    <w:rsid w:val="00697723"/>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697723"/>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697723"/>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697723"/>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697723"/>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697723"/>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697723"/>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697723"/>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697723"/>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697723"/>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697723"/>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697723"/>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697723"/>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697723"/>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697723"/>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697723"/>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697723"/>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697723"/>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697723"/>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697723"/>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697723"/>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697723"/>
    <w:pPr>
      <w:spacing w:before="270" w:after="270"/>
      <w:ind w:firstLine="480"/>
      <w:contextualSpacing w:val="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697723"/>
    <w:pPr>
      <w:ind w:firstLine="480"/>
      <w:contextualSpacing w:val="0"/>
    </w:pPr>
    <w:rPr>
      <w:rFonts w:ascii="Verdana" w:eastAsia="Times New Roman" w:hAnsi="Verdana" w:cs="Arial"/>
      <w:b/>
      <w:bCs/>
      <w:noProof w:val="0"/>
      <w:sz w:val="20"/>
      <w:szCs w:val="20"/>
      <w:lang w:eastAsia="sr-Latn-RS"/>
    </w:rPr>
  </w:style>
  <w:style w:type="paragraph" w:customStyle="1" w:styleId="sentenca">
    <w:name w:val="sentenca"/>
    <w:basedOn w:val="Normal"/>
    <w:rsid w:val="00697723"/>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697723"/>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697723"/>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697723"/>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697723"/>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697723"/>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697723"/>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697723"/>
    <w:pPr>
      <w:pBdr>
        <w:top w:val="single" w:sz="6" w:space="2" w:color="auto"/>
        <w:left w:val="single" w:sz="6" w:space="4" w:color="auto"/>
        <w:bottom w:val="single" w:sz="6" w:space="2" w:color="auto"/>
        <w:right w:val="single" w:sz="6" w:space="4" w:color="auto"/>
      </w:pBdr>
      <w:spacing w:before="75" w:after="150"/>
      <w:ind w:right="75" w:firstLine="480"/>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697723"/>
    <w:pPr>
      <w:pBdr>
        <w:top w:val="single" w:sz="6" w:space="2" w:color="auto"/>
        <w:left w:val="single" w:sz="6" w:space="4" w:color="auto"/>
        <w:bottom w:val="single" w:sz="6" w:space="2" w:color="auto"/>
        <w:right w:val="single" w:sz="6" w:space="4" w:color="auto"/>
      </w:pBdr>
      <w:spacing w:before="600" w:after="150"/>
      <w:ind w:right="75" w:firstLine="480"/>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697723"/>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697723"/>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697723"/>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697723"/>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697723"/>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697723"/>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697723"/>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697723"/>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697723"/>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697723"/>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697723"/>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697723"/>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697723"/>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697723"/>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697723"/>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697723"/>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697723"/>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697723"/>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697723"/>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697723"/>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697723"/>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697723"/>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697723"/>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697723"/>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697723"/>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697723"/>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697723"/>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697723"/>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697723"/>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697723"/>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697723"/>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697723"/>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697723"/>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697723"/>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697723"/>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697723"/>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697723"/>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697723"/>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697723"/>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697723"/>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697723"/>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697723"/>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697723"/>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697723"/>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697723"/>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697723"/>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697723"/>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697723"/>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697723"/>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697723"/>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697723"/>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697723"/>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697723"/>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law-size-0">
    <w:name w:val="law-size-0"/>
    <w:basedOn w:val="Normal"/>
    <w:rsid w:val="00697723"/>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697723"/>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697723"/>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697723"/>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697723"/>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697723"/>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697723"/>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697723"/>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697723"/>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697723"/>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697723"/>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697723"/>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697723"/>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697723"/>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697723"/>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links">
    <w:name w:val="links"/>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
    <w:name w:val="unitalic-change"/>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697723"/>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links1">
    <w:name w:val="links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697723"/>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697723"/>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697723"/>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697723"/>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697723"/>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697723"/>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697723"/>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697723"/>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697723"/>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697723"/>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697723"/>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697723"/>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697723"/>
    <w:pPr>
      <w:spacing w:after="150"/>
      <w:ind w:firstLine="480"/>
      <w:contextualSpacing w:val="0"/>
    </w:pPr>
    <w:rPr>
      <w:rFonts w:ascii="Verdana" w:eastAsia="Times New Roman" w:hAnsi="Verdana" w:cs="Arial"/>
      <w:noProof w:val="0"/>
      <w:sz w:val="20"/>
      <w:szCs w:val="20"/>
      <w:lang w:eastAsia="sr-Latn-RS"/>
    </w:rPr>
  </w:style>
  <w:style w:type="paragraph" w:customStyle="1" w:styleId="odluka-zakon1">
    <w:name w:val="odluka-zakon1"/>
    <w:basedOn w:val="Normal"/>
    <w:rsid w:val="00697723"/>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697723"/>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697723"/>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697723"/>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v2-underline2">
    <w:name w:val="v2-underline2"/>
    <w:basedOn w:val="Normal"/>
    <w:rsid w:val="00697723"/>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bold1">
    <w:name w:val="bold1"/>
    <w:basedOn w:val="Normal"/>
    <w:rsid w:val="00697723"/>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697723"/>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697723"/>
    <w:pPr>
      <w:spacing w:after="150"/>
      <w:ind w:firstLine="480"/>
      <w:contextualSpacing w:val="0"/>
    </w:pPr>
    <w:rPr>
      <w:rFonts w:ascii="Verdana" w:eastAsia="Times New Roman" w:hAnsi="Verdana" w:cs="Arial"/>
      <w:noProof w:val="0"/>
      <w:sz w:val="20"/>
      <w:szCs w:val="20"/>
      <w:lang w:eastAsia="sr-Latn-RS"/>
    </w:rPr>
  </w:style>
  <w:style w:type="character" w:customStyle="1" w:styleId="superscript1">
    <w:name w:val="superscript1"/>
    <w:rsid w:val="00697723"/>
    <w:rPr>
      <w:sz w:val="20"/>
      <w:szCs w:val="20"/>
      <w:vertAlign w:val="superscript"/>
    </w:rPr>
  </w:style>
  <w:style w:type="character" w:customStyle="1" w:styleId="subscript1">
    <w:name w:val="subscript1"/>
    <w:rsid w:val="00697723"/>
    <w:rPr>
      <w:sz w:val="20"/>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3983">
      <w:bodyDiv w:val="1"/>
      <w:marLeft w:val="0"/>
      <w:marRight w:val="0"/>
      <w:marTop w:val="0"/>
      <w:marBottom w:val="0"/>
      <w:divBdr>
        <w:top w:val="none" w:sz="0" w:space="0" w:color="auto"/>
        <w:left w:val="none" w:sz="0" w:space="0" w:color="auto"/>
        <w:bottom w:val="none" w:sz="0" w:space="0" w:color="auto"/>
        <w:right w:val="none" w:sz="0" w:space="0" w:color="auto"/>
      </w:divBdr>
      <w:divsChild>
        <w:div w:id="551429559">
          <w:marLeft w:val="0"/>
          <w:marRight w:val="0"/>
          <w:marTop w:val="0"/>
          <w:marBottom w:val="0"/>
          <w:divBdr>
            <w:top w:val="none" w:sz="0" w:space="0" w:color="auto"/>
            <w:left w:val="none" w:sz="0" w:space="0" w:color="auto"/>
            <w:bottom w:val="none" w:sz="0" w:space="0" w:color="auto"/>
            <w:right w:val="none" w:sz="0" w:space="0" w:color="auto"/>
          </w:divBdr>
          <w:divsChild>
            <w:div w:id="372924557">
              <w:marLeft w:val="0"/>
              <w:marRight w:val="0"/>
              <w:marTop w:val="0"/>
              <w:marBottom w:val="0"/>
              <w:divBdr>
                <w:top w:val="none" w:sz="0" w:space="0" w:color="auto"/>
                <w:left w:val="none" w:sz="0" w:space="0" w:color="auto"/>
                <w:bottom w:val="none" w:sz="0" w:space="0" w:color="auto"/>
                <w:right w:val="none" w:sz="0" w:space="0" w:color="auto"/>
              </w:divBdr>
            </w:div>
          </w:divsChild>
        </w:div>
        <w:div w:id="2026248647">
          <w:marLeft w:val="0"/>
          <w:marRight w:val="0"/>
          <w:marTop w:val="0"/>
          <w:marBottom w:val="0"/>
          <w:divBdr>
            <w:top w:val="none" w:sz="0" w:space="0" w:color="auto"/>
            <w:left w:val="none" w:sz="0" w:space="0" w:color="auto"/>
            <w:bottom w:val="none" w:sz="0" w:space="0" w:color="auto"/>
            <w:right w:val="none" w:sz="0" w:space="0" w:color="auto"/>
          </w:divBdr>
          <w:divsChild>
            <w:div w:id="2026664894">
              <w:marLeft w:val="0"/>
              <w:marRight w:val="0"/>
              <w:marTop w:val="0"/>
              <w:marBottom w:val="0"/>
              <w:divBdr>
                <w:top w:val="none" w:sz="0" w:space="0" w:color="auto"/>
                <w:left w:val="none" w:sz="0" w:space="0" w:color="auto"/>
                <w:bottom w:val="none" w:sz="0" w:space="0" w:color="auto"/>
                <w:right w:val="none" w:sz="0" w:space="0" w:color="auto"/>
              </w:divBdr>
            </w:div>
          </w:divsChild>
        </w:div>
        <w:div w:id="762531431">
          <w:marLeft w:val="0"/>
          <w:marRight w:val="0"/>
          <w:marTop w:val="0"/>
          <w:marBottom w:val="0"/>
          <w:divBdr>
            <w:top w:val="none" w:sz="0" w:space="0" w:color="auto"/>
            <w:left w:val="none" w:sz="0" w:space="0" w:color="auto"/>
            <w:bottom w:val="none" w:sz="0" w:space="0" w:color="auto"/>
            <w:right w:val="none" w:sz="0" w:space="0" w:color="auto"/>
          </w:divBdr>
          <w:divsChild>
            <w:div w:id="1849176646">
              <w:marLeft w:val="0"/>
              <w:marRight w:val="0"/>
              <w:marTop w:val="0"/>
              <w:marBottom w:val="0"/>
              <w:divBdr>
                <w:top w:val="none" w:sz="0" w:space="0" w:color="auto"/>
                <w:left w:val="none" w:sz="0" w:space="0" w:color="auto"/>
                <w:bottom w:val="none" w:sz="0" w:space="0" w:color="auto"/>
                <w:right w:val="none" w:sz="0" w:space="0" w:color="auto"/>
              </w:divBdr>
            </w:div>
          </w:divsChild>
        </w:div>
        <w:div w:id="1382553437">
          <w:marLeft w:val="0"/>
          <w:marRight w:val="0"/>
          <w:marTop w:val="0"/>
          <w:marBottom w:val="0"/>
          <w:divBdr>
            <w:top w:val="none" w:sz="0" w:space="0" w:color="auto"/>
            <w:left w:val="none" w:sz="0" w:space="0" w:color="auto"/>
            <w:bottom w:val="none" w:sz="0" w:space="0" w:color="auto"/>
            <w:right w:val="none" w:sz="0" w:space="0" w:color="auto"/>
          </w:divBdr>
          <w:divsChild>
            <w:div w:id="1615937589">
              <w:marLeft w:val="0"/>
              <w:marRight w:val="0"/>
              <w:marTop w:val="0"/>
              <w:marBottom w:val="0"/>
              <w:divBdr>
                <w:top w:val="none" w:sz="0" w:space="0" w:color="auto"/>
                <w:left w:val="none" w:sz="0" w:space="0" w:color="auto"/>
                <w:bottom w:val="none" w:sz="0" w:space="0" w:color="auto"/>
                <w:right w:val="none" w:sz="0" w:space="0" w:color="auto"/>
              </w:divBdr>
            </w:div>
          </w:divsChild>
        </w:div>
        <w:div w:id="1130172564">
          <w:marLeft w:val="0"/>
          <w:marRight w:val="0"/>
          <w:marTop w:val="0"/>
          <w:marBottom w:val="0"/>
          <w:divBdr>
            <w:top w:val="none" w:sz="0" w:space="0" w:color="auto"/>
            <w:left w:val="none" w:sz="0" w:space="0" w:color="auto"/>
            <w:bottom w:val="none" w:sz="0" w:space="0" w:color="auto"/>
            <w:right w:val="none" w:sz="0" w:space="0" w:color="auto"/>
          </w:divBdr>
          <w:divsChild>
            <w:div w:id="15955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2525">
      <w:bodyDiv w:val="1"/>
      <w:marLeft w:val="0"/>
      <w:marRight w:val="0"/>
      <w:marTop w:val="0"/>
      <w:marBottom w:val="0"/>
      <w:divBdr>
        <w:top w:val="none" w:sz="0" w:space="0" w:color="auto"/>
        <w:left w:val="none" w:sz="0" w:space="0" w:color="auto"/>
        <w:bottom w:val="none" w:sz="0" w:space="0" w:color="auto"/>
        <w:right w:val="none" w:sz="0" w:space="0" w:color="auto"/>
      </w:divBdr>
    </w:div>
    <w:div w:id="304940986">
      <w:bodyDiv w:val="1"/>
      <w:marLeft w:val="0"/>
      <w:marRight w:val="0"/>
      <w:marTop w:val="0"/>
      <w:marBottom w:val="0"/>
      <w:divBdr>
        <w:top w:val="none" w:sz="0" w:space="0" w:color="auto"/>
        <w:left w:val="none" w:sz="0" w:space="0" w:color="auto"/>
        <w:bottom w:val="none" w:sz="0" w:space="0" w:color="auto"/>
        <w:right w:val="none" w:sz="0" w:space="0" w:color="auto"/>
      </w:divBdr>
    </w:div>
    <w:div w:id="586618343">
      <w:bodyDiv w:val="1"/>
      <w:marLeft w:val="0"/>
      <w:marRight w:val="0"/>
      <w:marTop w:val="0"/>
      <w:marBottom w:val="0"/>
      <w:divBdr>
        <w:top w:val="none" w:sz="0" w:space="0" w:color="auto"/>
        <w:left w:val="none" w:sz="0" w:space="0" w:color="auto"/>
        <w:bottom w:val="none" w:sz="0" w:space="0" w:color="auto"/>
        <w:right w:val="none" w:sz="0" w:space="0" w:color="auto"/>
      </w:divBdr>
      <w:divsChild>
        <w:div w:id="169226307">
          <w:marLeft w:val="0"/>
          <w:marRight w:val="0"/>
          <w:marTop w:val="0"/>
          <w:marBottom w:val="0"/>
          <w:divBdr>
            <w:top w:val="none" w:sz="0" w:space="0" w:color="auto"/>
            <w:left w:val="none" w:sz="0" w:space="0" w:color="auto"/>
            <w:bottom w:val="none" w:sz="0" w:space="0" w:color="auto"/>
            <w:right w:val="none" w:sz="0" w:space="0" w:color="auto"/>
          </w:divBdr>
        </w:div>
      </w:divsChild>
    </w:div>
    <w:div w:id="839809915">
      <w:bodyDiv w:val="1"/>
      <w:marLeft w:val="0"/>
      <w:marRight w:val="0"/>
      <w:marTop w:val="0"/>
      <w:marBottom w:val="0"/>
      <w:divBdr>
        <w:top w:val="none" w:sz="0" w:space="0" w:color="auto"/>
        <w:left w:val="none" w:sz="0" w:space="0" w:color="auto"/>
        <w:bottom w:val="none" w:sz="0" w:space="0" w:color="auto"/>
        <w:right w:val="none" w:sz="0" w:space="0" w:color="auto"/>
      </w:divBdr>
    </w:div>
    <w:div w:id="1893156262">
      <w:bodyDiv w:val="1"/>
      <w:marLeft w:val="0"/>
      <w:marRight w:val="0"/>
      <w:marTop w:val="0"/>
      <w:marBottom w:val="0"/>
      <w:divBdr>
        <w:top w:val="none" w:sz="0" w:space="0" w:color="auto"/>
        <w:left w:val="none" w:sz="0" w:space="0" w:color="auto"/>
        <w:bottom w:val="none" w:sz="0" w:space="0" w:color="auto"/>
        <w:right w:val="none" w:sz="0" w:space="0" w:color="auto"/>
      </w:divBdr>
      <w:divsChild>
        <w:div w:id="1452356124">
          <w:marLeft w:val="0"/>
          <w:marRight w:val="0"/>
          <w:marTop w:val="0"/>
          <w:marBottom w:val="0"/>
          <w:divBdr>
            <w:top w:val="none" w:sz="0" w:space="0" w:color="auto"/>
            <w:left w:val="none" w:sz="0" w:space="0" w:color="auto"/>
            <w:bottom w:val="none" w:sz="0" w:space="0" w:color="auto"/>
            <w:right w:val="none" w:sz="0" w:space="0" w:color="auto"/>
          </w:divBdr>
          <w:divsChild>
            <w:div w:id="991638456">
              <w:marLeft w:val="0"/>
              <w:marRight w:val="0"/>
              <w:marTop w:val="0"/>
              <w:marBottom w:val="0"/>
              <w:divBdr>
                <w:top w:val="none" w:sz="0" w:space="0" w:color="auto"/>
                <w:left w:val="none" w:sz="0" w:space="0" w:color="auto"/>
                <w:bottom w:val="none" w:sz="0" w:space="0" w:color="auto"/>
                <w:right w:val="none" w:sz="0" w:space="0" w:color="auto"/>
              </w:divBdr>
              <w:divsChild>
                <w:div w:id="2025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0022">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48</Pages>
  <Words>10194</Words>
  <Characters>58107</Characters>
  <Application>Microsoft Office Word</Application>
  <DocSecurity>0</DocSecurity>
  <Lines>484</Lines>
  <Paragraphs>136</Paragraphs>
  <ScaleCrop>false</ScaleCrop>
  <Company/>
  <LinksUpToDate>false</LinksUpToDate>
  <CharactersWithSpaces>68165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2024-01-08T19:13:00Z</dcterms:created>
  <dcterms:modified xsi:type="dcterms:W3CDTF">2024-01-08T19:16:00Z</dcterms:modified>
</cp:coreProperties>
</file>