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2"/>
        <w:gridCol w:w="10051"/>
      </w:tblGrid>
      <w:tr w:rsidR="00D13326" w:rsidRPr="00CA5443" w:rsidTr="00497C37">
        <w:trPr>
          <w:tblCellSpacing w:w="15" w:type="dxa"/>
        </w:trPr>
        <w:tc>
          <w:tcPr>
            <w:tcW w:w="441" w:type="pct"/>
            <w:shd w:val="clear" w:color="auto" w:fill="A41E1C"/>
            <w:vAlign w:val="center"/>
          </w:tcPr>
          <w:p w:rsidR="00D13326" w:rsidRPr="00CA5443" w:rsidRDefault="00F50A43" w:rsidP="0041610E">
            <w:pPr>
              <w:pStyle w:val="NASLOVZLATO"/>
              <w:rPr>
                <w:sz w:val="20"/>
                <w:szCs w:val="20"/>
              </w:rPr>
            </w:pPr>
            <w:r w:rsidRPr="00CA5443">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CA5443" w:rsidRPr="00CA5443" w:rsidRDefault="00CA5443" w:rsidP="00CA5443">
            <w:pPr>
              <w:pStyle w:val="NASLOVBELO"/>
              <w:spacing w:line="360" w:lineRule="auto"/>
              <w:rPr>
                <w:color w:val="FFE599"/>
                <w:lang w:val="sr-Cyrl-RS"/>
              </w:rPr>
            </w:pPr>
            <w:r w:rsidRPr="00CA5443">
              <w:rPr>
                <w:color w:val="FFE599"/>
              </w:rPr>
              <w:t>УРЕДБА</w:t>
            </w:r>
          </w:p>
          <w:p w:rsidR="006D6D76" w:rsidRPr="00CA5443" w:rsidRDefault="00CA5443" w:rsidP="00CA5443">
            <w:pPr>
              <w:pStyle w:val="NASLOVBELO"/>
            </w:pPr>
            <w:r w:rsidRPr="00CA5443">
              <w:t>О</w:t>
            </w:r>
            <w:r w:rsidRPr="00CA5443">
              <w:t xml:space="preserve"> </w:t>
            </w:r>
            <w:r w:rsidRPr="00CA5443">
              <w:t>ИЗМЕНАМА</w:t>
            </w:r>
            <w:r w:rsidRPr="00CA5443">
              <w:t xml:space="preserve"> </w:t>
            </w:r>
            <w:r w:rsidRPr="00CA5443">
              <w:t>И</w:t>
            </w:r>
            <w:r w:rsidRPr="00CA5443">
              <w:t xml:space="preserve"> </w:t>
            </w:r>
            <w:r w:rsidRPr="00CA5443">
              <w:t>ДОПУНАМА</w:t>
            </w:r>
            <w:r w:rsidRPr="00CA5443">
              <w:t xml:space="preserve"> </w:t>
            </w:r>
            <w:r w:rsidRPr="00CA5443">
              <w:t>УРЕДБЕ</w:t>
            </w:r>
            <w:r w:rsidRPr="00CA5443">
              <w:t xml:space="preserve"> </w:t>
            </w:r>
            <w:r w:rsidRPr="00CA5443">
              <w:t>О</w:t>
            </w:r>
            <w:r w:rsidRPr="00CA5443">
              <w:t xml:space="preserve"> </w:t>
            </w:r>
            <w:r w:rsidRPr="00CA5443">
              <w:t>УТВРЂИВАЊУ</w:t>
            </w:r>
            <w:r w:rsidRPr="00CA5443">
              <w:t xml:space="preserve"> </w:t>
            </w:r>
            <w:r w:rsidRPr="00CA5443">
              <w:t>ПРОСТОРНОГ</w:t>
            </w:r>
            <w:r w:rsidRPr="00CA5443">
              <w:t xml:space="preserve"> </w:t>
            </w:r>
            <w:r w:rsidRPr="00CA5443">
              <w:t>ПЛАНА</w:t>
            </w:r>
            <w:r w:rsidRPr="00CA5443">
              <w:t xml:space="preserve"> </w:t>
            </w:r>
            <w:r w:rsidRPr="00CA5443">
              <w:t>ПОДРУЧЈА</w:t>
            </w:r>
            <w:r w:rsidRPr="00CA5443">
              <w:t xml:space="preserve"> </w:t>
            </w:r>
            <w:r w:rsidRPr="00CA5443">
              <w:t>ПОСЕБНЕ</w:t>
            </w:r>
            <w:r w:rsidRPr="00CA5443">
              <w:t xml:space="preserve"> </w:t>
            </w:r>
            <w:r w:rsidRPr="00CA5443">
              <w:t>НАМЕНЕ</w:t>
            </w:r>
            <w:r w:rsidRPr="00CA5443">
              <w:t xml:space="preserve"> </w:t>
            </w:r>
            <w:r w:rsidRPr="00CA5443">
              <w:t>ИНФРАСТРУКТУРНОГ</w:t>
            </w:r>
            <w:r w:rsidRPr="00CA5443">
              <w:t xml:space="preserve"> </w:t>
            </w:r>
            <w:r w:rsidRPr="00CA5443">
              <w:t>КОРИДОРА</w:t>
            </w:r>
            <w:r w:rsidRPr="00CA5443">
              <w:t xml:space="preserve"> </w:t>
            </w:r>
            <w:r w:rsidRPr="00CA5443">
              <w:t>ДРЖАВНОГ</w:t>
            </w:r>
            <w:r w:rsidRPr="00CA5443">
              <w:t xml:space="preserve"> </w:t>
            </w:r>
            <w:r w:rsidRPr="00CA5443">
              <w:t>ПУТА</w:t>
            </w:r>
            <w:r w:rsidRPr="00CA5443">
              <w:t xml:space="preserve"> </w:t>
            </w:r>
            <w:r w:rsidRPr="00CA5443">
              <w:t>I</w:t>
            </w:r>
            <w:r w:rsidRPr="00CA5443">
              <w:t xml:space="preserve"> </w:t>
            </w:r>
            <w:r w:rsidRPr="00CA5443">
              <w:t>РЕДА</w:t>
            </w:r>
            <w:r w:rsidRPr="00CA5443">
              <w:t xml:space="preserve"> </w:t>
            </w:r>
            <w:r w:rsidRPr="00CA5443">
              <w:t>БР</w:t>
            </w:r>
            <w:r w:rsidRPr="00CA5443">
              <w:t xml:space="preserve">. 21 </w:t>
            </w:r>
            <w:r w:rsidRPr="00CA5443">
              <w:t>НОВИ</w:t>
            </w:r>
            <w:r w:rsidRPr="00CA5443">
              <w:t xml:space="preserve"> </w:t>
            </w:r>
            <w:r w:rsidRPr="00CA5443">
              <w:t>САД</w:t>
            </w:r>
            <w:r w:rsidRPr="00CA5443">
              <w:t xml:space="preserve"> - </w:t>
            </w:r>
            <w:r w:rsidRPr="00CA5443">
              <w:t>РУМА</w:t>
            </w:r>
            <w:r w:rsidRPr="00CA5443">
              <w:t xml:space="preserve"> - </w:t>
            </w:r>
            <w:r w:rsidRPr="00CA5443">
              <w:t>ШАБАЦ</w:t>
            </w:r>
            <w:r w:rsidRPr="00CA5443">
              <w:t xml:space="preserve"> </w:t>
            </w:r>
            <w:r w:rsidRPr="00CA5443">
              <w:t>И</w:t>
            </w:r>
            <w:r w:rsidRPr="00CA5443">
              <w:t xml:space="preserve"> </w:t>
            </w:r>
            <w:r w:rsidRPr="00CA5443">
              <w:t>ДРЖАВНОГ</w:t>
            </w:r>
            <w:r w:rsidRPr="00CA5443">
              <w:t xml:space="preserve"> </w:t>
            </w:r>
            <w:r w:rsidRPr="00CA5443">
              <w:t>ПУТА</w:t>
            </w:r>
            <w:r w:rsidRPr="00CA5443">
              <w:t xml:space="preserve"> </w:t>
            </w:r>
            <w:r w:rsidRPr="00CA5443">
              <w:rPr>
                <w:lang w:val="en-US"/>
              </w:rPr>
              <w:t>I</w:t>
            </w:r>
            <w:r w:rsidRPr="00CA5443">
              <w:t xml:space="preserve"> </w:t>
            </w:r>
            <w:r w:rsidRPr="00CA5443">
              <w:t>РЕДА</w:t>
            </w:r>
            <w:r w:rsidRPr="00CA5443">
              <w:t xml:space="preserve"> </w:t>
            </w:r>
            <w:r w:rsidRPr="00CA5443">
              <w:t>БР</w:t>
            </w:r>
            <w:r w:rsidRPr="00CA5443">
              <w:t xml:space="preserve">. 19 </w:t>
            </w:r>
            <w:r w:rsidRPr="00CA5443">
              <w:t>ШАБАЦ</w:t>
            </w:r>
            <w:r w:rsidRPr="00CA5443">
              <w:t>-</w:t>
            </w:r>
            <w:r w:rsidRPr="00CA5443">
              <w:t>ЛОЗНИЦА</w:t>
            </w:r>
          </w:p>
          <w:p w:rsidR="00D13326" w:rsidRPr="00CA5443" w:rsidRDefault="005732F1" w:rsidP="00CA5443">
            <w:pPr>
              <w:pStyle w:val="podnaslovpropisa"/>
              <w:rPr>
                <w:sz w:val="18"/>
                <w:szCs w:val="18"/>
              </w:rPr>
            </w:pPr>
            <w:r w:rsidRPr="00CA5443">
              <w:rPr>
                <w:sz w:val="18"/>
                <w:szCs w:val="18"/>
              </w:rPr>
              <w:t>("Сл. гласник РС", бр. 8</w:t>
            </w:r>
            <w:r w:rsidR="00CA5443" w:rsidRPr="00CA5443">
              <w:rPr>
                <w:sz w:val="18"/>
                <w:szCs w:val="18"/>
                <w:lang w:val="sr-Cyrl-RS"/>
              </w:rPr>
              <w:t>8</w:t>
            </w:r>
            <w:r w:rsidRPr="00CA5443">
              <w:rPr>
                <w:sz w:val="18"/>
                <w:szCs w:val="18"/>
              </w:rPr>
              <w:t>/2020)</w:t>
            </w:r>
          </w:p>
        </w:tc>
      </w:tr>
    </w:tbl>
    <w:p w:rsidR="00497C37" w:rsidRPr="00CA5443" w:rsidRDefault="00497C37" w:rsidP="00497C37">
      <w:pPr>
        <w:rPr>
          <w:rFonts w:ascii="Arial" w:hAnsi="Arial" w:cs="Arial"/>
        </w:rPr>
      </w:pP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 основу члана 35. став 2. Закона о планирању и изградњи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72/09, 81/09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исправка, 64/10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24/11, 121/12, 42/13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50/13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98/13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132/14, 145/14, 83/18, 31/19, 37/19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и 9/20) и члана 42. став 1. Закона о Влади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55/05, 71/05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исправка, 101/07, 65/08, 16/11, 68/12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72/12, 7/14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44/14 и 30/18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r>
        <w:rPr>
          <w:rFonts w:ascii="Arial" w:hAnsi="Arial" w:cs="Arial"/>
          <w:noProof w:val="0"/>
          <w:color w:val="000000"/>
          <w:sz w:val="22"/>
          <w:szCs w:val="22"/>
          <w:lang w:val="en-US"/>
        </w:rPr>
        <w:t xml:space="preserve"> </w:t>
      </w:r>
      <w:r w:rsidRPr="00CA5443">
        <w:rPr>
          <w:rFonts w:ascii="Arial" w:hAnsi="Arial" w:cs="Arial"/>
          <w:noProof w:val="0"/>
          <w:color w:val="000000"/>
          <w:sz w:val="22"/>
          <w:szCs w:val="22"/>
          <w:lang w:val="en-US"/>
        </w:rPr>
        <w:t>Влада доноси</w:t>
      </w:r>
    </w:p>
    <w:p w:rsidR="00CA5443" w:rsidRPr="00CA5443" w:rsidRDefault="00CA5443" w:rsidP="00CA5443">
      <w:pPr>
        <w:spacing w:after="225" w:line="276" w:lineRule="auto"/>
        <w:contextualSpacing w:val="0"/>
        <w:jc w:val="center"/>
        <w:rPr>
          <w:rFonts w:ascii="Arial" w:hAnsi="Arial" w:cs="Arial"/>
          <w:noProof w:val="0"/>
          <w:sz w:val="22"/>
          <w:szCs w:val="22"/>
          <w:lang w:val="en-US"/>
        </w:rPr>
      </w:pPr>
      <w:r w:rsidRPr="00CA5443">
        <w:rPr>
          <w:rFonts w:ascii="Arial" w:hAnsi="Arial" w:cs="Arial"/>
          <w:b/>
          <w:noProof w:val="0"/>
          <w:color w:val="000000"/>
          <w:sz w:val="22"/>
          <w:szCs w:val="22"/>
          <w:lang w:val="en-US"/>
        </w:rPr>
        <w:t>УРЕДБУ</w:t>
      </w:r>
    </w:p>
    <w:p w:rsidR="00CA5443" w:rsidRPr="00CA5443" w:rsidRDefault="00CA5443" w:rsidP="00CA5443">
      <w:pPr>
        <w:spacing w:after="150" w:line="276" w:lineRule="auto"/>
        <w:contextualSpacing w:val="0"/>
        <w:jc w:val="center"/>
        <w:rPr>
          <w:rFonts w:ascii="Arial" w:hAnsi="Arial" w:cs="Arial"/>
          <w:noProof w:val="0"/>
          <w:sz w:val="22"/>
          <w:szCs w:val="22"/>
          <w:lang w:val="en-US"/>
        </w:rPr>
      </w:pPr>
      <w:r w:rsidRPr="00CA5443">
        <w:rPr>
          <w:rFonts w:ascii="Arial" w:hAnsi="Arial" w:cs="Arial"/>
          <w:b/>
          <w:noProof w:val="0"/>
          <w:color w:val="000000"/>
          <w:sz w:val="22"/>
          <w:szCs w:val="22"/>
          <w:lang w:val="en-US"/>
        </w:rPr>
        <w:t xml:space="preserve">О ИЗМЕНАМА И ДОПУНАМА УРЕДБЕ О УТВРЂИВАЊУ ПРОСТОРНОГ ПЛАНА ПОДРУЧЈА ПОСЕБНЕ НАМЕНЕ ИНФРАСТРУКТУРНОГ КОРИДОРА ДРЖАВНОГ ПУТА I РЕДА БР. 21 НОВИ САД </w:t>
      </w:r>
      <w:r>
        <w:rPr>
          <w:rFonts w:ascii="Arial" w:hAnsi="Arial" w:cs="Arial"/>
          <w:b/>
          <w:noProof w:val="0"/>
          <w:color w:val="000000"/>
          <w:sz w:val="22"/>
          <w:szCs w:val="22"/>
          <w:lang w:val="en-US"/>
        </w:rPr>
        <w:t>-</w:t>
      </w:r>
      <w:r w:rsidRPr="00CA5443">
        <w:rPr>
          <w:rFonts w:ascii="Arial" w:hAnsi="Arial" w:cs="Arial"/>
          <w:b/>
          <w:noProof w:val="0"/>
          <w:color w:val="000000"/>
          <w:sz w:val="22"/>
          <w:szCs w:val="22"/>
          <w:lang w:val="en-US"/>
        </w:rPr>
        <w:t xml:space="preserve"> РУМА </w:t>
      </w:r>
      <w:r>
        <w:rPr>
          <w:rFonts w:ascii="Arial" w:hAnsi="Arial" w:cs="Arial"/>
          <w:b/>
          <w:noProof w:val="0"/>
          <w:color w:val="000000"/>
          <w:sz w:val="22"/>
          <w:szCs w:val="22"/>
          <w:lang w:val="en-US"/>
        </w:rPr>
        <w:t>-</w:t>
      </w:r>
      <w:r w:rsidRPr="00CA5443">
        <w:rPr>
          <w:rFonts w:ascii="Arial" w:hAnsi="Arial" w:cs="Arial"/>
          <w:b/>
          <w:noProof w:val="0"/>
          <w:color w:val="000000"/>
          <w:sz w:val="22"/>
          <w:szCs w:val="22"/>
          <w:lang w:val="en-US"/>
        </w:rPr>
        <w:t xml:space="preserve"> ШАБАЦ И ДРЖАВНОГ </w:t>
      </w:r>
      <w:bookmarkStart w:id="0" w:name="_GoBack"/>
      <w:bookmarkEnd w:id="0"/>
      <w:r w:rsidRPr="00CA5443">
        <w:rPr>
          <w:rFonts w:ascii="Arial" w:hAnsi="Arial" w:cs="Arial"/>
          <w:b/>
          <w:noProof w:val="0"/>
          <w:color w:val="000000"/>
          <w:sz w:val="22"/>
          <w:szCs w:val="22"/>
          <w:lang w:val="en-US"/>
        </w:rPr>
        <w:t>ПУТА I РЕДА БР. 19 ШАБАЦ</w:t>
      </w:r>
      <w:r>
        <w:rPr>
          <w:rFonts w:ascii="Arial" w:hAnsi="Arial" w:cs="Arial"/>
          <w:b/>
          <w:noProof w:val="0"/>
          <w:color w:val="000000"/>
          <w:sz w:val="22"/>
          <w:szCs w:val="22"/>
          <w:lang w:val="en-US"/>
        </w:rPr>
        <w:t>-</w:t>
      </w:r>
      <w:r w:rsidRPr="00CA5443">
        <w:rPr>
          <w:rFonts w:ascii="Arial" w:hAnsi="Arial" w:cs="Arial"/>
          <w:b/>
          <w:noProof w:val="0"/>
          <w:color w:val="000000"/>
          <w:sz w:val="22"/>
          <w:szCs w:val="22"/>
          <w:lang w:val="en-US"/>
        </w:rPr>
        <w:t>ЛОЗНИЦА</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Члан 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У Уредби о утврђивању Просторног плана подручја посебне намене инфраструктурног коридора државног пута I реда бр.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и државног пута I реда бр. 19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40/11 и 39/19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даљем тексту: Просторни план), у члану 3. после става 4. додају се ст. 5. и 6, који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Просторни план, у делу који се односи на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садржи графичке приказе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рефералне карте израђене у размери 1:100.000, и то: Реферална карта 1а. Намена површина; Реферална карта 2а. Мрежа насеља и инфраструктурни системи; Реферална карта 3а. Природни ресурси, заштита животне средине и природних и културних добара; Реферална карта 4а. Карта спровођења и графичке прилоге са детаљном разрадом трасе на деоници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израђене у размери 1:5.000, и то: Реферална карта 4а.1. Детаљна разрада Просторног плана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деоница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синхрон план и Реферална карта 4а.2. Детаљна разрада Просторног плана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деоница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ситуационо решење са регулацијом путног земљишта.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Графичке приказе из става 5. овог члана, израђене у осам примерака, својим потписом оверава овлашћено лице органа надлежног за послове просторног планирања.</w:t>
      </w:r>
      <w:r>
        <w:rPr>
          <w:rFonts w:ascii="Arial" w:hAnsi="Arial" w:cs="Arial"/>
          <w:noProof w:val="0"/>
          <w:color w:val="000000"/>
          <w:sz w:val="22"/>
          <w:szCs w:val="22"/>
          <w:lang w:val="en-US"/>
        </w:rPr>
        <w:t>"</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Члан 2.</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члану 5. став 2.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Графички прикази из члана 3. ст. 5. и 6. ове уредбе, чувају се трајно у Влади (један комплет), Министарству грађевинарства, саобраћаја и инфраструктуре (два комплета), Покрајинском секретаријату за урбанизам и заштиту животне средине (два комплета), граду Сремска Митровица (један комплет), општини Рума (један комплет) и Јавном предузећу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Путеви Србије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(један комплет).</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Додаје се став 3,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Документациона основа планског документа израђује се у два примерка и трајно се чува у министарству надлежном за послове просторног планирања.</w:t>
      </w:r>
      <w:r>
        <w:rPr>
          <w:rFonts w:ascii="Arial" w:hAnsi="Arial" w:cs="Arial"/>
          <w:noProof w:val="0"/>
          <w:color w:val="000000"/>
          <w:sz w:val="22"/>
          <w:szCs w:val="22"/>
          <w:lang w:val="en-US"/>
        </w:rPr>
        <w:t>"</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Члан 3.</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lastRenderedPageBreak/>
        <w:t>У Просторном плану, УВОДНЕ НАПОМЕНЕ мењају се 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УВОДНЕ НАПОМЕНЕ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Просторни план је урађен у складу са Одлуком о изради Просторног плана подручја посебне намене инфраструктурног коридора државног пута I реда бр.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 државног пута I реда бр. 19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број 45/09), Одлуком о изради измена и допуна Просторног плана подручја посебне намене инфраструктурног коридора државног пута I реда бр.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 државног пута I реда бр. 19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број 88/17) и Одлуком о изради измена и допуна Просторног плана подручја посебне намене инфраструктурног коридора државног пута I реда број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 државног пута I реда број 19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38/19).</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Просторно планска документација за предметни инфраструктурни коридор, урађена је у складу са прописима који посредно или непосредно регулишу ову област, а то су:</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планирању и изградњи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72/09, 81/09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исправка, 64/10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24/11, 121/12, 42/13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50/13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98/13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132/14, 145/14, 83/18, 31/19, 37/19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и 9/20);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Просторном плану Републике Србије од 2010. до 2020. године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88/10);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регионалном развоју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51/09, 30/10 и 89/15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локалној самоуправи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129/07, 83/14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101/16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и 47/18);</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утврђивању надлежности Аутономне покрајине Војводине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99/09, 67/12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и 18/20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пољопривредном земљишту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62/06, 65/08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41/09, 112/15, 80/17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пољопривреди и руралном развоју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41/09, 10/13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и 101/16);</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сточарству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41/09, 93/12 и 14/16);</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водама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30/10, 93/12, 101/16, 95/18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путевима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41/18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железници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41/18);</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ваздушном саобраћају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73/10, 57/11, 93/12, 45/15, 66/15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83/18 и 9/20);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заштити животне средине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135/04, 36/09, 36/09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72/09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43/11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14/16, 76/18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стратешкој процени утицаја на животну средину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135/04 и 88/10);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процени утицаја на животну средину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135/04 и 36/09);</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интегрисаном спречавању и контроли загађивања животне средине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135/04 и 25/15);</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заштити ваздуха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36/09 и 10/13);</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заштити од буке у животној средини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36/09 и 88/10);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здравственој заштити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25/19);</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управљању отпадом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36/09, 88/10, 14/16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експропријацији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број 53/95,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СРЈ</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16/01</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СУС 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23/01, 20/09, 55/13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 и 106/16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аутентично тумачење);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граничној контроли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24/18);</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рударству и геолошким истраживањима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101/15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електронским комуникацијама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44/10, 60/13 УС, 62/14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туризму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17/19);</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енергетици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145/14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цевоводном транспорту гасовитих и течних угљоводоника и дистрибуцији гасовитих угљоводоника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104/09);</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културним добрима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71/94, 52/11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52/11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99/11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и 6/20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шумама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30/10, 93/12, 89/15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заштити природе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36/09, 88/10, 91/10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исправка, 14/16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националним парковима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84/15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дивљачи и ловству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18/10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заштити и одрживом коришћењу рибљег фонда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128/14 и 95/18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смањењу ризика од катастрофа и управљању ванредним ситуацијама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87/18);</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одбрани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116/07, 88/09, 88/09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104/09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10/15 и 36/18);</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заштити од пожара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111/09, 20/15, 87/18, 87/18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 и 87/18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Уредбa о утврђивању водопривредне основе Републике Србије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11/02);</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потврђивању Конвенције о биолошкој разноврсности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Службени лист СРЈ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Међународни уговориˮ, број 11/01 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Службени лист СЦГ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Међународни уговориˮ, број 16/05);</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Закон о потврђивању Конвенције о очувању европске дивље флоре и фауне и природних станишта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Службени лист РС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Међународни уговориˮ, број 102/07);</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као и други законски и подзаконски акти који на директан или индиректан начин регулишу ову област.</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Саставни део документационе основе Просторног плана је и Извештај о стратешкој процени утицаја Просторног плана подручја посебне намене инфраструктурног коридора државног пута I реда бр.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 државног пута I реда бр. 19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Лозница на животну средину, који је урађен у складу са Одлуком о изради Стратешке процене утицаја Просторног плана подручја посебне намене инфраструктурног коридора државног пута I реда бр.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и државног пута I реда бр. 19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Лозница на животну средину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број 17/09) и Одлуком о изради Стратешке процене утицаја измена и допуна Просторног плана подручја посебне намене инфраструктурног коридора државног пута I реда бр.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 државног пута I реда бр. 19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 на животну средину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78/17).</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За припрему Просторног плана коришћен је део техничке документације рађен за потребе Претходне студије оправданости и Генералног пројекта државног пута М-21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у наставку државног пута М-19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Лозница, који су верификовани на Ревизионој комисији за стручну контролу техничке документације надлежног министарства (Извештај о извршеној стручној контроли Претходне студије оправданости и Генералног пројекта државног пута М-21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у наставку државног пута М-19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Лозница број 350-01-00565/2008-10 од 9. јуна 2008. године), као и идејно решење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дефинисано од стране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Института за путеве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паралелно са израдом овог Просторног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изналажење оптималних стратешких опредељења коришћена је релевантна информациона, студијска и техничка документација, као и актуелна планска, урбанистичка и друга документација за ово подручје.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глави I ПОЛАЗНЕ ОСНОВЕ, одељак 1. Обухват и опис граница подручја Просторног плана, са границама заштитног коридора (граница појаса непосредне заштите, границе ширег појаса заштите, границе простора који је у функционалној вези са линијским системом),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 Обухват и опис граница подручја Просторног плана, са границама заштитног коридора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Обухват Просторног плана утврђен је, у складу са законом, као административно и просторно одређена површина за коју је утврђена потреба израде планског документа. Због свеобухватног посматрања простора, и коришћења катастарске општине као извора статистичких и других релевантних података, Одлуком о изради Просторног плана утврђен је обухват Просторног плана у који су укључене територије целих катастарских општина кроз чије подручје пролази коридор. У обухвату Просторног плана налазе се делови осам јединица локалне самоуправе са 44 катастарске општине (табела 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Катастарске општине у обухвату Просторног плана дате су у табели: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Табела 1: Јединице локалне самоуправе и катастарске општине у обухвату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61"/>
        <w:gridCol w:w="1898"/>
        <w:gridCol w:w="8082"/>
      </w:tblGrid>
      <w:tr w:rsidR="00CA5443" w:rsidRPr="00CA5443" w:rsidTr="00B97738">
        <w:trPr>
          <w:trHeight w:val="45"/>
          <w:tblCellSpacing w:w="0" w:type="auto"/>
        </w:trPr>
        <w:tc>
          <w:tcPr>
            <w:tcW w:w="14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 бр.</w:t>
            </w:r>
          </w:p>
        </w:tc>
        <w:tc>
          <w:tcPr>
            <w:tcW w:w="213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Делови града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општине</w:t>
            </w:r>
          </w:p>
        </w:tc>
        <w:tc>
          <w:tcPr>
            <w:tcW w:w="1083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Катастарска општина</w:t>
            </w:r>
          </w:p>
        </w:tc>
      </w:tr>
      <w:tr w:rsidR="00CA5443" w:rsidRPr="00CA5443" w:rsidTr="00B97738">
        <w:trPr>
          <w:trHeight w:val="45"/>
          <w:tblCellSpacing w:w="0" w:type="auto"/>
        </w:trPr>
        <w:tc>
          <w:tcPr>
            <w:tcW w:w="14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w:t>
            </w:r>
          </w:p>
        </w:tc>
        <w:tc>
          <w:tcPr>
            <w:tcW w:w="213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град</w:t>
            </w:r>
          </w:p>
        </w:tc>
        <w:tc>
          <w:tcPr>
            <w:tcW w:w="1083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Нови Сад 3, Сремска Каменица, Каћ, Буковац, Петроварадин</w:t>
            </w:r>
          </w:p>
        </w:tc>
      </w:tr>
      <w:tr w:rsidR="00CA5443" w:rsidRPr="00CA5443" w:rsidTr="00B97738">
        <w:trPr>
          <w:trHeight w:val="45"/>
          <w:tblCellSpacing w:w="0" w:type="auto"/>
        </w:trPr>
        <w:tc>
          <w:tcPr>
            <w:tcW w:w="14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w:t>
            </w:r>
          </w:p>
        </w:tc>
        <w:tc>
          <w:tcPr>
            <w:tcW w:w="213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Сремски Карловци</w:t>
            </w:r>
          </w:p>
        </w:tc>
        <w:tc>
          <w:tcPr>
            <w:tcW w:w="1083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Сремски Карловци</w:t>
            </w:r>
          </w:p>
        </w:tc>
      </w:tr>
      <w:tr w:rsidR="00CA5443" w:rsidRPr="00CA5443" w:rsidTr="00B97738">
        <w:trPr>
          <w:trHeight w:val="45"/>
          <w:tblCellSpacing w:w="0" w:type="auto"/>
        </w:trPr>
        <w:tc>
          <w:tcPr>
            <w:tcW w:w="14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w:t>
            </w:r>
          </w:p>
        </w:tc>
        <w:tc>
          <w:tcPr>
            <w:tcW w:w="213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Ириг</w:t>
            </w:r>
          </w:p>
        </w:tc>
        <w:tc>
          <w:tcPr>
            <w:tcW w:w="1083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Гргетег, Ириг, Нерадин, Ривица</w:t>
            </w:r>
          </w:p>
        </w:tc>
      </w:tr>
      <w:tr w:rsidR="00CA5443" w:rsidRPr="00CA5443" w:rsidTr="00B97738">
        <w:trPr>
          <w:trHeight w:val="45"/>
          <w:tblCellSpacing w:w="0" w:type="auto"/>
        </w:trPr>
        <w:tc>
          <w:tcPr>
            <w:tcW w:w="14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w:t>
            </w:r>
          </w:p>
        </w:tc>
        <w:tc>
          <w:tcPr>
            <w:tcW w:w="213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Рума</w:t>
            </w:r>
          </w:p>
        </w:tc>
        <w:tc>
          <w:tcPr>
            <w:tcW w:w="1083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Рума, Вогањ, Хртковци, Кленак, Платичево</w:t>
            </w:r>
          </w:p>
        </w:tc>
      </w:tr>
      <w:tr w:rsidR="00CA5443" w:rsidRPr="00CA5443" w:rsidTr="00B97738">
        <w:trPr>
          <w:trHeight w:val="45"/>
          <w:tblCellSpacing w:w="0" w:type="auto"/>
        </w:trPr>
        <w:tc>
          <w:tcPr>
            <w:tcW w:w="14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w:t>
            </w:r>
          </w:p>
        </w:tc>
        <w:tc>
          <w:tcPr>
            <w:tcW w:w="213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Сремска Митровица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град</w:t>
            </w:r>
          </w:p>
        </w:tc>
        <w:tc>
          <w:tcPr>
            <w:tcW w:w="1083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Јарак</w:t>
            </w:r>
          </w:p>
        </w:tc>
      </w:tr>
      <w:tr w:rsidR="00CA5443" w:rsidRPr="00CA5443" w:rsidTr="00B97738">
        <w:trPr>
          <w:trHeight w:val="45"/>
          <w:tblCellSpacing w:w="0" w:type="auto"/>
        </w:trPr>
        <w:tc>
          <w:tcPr>
            <w:tcW w:w="14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w:t>
            </w:r>
          </w:p>
        </w:tc>
        <w:tc>
          <w:tcPr>
            <w:tcW w:w="213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град</w:t>
            </w:r>
          </w:p>
        </w:tc>
        <w:tc>
          <w:tcPr>
            <w:tcW w:w="1083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Дуваниште, Змињак, Липолист, Мачвански Причиновић, Петковица, Петловача, Прњавор, Рибари, Слепчевић, Табановић, Штитар, Богосавац, Мајур, Шабац</w:t>
            </w:r>
          </w:p>
        </w:tc>
      </w:tr>
      <w:tr w:rsidR="00CA5443" w:rsidRPr="00CA5443" w:rsidTr="00B97738">
        <w:trPr>
          <w:trHeight w:val="45"/>
          <w:tblCellSpacing w:w="0" w:type="auto"/>
        </w:trPr>
        <w:tc>
          <w:tcPr>
            <w:tcW w:w="14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w:t>
            </w:r>
          </w:p>
        </w:tc>
        <w:tc>
          <w:tcPr>
            <w:tcW w:w="213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Богатић</w:t>
            </w:r>
          </w:p>
        </w:tc>
        <w:tc>
          <w:tcPr>
            <w:tcW w:w="1083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Дубље</w:t>
            </w:r>
          </w:p>
        </w:tc>
      </w:tr>
      <w:tr w:rsidR="00CA5443" w:rsidRPr="00CA5443" w:rsidTr="00B97738">
        <w:trPr>
          <w:trHeight w:val="45"/>
          <w:tblCellSpacing w:w="0" w:type="auto"/>
        </w:trPr>
        <w:tc>
          <w:tcPr>
            <w:tcW w:w="14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w:t>
            </w:r>
          </w:p>
        </w:tc>
        <w:tc>
          <w:tcPr>
            <w:tcW w:w="213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Лозница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град</w:t>
            </w:r>
          </w:p>
        </w:tc>
        <w:tc>
          <w:tcPr>
            <w:tcW w:w="1083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Доњи Добрић, Јелав, Клупци, Козјак, Лешница Град, Лешница Село, Лозница Град, Лозница Село, Ново Село, Руњани, Стража, Чокешина, Шор</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Укупна површина обухвата подручја Просторног плана износи 1392,11 km</w:t>
      </w:r>
      <w:r w:rsidRPr="00CA5443">
        <w:rPr>
          <w:rFonts w:ascii="Arial" w:hAnsi="Arial" w:cs="Arial"/>
          <w:noProof w:val="0"/>
          <w:color w:val="000000"/>
          <w:sz w:val="22"/>
          <w:szCs w:val="22"/>
          <w:vertAlign w:val="superscript"/>
          <w:lang w:val="en-US"/>
        </w:rPr>
        <w:t>2</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Обухват Просторног плана који се односи на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износи 167,05 km</w:t>
      </w:r>
      <w:r w:rsidRPr="00CA5443">
        <w:rPr>
          <w:rFonts w:ascii="Arial" w:hAnsi="Arial" w:cs="Arial"/>
          <w:noProof w:val="0"/>
          <w:color w:val="000000"/>
          <w:sz w:val="22"/>
          <w:szCs w:val="22"/>
          <w:vertAlign w:val="superscript"/>
          <w:lang w:val="en-US"/>
        </w:rPr>
        <w:t>2</w:t>
      </w:r>
      <w:r w:rsidRPr="00CA5443">
        <w:rPr>
          <w:rFonts w:ascii="Arial" w:hAnsi="Arial" w:cs="Arial"/>
          <w:noProof w:val="0"/>
          <w:color w:val="000000"/>
          <w:sz w:val="22"/>
          <w:szCs w:val="22"/>
          <w:lang w:val="en-US"/>
        </w:rPr>
        <w:t>, (део К.О. Рума, целе К.О. Јарак, Хртковци, Платичево и Кленак), а обухват детаљне разраде износи 16,13km</w:t>
      </w:r>
      <w:r w:rsidRPr="00CA5443">
        <w:rPr>
          <w:rFonts w:ascii="Arial" w:hAnsi="Arial" w:cs="Arial"/>
          <w:noProof w:val="0"/>
          <w:color w:val="000000"/>
          <w:sz w:val="22"/>
          <w:szCs w:val="22"/>
          <w:vertAlign w:val="superscript"/>
          <w:lang w:val="en-US"/>
        </w:rPr>
        <w:t>2</w:t>
      </w:r>
      <w:r w:rsidRPr="00CA5443">
        <w:rPr>
          <w:rFonts w:ascii="Arial" w:hAnsi="Arial" w:cs="Arial"/>
          <w:noProof w:val="0"/>
          <w:color w:val="000000"/>
          <w:sz w:val="22"/>
          <w:szCs w:val="22"/>
          <w:lang w:val="en-US"/>
        </w:rPr>
        <w:t>. Ширина коридора детаљне разраде за ову деоницу износи оријентационо 700 m (по 350 m лево и десно од осовине планиране трасе пута).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Преломне тачке границе детаљне разраде плана приказане су на графичком прилогу: Ситуационо решење са регулацијом путног земљишта, у размери Р=1:5.000.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sz w:val="22"/>
          <w:szCs w:val="22"/>
          <w:lang w:eastAsia="sr-Latn-RS"/>
        </w:rPr>
        <w:pict>
          <v:shape id="_x0000_i1047" type="#_x0000_t75" style="width:451.5pt;height:635.25pt;visibility:visible;mso-wrap-style:square">
            <v:imagedata r:id="rId7" o:title=""/>
          </v:shape>
        </w:pic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За потребе функционисања саобраћајног путног правца који је предмет Просторног плана могу се издвојити следеће зоне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појасеви које су прописане Законом о путевима</w:t>
      </w:r>
      <w:r w:rsidRPr="00CA5443">
        <w:rPr>
          <w:rFonts w:ascii="Arial" w:hAnsi="Arial" w:cs="Arial"/>
          <w:noProof w:val="0"/>
          <w:color w:val="000000"/>
          <w:sz w:val="22"/>
          <w:szCs w:val="22"/>
          <w:vertAlign w:val="superscript"/>
          <w:lang w:val="en-US"/>
        </w:rPr>
        <w:t>1</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Зона путног коридора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резервисан простор за потребе изградње и функционисања пута утврђена је за изградњу пута и функционисање саобраћаја на њему. Изградња објеката у зони путног коридора подразумева објекте пута и објекте у функцији саобраћаја на њему, као и објекте инфраструктурних система који се укрштају или паралелно воде у коридору пута. Ширина зоне износи 70,0 m;</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Заштитни појас поред јавног пута је утврђен за обезбеђење заштите од штетног утицаја путног коридора на окружење. Изградња објеката у заштитном појасу није дозвољена осим за објекте који су у функцији пута и саобраћаја на њему. Ширина зоне директно произилази из законске регулативе и износи 40,0 m за деоницу ауто-пута, односно 20,0 m, за остале деонице пута;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Појас контролисане изградње је у функцији путног коридора и његовог несметаног функционисања у простору. Изградња објеката у зони појаса контролисане изградње дозвољена је по селективном принципу уз израду одговарајуће планске документације. Ширина појаса директно произилази из законске регулативе и износи 40,0 m за деоницу ауто-пута, односно 20,0 m, за остале деонице пута;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Подручје којe је у функционалној вези са линијским системом одређено је границом шире зоне (појаса контролисане изградње) и границом обухвата Просторног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Шема путног коридора и граница заштите за деонице кроз грађевинска подручја има могућност формирања и изградње сервисне саобраћајнице у појасу границе непосредне заштите.</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одељку 2. Обавезе, услови и смернице из Просторног плана Републике Србије и других планских и развојних докумената, после назива пододељка 2.1. Обавезе, услови и смернице из планских докумената ширег подручја, додаје се назив тачке, који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2.1.1. Закон о Просторном плану Републике Србије од 2010. до 2020. године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новој тачки 2.1.1. став 1.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Просторни план Републике Србије од 2010. до 2020. године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даљем тексту: ППРС, представља плански документ вишег реда чија се решења разрађују овим просторним планом.</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Додаје се нови став 2,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ППРС, као стратешки документ, дефинисао је основне циљеве и правце просторног развоја Републике Србије. Са аспекта развоја планског и утицаја на гравитационо подручје најважнији циљеви су: унапређење територијалне кохезије, побољшање конкурентности и приступачности, а посебно просторно-функционалне интегрисаности, а изградња предметне деонице државног пута је у функцији остварења ових циљева.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Досадашњи ст. 2</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13. постају ст. 3</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14.</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досадашњег става 14, који постаје став 15, додаје се став 16,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према ППРС важи следеће: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области саобраћајне инфраструктуре</w:t>
      </w:r>
      <w:r w:rsidRPr="00CA5443">
        <w:rPr>
          <w:rFonts w:ascii="Arial" w:hAnsi="Arial" w:cs="Arial"/>
          <w:b/>
          <w:noProof w:val="0"/>
          <w:color w:val="000000"/>
          <w:sz w:val="22"/>
          <w:szCs w:val="22"/>
          <w:lang w:val="en-US"/>
        </w:rPr>
        <w:t>,</w:t>
      </w:r>
      <w:r w:rsidRPr="00CA5443">
        <w:rPr>
          <w:rFonts w:ascii="Arial" w:hAnsi="Arial" w:cs="Arial"/>
          <w:noProof w:val="0"/>
          <w:color w:val="000000"/>
          <w:sz w:val="22"/>
          <w:szCs w:val="22"/>
          <w:lang w:val="en-US"/>
        </w:rPr>
        <w:t xml:space="preserve"> ППРС је утврдио саобраћајне капацитете који се односе на простор у обухвату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оквиру концепта путног (друмског) саобраћаја планиране су одређене активности на следећим главним путним правцима: Државни пут I реда бр. 21 (М-21),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Ириг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Коцељева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Ваљево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Косјерић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Пожега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Ариље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Ивањица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Сјеница, као и Државни пут II реда бр.120 (Р-103), државна граница са Хрватском (гранични прелаз Шид)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Шид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Кузмин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Сремска Митровица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Пећинци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Обреновац, Државни пут II реда бр.314 (Р-106), Ердевик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Бингула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Чалма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Манђелос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Велики Радинци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веза са државним путем 120;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планска решења обухватају активности: а) на путним правцима и путној инфраструктури регионалног (или више регионалног) значаја и могу представљати приоритетну активност у оквиру тих територијалних целина уз сагласност надлежних републичких институција; б) на већ изграђеним деоницама наведених путних праваца биће спроведена рехабилитација и реконструкција, које подразумевају скуп мера (интервенција) у циљу подизања нивоа квалитета саобраћајнице и подизања нивоа саобраћајне услуге, у складу са утврђеним рангом пута;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i/>
          <w:noProof w:val="0"/>
          <w:color w:val="000000"/>
          <w:sz w:val="22"/>
          <w:szCs w:val="22"/>
          <w:lang w:val="en-US"/>
        </w:rPr>
        <w:t>1 Чл. 33, 34, 35. и 36. Закона о путевима (</w:t>
      </w:r>
      <w:r>
        <w:rPr>
          <w:rFonts w:ascii="Arial" w:hAnsi="Arial" w:cs="Arial"/>
          <w:i/>
          <w:noProof w:val="0"/>
          <w:color w:val="000000"/>
          <w:sz w:val="22"/>
          <w:szCs w:val="22"/>
          <w:lang w:val="en-US"/>
        </w:rPr>
        <w:t>"</w:t>
      </w:r>
      <w:r w:rsidRPr="00CA5443">
        <w:rPr>
          <w:rFonts w:ascii="Arial" w:hAnsi="Arial" w:cs="Arial"/>
          <w:i/>
          <w:noProof w:val="0"/>
          <w:color w:val="000000"/>
          <w:sz w:val="22"/>
          <w:szCs w:val="22"/>
          <w:lang w:val="en-US"/>
        </w:rPr>
        <w:t>Службени гласник РС</w:t>
      </w:r>
      <w:r>
        <w:rPr>
          <w:rFonts w:ascii="Arial" w:hAnsi="Arial" w:cs="Arial"/>
          <w:i/>
          <w:noProof w:val="0"/>
          <w:color w:val="000000"/>
          <w:sz w:val="22"/>
          <w:szCs w:val="22"/>
          <w:lang w:val="en-US"/>
        </w:rPr>
        <w:t>"</w:t>
      </w:r>
      <w:r w:rsidRPr="00CA5443">
        <w:rPr>
          <w:rFonts w:ascii="Arial" w:hAnsi="Arial" w:cs="Arial"/>
          <w:i/>
          <w:noProof w:val="0"/>
          <w:color w:val="000000"/>
          <w:sz w:val="22"/>
          <w:szCs w:val="22"/>
          <w:lang w:val="en-US"/>
        </w:rPr>
        <w:t xml:space="preserve">, бр. 41/18 и 95/18 </w:t>
      </w:r>
      <w:r>
        <w:rPr>
          <w:rFonts w:ascii="Arial" w:hAnsi="Arial" w:cs="Arial"/>
          <w:i/>
          <w:noProof w:val="0"/>
          <w:color w:val="000000"/>
          <w:sz w:val="22"/>
          <w:szCs w:val="22"/>
          <w:lang w:val="en-US"/>
        </w:rPr>
        <w:t>-</w:t>
      </w:r>
      <w:r w:rsidRPr="00CA5443">
        <w:rPr>
          <w:rFonts w:ascii="Arial" w:hAnsi="Arial" w:cs="Arial"/>
          <w:i/>
          <w:noProof w:val="0"/>
          <w:color w:val="000000"/>
          <w:sz w:val="22"/>
          <w:szCs w:val="22"/>
          <w:lang w:val="en-US"/>
        </w:rPr>
        <w:t xml:space="preserve"> др. закон).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оквиру концепта развоја железничке мреже Републике Србије на подручју обухвата Просторног плана и његовој контактној зони постоје железничке пруге: а) Е 70 коридор Х: Београд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Стара Пазова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Шид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државна граница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(Товарник), као и б)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Распутница Доња Борина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државна граница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(Зворник Нови);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планира се: а) ревитализација ових пруга (приоритет коридор Х), у циљу повећања доступности овим просторима и б) задржавање коридора свих раније укинутих пруга са циљем обнове уз претходно утврђену оправданост;</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планираној структури насеља и функционално-урбаних подручја (ФУП), Рума је центар субрегионалног значаја, која има специфичну локацију (близина Коридора X), а Шабац и Сремска Митровица су центри ФУП-а државног значаја. Сва друга мања насеља сеоског типа спадају у остала насеља;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са аспекта заштите и унапређење животне средине, као основе уравнотеженог развоја, коришћења и уређења простора, планирано је: заустављање даље деградације, превентивна заштита од свих планираних активности које могу угрозити постојећи квалитет животне средине, уз санацију и ревитализацију угрожених подручја.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тачке 2.1.1.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2.1.2. Регионални просторни план АП Војводине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АПВ</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22/11)</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става 12. додаје се став 13,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према Регионалном просторном плану АП Војводине, важи следеће: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саобраћајну мрежу државних путева на предметном подручју потребно је третирати као јединствен систем, у којој приоритет на државним путевима има транзит (измештање транзитног саобраћаја из насељених места). У складу с тим предвиђене су активности на путном правцу државни пут I реда Нови Сад (М-7)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(М-21) (са краком за Лозницу и веза са Босном и Херцеговином (М-19))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Ваљево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Пожега и даље веза ка Ивањици (М- 21.1), као и реализацији обилазнице око насеља Руме, као сегмента постојећег путног правца;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оквиру концепта развоја железничке мреже АП Војводине први приоритет је реконструкција магистралне пруге Е 70 коридор Х: Београд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Стара Пазова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Шид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државна граница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(Товарник), као и ревитализација и модернизација у складу са приоритетним потребама и могућностима финансирања, регионалне пруге, Рума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Распутница Доња Борина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државна граница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(Зворник Нови);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 обзиром да пољопривредно земљиште представља једна од најважнијих природних ресурса, његово одрживо коришћење и заштита један је од кључних елемената остваривања одрживог пољопривредног и руралног развоја; са становишта одрживости, приоритет има успостављање ефикасних механизама заштите и контрола коришћења плодних ораничних земљишта у непољопривредне сврхе;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према просторној диференцијацији животне средине коридори државних путева првог и другог реда представљају подручја угрожене животне средине и, као такви, захтевају комплексну заштиту простора од штетних утицаја саобраћаја, како током изградње, тако и током експлоатације путих праваца.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У пододељку 2.2. Остала планска документација од значаја за израду Просторног плана, у тачки 2.2.1. Просторни план подручја инфраструктурног коридора Ауто-пута Е-75 Суботица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Београд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(Батајница),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69/03), у делу Путни објекти и пратећи садржаји на ауто-путу Е-75, став 7.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Денивелисана укрштања и стационаже на ауто-путу Е-75 су: надвожњак 111+900 Нови Сад, подвожњак 115+379 Нови Сад, надвожњак 117+973 Нови Сад, надвожњак 121+410 Нови Сад, надвожњак 124+900 Нови Сад.</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У тачки 2.2.2. Просторни план подручја инфраструктурног коридора граница Хрватске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Београд (Добановци),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69/03), у делу Пратећи путни садржаји за кориснике, после става 4. додаје се став 5,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према Просторном плану инфраструктурног коридора граница Хрватске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Београд (Добановци) важи следеће: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обухват Просторног плана подручја инфраструктурног коридора граница Хрватске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Београд (Добановци) се преклапа са обухватом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основни циљеви коришћења путних саобраћајница у инфраструктурном коридору ауто-пута са становишта интереса локалних заједница су што рационалније укључивање на ауто-пут и његово коришћење од стране локалног становништва у погледу безбедности одвијања саобраћаја ауто-путем, обезбеђења довољне приступачности и довољног броја укрштања;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веза ауто-пута Е-70 са окружењем остварује се путем денивелисаних укрштања.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У тачки 2.2.4. Просторни план подручја посебне намене система за водоснабдевање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Источни Срем</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АПВ</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57/17), после става 4. додају се ст. 5. и 6, који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планско подручје обухваћено Просторним планом на делу коридора пута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(мост на Сави) налази се у обухвату Просторног плана подручја посебне намене система за водоснабдевање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Источни Срем</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Применом и имплементацијом планских решења, омогућава се одговарајуће и квалитетно остваривање наводњавања водоснабдевања, уз поштовање концепта одрживог планирања и развоја и уз усаглашеност плана са постојећим и планираним наменама и функцијама у окружењу, а планска решења Просторног плана не смеју бити у колизији са важећим просторним плановима који се тичу наводњавања.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тачки 2.2.5. Просторни план подручја посебне намене система за наводњавање Срема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АПВ</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57/17), после става 7. додају се ст. 8. и 9, који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планско подручје обухваћено Просторним планом подручја посебне намене инфраструктурног коридора државног пута I реда број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и државног пута I реда број 19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 на делу коридора пута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(мост на Сави), налази се у обухвату Просторног плана подручја посебне намене система за водоснабдевање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Источни Срем</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Применом и имплементацијом планских решења, омогућава се одговарајуће и квалитетно остваривање наводњавања водоснабдевања, уз поштовање концепта одрживог планирања и развоја и уз усаглашеност плана са постојећим и планираним наменама и функцијама у окружењу, а планска решења Просторног плана не смеју бити у колизији са важећим просторним плановима који се тичу наводњавања.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одељку 2.3. Коришћена документација и експертизе, у делу Планска и урбанистичка документација, Табела 2: Планска и урбанистичка документација,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Табела 2: Планска и урбанистичка документација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5"/>
        <w:gridCol w:w="9486"/>
      </w:tblGrid>
      <w:tr w:rsidR="00CA5443" w:rsidRPr="00CA5443" w:rsidTr="00B97738">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Град/општина</w:t>
            </w:r>
          </w:p>
        </w:tc>
        <w:tc>
          <w:tcPr>
            <w:tcW w:w="1297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Планска и урбанистичка документација</w:t>
            </w:r>
          </w:p>
        </w:tc>
      </w:tr>
      <w:tr w:rsidR="00CA5443" w:rsidRPr="00CA5443" w:rsidTr="00B97738">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град:</w:t>
            </w:r>
          </w:p>
        </w:tc>
        <w:tc>
          <w:tcPr>
            <w:tcW w:w="1297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Просторни план града Новог Сада и општине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града Новог Сада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9/95)</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Генерални план града Новог Сада до 2021. године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града Новог Сада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24/00, 18/01 и 39/06)</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ПДР инфраструктурног коридора ауто-пута Е-75 на административном подручју града Новог Сада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града Новог Сада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9/06)</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ПДР инфраструктурног коридора државног пута IБ реда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21 на административном подручју града Новог Сада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града Новог Сада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26/17)</w:t>
            </w:r>
          </w:p>
        </w:tc>
      </w:tr>
      <w:tr w:rsidR="00CA5443" w:rsidRPr="00CA5443" w:rsidTr="00B97738">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 Карловци</w:t>
            </w:r>
          </w:p>
        </w:tc>
        <w:tc>
          <w:tcPr>
            <w:tcW w:w="1297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Просторни план општине Сремски Карловци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општине Сремски Карловци</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8/06)</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Генерални план Сремски Карловци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општине Сремски Карловци</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14/02)</w:t>
            </w:r>
          </w:p>
        </w:tc>
      </w:tr>
      <w:tr w:rsidR="00CA5443" w:rsidRPr="00CA5443" w:rsidTr="00B97738">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Ириг</w:t>
            </w:r>
          </w:p>
        </w:tc>
        <w:tc>
          <w:tcPr>
            <w:tcW w:w="1297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Просторни план општине Ириг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општине Ириг</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6/83)</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Генерални план Ириг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општина Срема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11/05)</w:t>
            </w:r>
          </w:p>
        </w:tc>
      </w:tr>
      <w:tr w:rsidR="00CA5443" w:rsidRPr="00CA5443" w:rsidTr="00B97738">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Рума</w:t>
            </w:r>
          </w:p>
        </w:tc>
        <w:tc>
          <w:tcPr>
            <w:tcW w:w="1297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Просторни план општине Рума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општина Срема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7/15) и Генерални план Руме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општина Срема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35/08 и 13/15)</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Техничка документација као основа за плански документ, a на нивоу разраде у складу са законском регулативом</w:t>
            </w:r>
          </w:p>
        </w:tc>
      </w:tr>
      <w:tr w:rsidR="00CA5443" w:rsidRPr="00CA5443" w:rsidTr="00B97738">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 Митровица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град</w:t>
            </w:r>
          </w:p>
        </w:tc>
        <w:tc>
          <w:tcPr>
            <w:tcW w:w="1297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Просторни план територије града Сремска Митровица до 2028.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усклађивање са Законом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града Сремска Митровица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7/15)</w:t>
            </w:r>
          </w:p>
        </w:tc>
      </w:tr>
      <w:tr w:rsidR="00CA5443" w:rsidRPr="00CA5443" w:rsidTr="00B97738">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Шабац-град</w:t>
            </w:r>
          </w:p>
        </w:tc>
        <w:tc>
          <w:tcPr>
            <w:tcW w:w="1297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Просторни план општине Шабац (у току је израда Концепта плана)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Генерални план за Шабац и приградска насеља Мајур, Јевремовац, Поцерски Причиновић, Јеленчу и Мишар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општине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10/08)</w:t>
            </w:r>
          </w:p>
        </w:tc>
      </w:tr>
      <w:tr w:rsidR="00CA5443" w:rsidRPr="00CA5443" w:rsidTr="00B97738">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Богатић</w:t>
            </w:r>
          </w:p>
        </w:tc>
        <w:tc>
          <w:tcPr>
            <w:tcW w:w="1297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Просторни план општине Богатић (у току је израда Концепта плана)</w:t>
            </w:r>
          </w:p>
        </w:tc>
      </w:tr>
      <w:tr w:rsidR="00CA5443" w:rsidRPr="00CA5443" w:rsidTr="00B97738">
        <w:trPr>
          <w:trHeight w:val="45"/>
          <w:tblCellSpacing w:w="0" w:type="auto"/>
        </w:trPr>
        <w:tc>
          <w:tcPr>
            <w:tcW w:w="142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Лозница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град</w:t>
            </w:r>
          </w:p>
        </w:tc>
        <w:tc>
          <w:tcPr>
            <w:tcW w:w="1297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Просторни план општине Лозница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општине Лозница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7/05)</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Генерални план општине Лозница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општина Лозница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10/05)</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Став 3.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Осим наведених планова коришћена је и друга важећа урбанистичка документација (планови генералне регулације, планови детаљне регулације и планови општег уређења насеља), као и планови чија је израда у току.</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делу Стратешко-развојни документи и основе развоја, после става 2. додаје се став 3,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За израду Просторног плана значајни су 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Стратегија развоја електронских комуникација у Републици Србији од 2010. до 2020. године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68/10);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Стратегија пољопривреде и руралног развоја Републике Србије за период 2014</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2024. године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85/14);</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Стратегија развоја шумарства Републике Србије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59/06);</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Стратегија управљања водама на територији Републике Србије до 2034. године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3/17);</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Закључак Владе којим се усваја План развоја железничког, друмског, водног, ваздушног и интермодалног транспорта у Републици Србији од 2015. до 2020. године (05 број 34-7752/2015-02, од 23. јула 2015. године);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стратегија којом се утврђују јавне политике у области управљања отпадом.</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Део Подаци о становништву, активностима и простору брише се.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делу Коришћене геодетске подлоге, у ставу 1. тачка на крају замењује се тачком запетом.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алинеје треће додаје се алинеја четврта, која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ДКП и дигитални ортофото за планско подручје обухваћено Просторним планом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У одељку 3. Економска, друштвена и еколошка оправданост изградње система у случају када се не израђује студија оправданости, у пододељку 3.2. Деоница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Лозница за коју је израђена студија оправданости, после става 4. додаје се став 5,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У току је израда идејног пројекта деонице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глави II ПРИНЦИПИ, ЦИЉЕВИ И КОНЦЕПЦИЈА ИЗГРАДЊЕ СИСТЕМА, у одељку 1. Принципи изградње система, у ставу 2. алинеја шеста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унапређење приступачности информацијама и знању преко електронских комуникационих мрежа развијених да покривају читаве регионе/државу;</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одељку 2. Општи и оперативни циљеви, у пододељку 2.2. Оперативни циљеви по појединим областима, у делу Инфраструктура:, тачка 3.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3. Електроенергетска и електронска комуникациона инфраструктура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обезбеђење просторних услова за изградњу и функционисање магистралних инфраструктурних електроенергетских и електронских комуникационих система у коридору у односу на дугорочне потребе, захтеве и међународне стандарде;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изградња оптичких каблова на свим магистралним правцима, као и привода до насеља и садржаја у обухвату Просторног плана како би се извршила замена раније изграђеног система аналогних веза новим дигиталним системом који обезбеђује поред класичне телефонске мреже и развој широкопојасне мреже ISDN (дигиталне мреже интегрисаних услуга);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обезбеђење услова за функционисање постојећих инфраструктурних електроенергетских и електронских комуникационих система на подручју Просторног плана, како у насељима тако и ван насеља.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одељку 3. Концепција решења система, став 2.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У обухвату Просторног плана налазе се, осим државног пута I реда бр. 21 и бр. 19, као основног путног правца, и други државни путеви. У Табели 2а: Категоризација путева, приказана је веза ознака према категоризацији путева која је престала да важи и важећој категоризацији државних путева (Уредба о категоризацији државних путева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105/13, 119/13 и 93/15 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Референтни систем мреже државних путева Републике Србије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верзија септембар 2019</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ЈП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Путеви Србије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Табела 2а: Категоризација путева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95"/>
        <w:gridCol w:w="7046"/>
      </w:tblGrid>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Стара ознака пута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 категоризацији из 2011. године)</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Нова ознака пута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(према Уредби о категоризацији државних путева и Референтни систем мреже државних путева Републике Србије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верзија септембар 2019)</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 (Е-70)</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А3 (Е-70)</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4</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27</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7</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18</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19</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22 (Е-75)</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А1 (Е-75)</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22.1</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100</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102</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111</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103</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120</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106</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126 и ДП бр. 314</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107</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119</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110</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129</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116</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123</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120</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102</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121</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128</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127 (део)</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113</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127 (део)</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137</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130</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313</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103.3</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316</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208 (део)</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322</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208 (део)</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324</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208а</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20 и ДП бр. 136</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209 (део)</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136</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209 (део)</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320</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209а</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20</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210 (део)</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135</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210 (део)</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323</w:t>
            </w:r>
          </w:p>
        </w:tc>
      </w:tr>
      <w:tr w:rsidR="00CA5443" w:rsidRPr="00CA5443" w:rsidTr="00B97738">
        <w:trPr>
          <w:trHeight w:val="45"/>
          <w:tblCellSpacing w:w="0" w:type="auto"/>
        </w:trPr>
        <w:tc>
          <w:tcPr>
            <w:tcW w:w="50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257</w:t>
            </w:r>
          </w:p>
        </w:tc>
        <w:tc>
          <w:tcPr>
            <w:tcW w:w="93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ДП бр. 138</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одељку 4. Регионални значај система и функционалне везе, у ставу 1. алинеја прва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инфраструктурни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међународни путни коридори, међународни железнички коридори, пловни путеви, луке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електронске комуникације;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делу Саобраћајни коридори:, став 3.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Приступањем нових земаља Европској унији, дефинисани су коридори у оквиру Трансевропских мрежа (TEN). TEN програм има три компоненте: саобраћајну (TEN-T, TEEN, eTEN), енергетску и електронску комуникациону. У оквиру саобраћајне компоненте дефинисано је 30 инфраструктурних пројеката који треба да буду остварени до 2020. године, а међу њима је под редним бројем 18 и пловни пут који преко Дунава, Мајне и Рајнe спаја Црно море и Северно море. Дунаву је дат двоструки значај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кроз паневропске коридоре, као коридор VII, и у оквиру TEN-T програма, кроз пројекат 18.</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глави III ПЛАНСКА РЕШЕЊА, у одељку 1. Утицај на природу и животну средину и мере заштите, додаје се став 1.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Утицај на природу и животну средину и мере заштите из Просторног плана важе и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која има елементе ауто-пута, уз измене и допуне услова и мера заштите наведених у Просторном плану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1.1. Природни ресурси, у тачки 1.1.2. Шуме и шумско земљиште, у ставу 1. алинеја девета и десета мењају се 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заштита ретких врста птица кроз очување њихових потенцијалних гнездилишта;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формирање пропуста и пролаза за специјалне машине, а нарочито за животиње кроз инфраструктурни коридор, ради смањења њиховог угинућа и несметаног комуницирања;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алинеји десетој тачка на крају замењује се тачком запетом.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Додаје се алинеја једанаеста, која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подизање заштитних ограда дуж трасе пута ради заштите животињског света и остварења безбедности саобраћаја на деоници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а на делу трасе који води кроз ловиште.</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1.2. Заштита и коришћење природних вредности, после става 1. додају се ст. 2. и 3, који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према подацима из Решења о условима заштите природе за потребе израде Просторног плана, планирана траса инфраструктурног коридора ДП I реда бр.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прелази преко следећих просторних целина од значаја за очување биолошке разноврсности: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Станишта заштићених и строго заштићених врста од националног значаја са ознаком РУМ01а,б, РУМ02, СМИ05а (регистрованих у бази података надлежног Покрајинског завода за заштиту природе);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Локалних еколошких коридора Јарчина и Врањ.</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Приликом утврђивања техничких елемената трасе коридора инфраструктурних система неопходно је у што мањој мери пореметити еколошку равнотежу, с обзиром да планирани коридор пролази кроз наведена заштићена природна добра и станишта природних реткости.</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Досадашњи ст. 2</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10. постају ст. 4</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12.</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дела Концепт заштите еколошких коридора: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Концепт заштите еколошких коридора и заштите фауне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става 4. додаје се став 5,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с обзиром на техничке услове да коридор саобраћајнице буде ограђен, ради заштите живог света, поготово дуж делова трасе који пролазе кроз или тангирају постојећа ловишта обавезно је: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формирање пропуста и пролаза за специјалне машине, а нарочито за животиње кроз инфраструктурни коридор, ради смањења њиховог угинућа и несметаног комуницирања, поготово у ловиштима (ГЈ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Сенајске баре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Каракуша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одељења бр. 5, 9 и 10, као и ГЈ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Сенајске баре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Крстац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одељења бр. 29, 30 и 31);</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заштита ретких врста птица (орао белорепан и црна рода) кроз очување старих стабала као потенцијалних гнездилишта;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подизање заштитних ограда дуж трасе пута ради заштите животињског света и остварења безбедности саобраћаја на деоници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а на делу трасе који води кроз ловиште високе дивљачи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Каракуша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(ГЈ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Сенајске баре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Каракуша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одељења бр. 5, 9 и 10, као и ГЈ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Сенајске баре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Крстац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одељења бр. 29, 30 и 31) и постављање високе усмеравајуће заштитне ограде којом би се дивљач усмеравала ка пролазима за животиње са обе стране пута;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делу трасе пута оквирне стационаже km 60+500 до km 65+000, са северне и јужне стране постављање ловне ограде према условима надлежног предузећа, ради заштите Репроцентра у оквиру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Посавског ловишта Каракуша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Део Концепт заштите предела и пејзажног обликовања путног појаса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У складу са Конвенцијом о биолошкој разноврсности, потребно је спречавати ширење, а по потреби предузимати мере за уништавање инвазивних врста. Потребно је заштитити и очувати биолошки диверзитет укупног простора и предео у целини.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Стратегија заштите и коришћења природних вредности подразумева постизање равнотеже између активности у простору и предеоних елемената, ради минимизирања оптерећења на заступљене типове предела и очување и унапређење предела и предеоне разноврсности у обухвату Просторног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циљу заштите аутохтоног пејзажа и унапређења амбијенталних услова, предвиђене су следеће мере: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адекватно озелењавање насипа и конструкција аутохтоним врстама;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уклапање усека и насипа у природни облик терена;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поновно успостављање трајног биљног покривача на свим местима на којима су престале активности које прате грађење;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где просторни услови и услови безбедности саобраћаја омогућавају, формирање нових појасева и зона заштитног зеленила, који ће смањити утицај монотоности коридора, наизменичним отварањем и затварањем визура према околном пределу.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том смислу је потребно пејзажно обликовати путни појас, све инфраструктурне објекте и пратеће садржаје, ради санирања последица оштећења предела, естетског и визуелног вођења саобраћаја, заштите животне средине и стварања новог вегетацијског коридора кроз који ће бити омогућен проток врста.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озелењавање трасе пута се предлаже коришћење аутохтоних врста. Кроз формирање група садница и заштитног зеленила, оствариће се заштита земљишта, заштита од удара ветра и наноса снега на угроженим деоницама и буке и аерозагађења на деоницама пута које тангирају насеља. На просторима кроз које путна инфраструктура пролази кроз заштићена природна добра, озелењавање је потребно ускладити са условима заштите.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Ради заштите животиња потребно је формирати пролазе за животиње кроз труп пута који ће омогућити не само кретање свих животињских врста, него и ублажити негативне утицаје одвијања саобраћаја на популацију животиња. Да би се смањила вероватноћа доспевања животиња на пут, потребно је моделирати терен са обе стране пута, посебно кроз формирање ремиза на местима где ће бити пројектовани пролази за животиње.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Заштитно зеленило треба подизати уз уважавање техничко-технолошких захтева инфраструктурних система за прегледношћу (петљи, мостова, денивелисаних укрштања и сл.) и заштитом од акцидената (ограничења за подизање зеленила у заштитним зонама гасовода и електроенергетских водова).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Сва позајмишта везана за изградњу инфраструктурних објеката по завршетку радова треба довести у одговарајуће функционално стање усаглашено са непосредном околином.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 завршеном извођењу грађевинских радова обавезно је формирати аутохтони биљни покривач (култивисати терен) на свим угроженим местима, применом одговарајућих врста, у складу са подлогом и конкретним условима.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дела Концепт заштите предела и пејзажног обликовања путног појаса, додају се назив дела и део, који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Мере заштите биодиверзитета унутар границе Просторног плана на деоници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Током планирања, пројектовања и изградње неопходно је применити одговарајућа планска и техничка решења са циљем смањења негативних утицаја на подручја значајних за очување биодиверзитета;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Ради очувања еколошког интегритета и природних вредности подручја: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Забрањена је изградња паркиралишта на просторима станишта/коридора и на удаљености мањој од 200 m од назначених еколошких коридора или станишта. У складу са могућностима, надвожњаке и друге осветљене објекте планирати и пројектовати на удаљености већој од 200 m од назначених еколошких коридора/станишта;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Забрањено је отварање позајмишта, одлагање отпадног материјала и постављање било каквих привремених објеката/материјала за потребе радова ван трасе пута на природним стаништима заштићеног добра, регистрованих станишта еколошке мреже и еколошких коридора, као и у зони непосредног хидролошког утицаја (200 m) на њих;</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Забрањено је паркирање или сервисирање механизације, као и одлагање отпада на површинама под природном вегетацијом;</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Управљање опасним материјама вршити сагласно одредбама Правилника о садржини политике превенције удеса и садржини и методологији израде Извештаја о безбедности и Плана заштите од удеса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41/10);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случају изливања опасних материја (гориво, машинска и друга уља) загађени слој земљишта се мора отклонити и исти ставити у амбалажу која се може празнити само на, за ту сврху, предвиђеној локацији;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За очување еколошких својстава водотокова (укључујући и канализоване водотокове чије је корито у блиско-природном стању) као станишта и еколошких коридора: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највећој могућој мери очувати морфологију приобаља и обалног појаса;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избећи зацевљење водотока/канала који су назначени као еколошки коридори;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очувати и/или формирати појас вегетације уз обалу, као предуслов функционалности коридора;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обезбедити техничка решења које обезбеђују безбедно кретање малим животињама унутар корита, односно омогућују излазак из корита;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поштовати забрану испуштања непречишћених/недовољно пречишћених отпадних вода у водотоке и канале са улогом еколошких коридора, а све отпадне воде, укључујући процедне воде са саобраћајнице или воде са садржајем токсичних и запаљивих течности. морају бити третиране у складу са прописима;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Ради смањења акцидената узрокованих сударом са дивљачи и угинућа животиња на путу:</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подручју назначених станишта обраслих високом вегетацијом (шума, грмље, шибљаци, трстик), ради смањења учесталости кретања шумских врста према саобраћајници, обезбедити одговарајуће моделирање терена и планско одржавање вегетације;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подручју назначених станишта обезбедити ограду за дивљач између саобраћајнице и природних станишта/коридора који обезбеђује заштиту популација свих заштићених и строго заштићених врста предметног простора;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Спречити доспевање ситних водоземаца на пут трајном вертикалном баријером глатке површине, зависно од врсте и значаја водотока/канала;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подручјима станишта осветљење саобраћајнице и пратећих објеката планирати у складу са потребама заштите дивљих врста које су активне ноћу;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 Функционалну повезаност елемената еколошке мреже и проходност еколошких коридора који се пресецају саобраћајницом, обезбедити применом техничких решења која обезбеђују проходност миграционих путева животиња свих димензија које живе на том подручју, а функционалност пролаза за животиње обезбедити редовним одржавањем;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 Озелењавање дуж трасе пута и терена који су у његовом непосредном окружењу треба да се одвија паралелно са изградњом пута, формирањем травних површина и високог зеленила у зони утицаја издвојених станишта и еколошких коридора (удаљеност од 500 метара), уз одабир неинвазивних врста;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 Пронађена геолошка и палеонтолошка документа (фосили, минерали, кристали и др) која би могла представљати заштићену природну вредност, налазач је дужан да пријави надлежном министарству у року од осам дана од дана проналаска, и предузме мере заштите од уништења, оштећивања или крађе.</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1.3. Заштита и коришћење непокретних културних добара, после става 9. додаје се став 10,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на траси пута, налазе два археолошка локалитета, од којих први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локалитет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Одеровци</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Јарку представља локалитет под претходном зaштитом за који се предвиђа појачан надзор, док други локалитет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Аџине њиве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Кленку представља евидентирану непокретност који ужива посебан режим заштите и на којем је изградња могућа уз обавезна заштитна археолошка истраживања. Заштићено Археолошко налазиште у Хртковцима је изван коридора трасе планираног државног пута и за њега се не прописују посебни услови и мере заштите у контексту реализације планираног предметног пута. За подручје обухваћено Просторним планом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обавезна су заштитна археолошка ископавања и истраживања на подручју обухваћеним Планом на потесу који је опредељен као археолошки локалитети: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АЏИНЕ ЊИВЕ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потесу Брајкова II у Кленку на катастарским парцелама: 4062, 4063, 4064, 4065/1, 4065/2, 4066, 4067, 4068, 4069, 4070, 4071, 4072, 4073, 4074, 4075, 4076, 4077, 4078, 6028 (пут), 4103, 4104,4105,4106,4107,4108,4109, 4110, 4111, затим западних делова катастарских парцела 4112, 4113, 4114, 4115, 4116, 4117, 4118, 4119, 4120, 4121 у дужини од 170 метара у К.О. Кленак, који представља евидентирану непокретности који ужива посебан режим заштите;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обавезан је појачан археолошки надзор на локалитету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ОДЕРОВЦИ</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Јарку на катастарским парцелама: 1035, 1034/2, 103411, 1033, 1032/2, 1032/1, 1031, 1030, 1029, 1028, 1027 и 1026 у К.О. Јарак;</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посебним програмом и мерама техничке заштите Завод за заштиту споменика културе у Сремској Митровици утврђује начин обављања радова на археолошким локалитетима који ће доставити Инвеститору;</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Инвеститор је у обавези да обезбеди средства за праћење, истраживање, заштиту и чување пронађених остатака који уживају претходну заштиту, а према програму и предрачуну за археолошка истраживања;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 заштитна археолошка истраживања потребно време, почетак радова, обим и трошкови утврђују се уговором;</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Инвеститор је обавезан да обезбеди стални археолошки надзор приликом извођења земљаних радова, јер пут пролази поред бројних констатованих археолошких локалитета;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археолошки надзор обавиће стручњаци Завода за заштиту споменика културе у Сремској Митровици;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ако се у току извођења грађевинских и других радова наиђе на археолошке слојеве или археолошке предмете, извођач радова је дужан да одмах, без одлагања прекине радове и о томе обавести Завод за заштиту споменика културе у Сремској Митровици, као и да предузме мере да се налаз не уништи и не оштети и да се сачува на месту и у положају у коме је откривен, а све у складу са чланом 109. став 1. Закона о културним добрима;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Инвеститор је дужан да обезбеди средства за праћење, истраживање, заштиту и чување пронађених остатака који уживају претходну заштиту.</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обавезна пријава почетка земљаних радова 180 дана пре њиховог извођења, Заводу за заштиту споменика културе у Сремској Митровици.</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Пододељак 1.4. Утицај на животну средину и мере заштите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Одрживо просторно планирање подразумева, између осталог и заштиту, уређење и унапређење животне средине која подразумева примену мера и активности чијом реализацијом ће се зауставити и спречити негативни утицаји на животну средину које могу имати поједини оператери и активности.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Просторним планом су предвиђене следеће опште и посебне мере заштите природних ресурса и заштите животне средине: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1.4.1. Опште мере заштите природних ресурса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Опште мере заштите природних ресурса односе се 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вођење регистра извора загађивања животне средине од стране надлежних општинских управа за послове заштите животне средине у општинама Ириг и Рума, као дела интегралног националног регистра извора загађивања који води Агенција за заштиту животне средине;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успостављање континуиране контроле и систематско праћење квалитета параметара животне средине (ваздуха, воде, земљишта, буке и нејонизујућег зрачења) од стране овлашћених организација;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3) идентификација привредних субјеката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оператера на простору обухвата Просторног плана који су у обавези да поднесу захтев за издавање интегрисане дозволе у складу са Законом о интегрисаном спречавању и контроли загађивања животне средине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 135/04 и 25/15) и пратећим подзаконским актима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уколико дође до изградње ових објеката у планском периоду;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идентификација севесо постројења на основу Закона о заштити животне средине, Закона о смањењу ризика од катастрофа и управљању ванредним ситуацијама и пратећих подзаконских аката;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5) формирање заштитних појасева зеленила у оквиру саобраћајне инфраструктуре и пољопривредног земљишта, у циљу заштите од еолске ерозије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одношења површинског слоја земљишта и усева у фази семена;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 рационално коришћење простора за потребе изградње и експлоатације инфраструктурног система.</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1.4.2. Посебне мере заштите природних ресурса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Мере заштите ваздуха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Заштита ваздуха ће се обезбедити кроз примену следећих мера: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поштовање Закона о заштити ваздуха и пратећа подзаконска акта;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у случају прекорачења граничних вредности нивоа загађујућих материја у ваздуху, обавезно је предузимање техничко-технолошких мера или обустављање технолошког процеса, како би се концентрације загађујућих материја свеле на ниво прописаних вредности;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уколико дође до квара уређаја којим се обезбеђује спровођење прописаних мера заштите, или до поремећаја технолошког процеса, у постројењима у обухвату Просторног плана за обилазницу око Руме и контактној зони, услед чега долази до прекорачења граничних вредности емисије, носилац пројекта је дужан да квар или поремећај отклони или прилагоди рад новонасталој ситуацији, односно обустави технолошки процес како би се емисија свела у дозвољене границе у најкраћем року;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код стационарног извора загађивања, у току чијег обављања делатности се могу емитовати непријатни мириси, обавезна је примена мера које ће довести до редукције мириса, иако је концентрација емитованих материја у отпадном гасу испод граничне вредности емисије;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 у складу са прорачунима појаве и мерама заштите које ће се утврдити кроз процену утицаја и пројекат мера заштите спровести евентуално потребне мере заштите од аерозагађења и буке кроз постављање физичких баријера и/или успостављање заштитних зона са заштитним зеленилом уз саобраћајнице у складу са законом и просторним могућностима, како би се умањили ефекти буке и аерозагађења;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 Одговарајућу хортикултурну обраду локација пратећих садржаја ауто-пута;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 дефинисање и других мера заштите квалитета ваздуха кроз поступак процене утицаја на животну средину.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Мере заштите вода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циљу заштите вода (површинских и подземних) успостављају се следеће мере заштите: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1) контролисано сакупљање атмосферских отпадних вода које се сливају са коловозних површина (затворени систем одводњавања)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вршити прихват зауљених отпадних вода преко сепаратора уља и масти;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2) контролисано сакупљање и евакуација отпадних вода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вршити биохемијско и механичко испитивање параметара квалитета отпадних вода;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контрола квалитета воде за пиће (физичко-хемијски и микробиолошки стандарди) од стране стручних служби на локалном нивоу у објектима у обухвату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 контактној зони;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4) поштовање услова и критеријума за унапређење и заштиту животне средине при уређењу водотока, а у зонама посебних природних вредности тежити остварењу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натуралне регулације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 санација и ревитализација објеката и опреме водоводне инфраструктуре и изградња нових објеката у складу са санитарно-техничким условима изградње и уређења;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 строго контролисана примена хемијских средстава у пољопривреди у обухвату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 контактној зони у циљу заштите површинских и подземних вода од загађивања;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 забрана трајног депоновања отпада на целом подручју обухвата Просторног плана и контактној зони, што подразумева затварање општинске депоније у контактној зони;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 спровођење поступка процене утицаја на животну средину и израда студије у којој ће бити дефинисане и мере у вези са заштитом вода (начин одвођења отпадних вода, третман и др) за алтернативну трасу инфраструктурног коридора;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9) постављање еластичних ограда и водонепропусних фолија на деловима коридора, где она евентуално долази у контакт са постојећим извориштима водоснабдевања;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10) с обзиром да планирана саобраћајница угрожава све водотоке у зони непосредног утицаја, регулациони радови не смеју угрозити постојећи режим вода;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11) организовање свих укрштања планираних инфраструктурних система (ауто-пут, пруга, оптички кабл и гасовод) са водотоцима у природном или уређеном стању, тако да се не ремети основна намена и функција водотока.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Мере заштите земљишта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Заштита земљишта најуже је повезана са заштитом ваздуха и воде, јер се многи од загађивача преко падавина, нагиба и пукотина у тлу и слично, преносе из вода у земљиште.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Посебни услови и мере у функцији заштите земљишта су: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примена биоразградивих материјала у зимском периоду за одржавање путева и других површина у функцији путне инфраструктуре;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примена мера којима се спречава расипање и развејавање прашкастих материја и отпада по околини, приликом манипулисања или привременог чувања: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случају изливања опасних материја (гориво, машинско уље и сл.), загађени слој земљишта мора се отклонити и исти ставити у амбалажу која се може празнити само на, за ту сврху, предвиђеној локацији. На месту акцидента нанети нови, незагађени слој земљишта;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заштита функције земљишта, заустављање деградације земљишта и рекултивација деградираних површина;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рекултивација и ревитализација свих површина деградираних услед коришћења минералних сировина;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забрана стихијског одлагања отпада на територији Просторног плана за обилазницу око Руме и санација неуређених одлагалишта отпада, у контактној зони Просторног плана за обилазницу око Руме у циљу заштите земљишта.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Заштиту земљишта од потенцијалне деградације обезбедити адекватним одвођењем отпадних вода, као и предузимањем превентивних мера при претакању или претовару материја које имају загађујући карактер.</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Привредна друштва, друга правна лица и предузетници који у обављању делатности утичу или могу утицати на квалитет земљишта у контактној зони Просторног плана за обилазницу око Руме дужни су да обезбеде техничке мере за спречавање испуштања загађујућих, штетних и опасних материја у земљиште, прате утицај своје делатности на квалитет земљишта, обезбеде друге мере заштите у складу са Законом о заштити земљишта и другим законима.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Власник или корисник земљишта или постројења чија делатност, односно активност може да буде узрок загађења и деградације земљишта, дужан је да пре почетка обављања активности изврши испитивање квалитета земљишта.</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1.4.3. Остале мере заштите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Мере заштите од буке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Мере и услове заштите од буке, јединица локалне самоуправе утврђује у складу са Законом о заштити од буке у животној средини. Обавезе јединице локалне самоуправе, односе се на акустичко зонирање на територији локалне самоуправе, одређивање мера забране и ограничења у складу са законом, доношење локалног акционог плана заштите од буке у животној средини, обезбеђење и финансирање мониторинга буке у животној средини и вршење надзора и контроле примене мера заштите од буке у животној средини.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Уредбом о индикаторима буке, граничним вредностима, методама за оцењивање индикатора буке, узнемиравања и штетних ефеката буке у животној средини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75/10) прописани су индикатори буке у животној средини, граничне вредности, методе за оцењивање индикатора буке, узнемиравања и штетних ефеката буке на здравље људи.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Према потреби, надлежни орган може утврдити потребу мониторинга буке у складу са Правилником о методологији за одређивање акустичких зона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72/10), законом и важећим подзаконским актима.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Са аспекта изградње планираног ауто-пута на деоници од Руме до Шапца, током израде техничке документације спровести процену утицаја изградње и експлоатације планираног објекта саобраћајнице на животну средину. Приликом израде техничке документације и процене утицаја на животну средину, у складу са прописима, дефинисаће се акустичне зоне и степен угрожености саобраћајном буком, те на основу тога дефинисати конкретне мере заштите од буке, у складу са законском регулативом. Садржај и детаљност карата буке прилагодити нивоу техничке документације за коју се она израђује, у складу са законском регулативом.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фази израде Идејног пројекта, односно Студије о процени утицаја на животну средину, потребно је извршити моделовање саобраћајне буке и на основу резултата предвидети мере у току изградње и у току експлоатације, које су неопходне за умањење утицаја буке на околину. У току извођења радова потребно је предузети следеће мере заштите: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спроводити редован мониторинг буке у непосредној близини градилишта;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захтевати од извођача радова да поштује мере ублажавања од буке;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приликом извођења радова користити модерну опрему са пригушивачима буке (опрема која задовољава захтеве прописа који се усклађују са Директивом Европске уније EC/2000/14);</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придржавати се уобичајених радних сати у току дана;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у близини насеља рад са бучном опремом треба да буде ограничен, обавезна употреба заклона.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 пуштања државног пута у експлоатацију, а на основу локацијских услова, урадити техничку документацију за техничке мере заштите од буке унутар појаса пута (Пројекат за грађевинску дозволу техничких мера заштите од буке и Пројекат за извођење техничких мера заштите од буке), при чему обезбедити следеће мере заштите: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 на местима где долази до прекорачења саобраћајне буке, у близини насељених места и објеката, потребно је планирати техничке мере заштите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конструкције за заштиту од буке одговарајућих материјала и облика, који ће у што мањој мери нарушити визуелна својства предела, пратећи следеће смернице;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конструкције за заштиту од буке морају задовољавати акустичне, конструктивне и визуелне карактеристике;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конструкције је потребно димензионисати и реализовати за плански период од најмање десет година, са могућношћу етапне надоградње.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траса планираног ауто-пута пролази изван грађевинских подручја насеља, кроз планиране привредне зоне јужно од Румске петље ка Јарку, ка југу пролазећи источно од Јарка и Хртковаца, а западно од Платичева и Кленка, пресецајући пољопривредно и мањим делом шумско земљиште, дакле ненасељене зоне. При изради нове, односно измена и допуна постојеће планске и урбанистичке документације планиране намене дефинисати тако да се у зонама угроженим буком планирају одговарајуће намене у складу са прописима, а нарочито се мора спровести планска забрана градње објеката који су осетљиви на буку у зонама са прекораченим нивоима буке. Као додатна смерница при изради планске документације на нивоу јединице локалне самоуправе (за контактне зоне изван подручја које се Просторним планом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директно спроводи), истиче се обавеза поштовања зона и појасева у складу са Законом о путевима, посебно планске и контролисане изградње у складу са посебном наменом.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Мере заштите при управљању отпадом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Са отпадом поступати у складу са Законом о управљању отпадом, Правилником о условима и начину сакупљања, транспорта, складиштења и третмана отпада који се користи као секундарна сировина или за добијање енергије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98/10), Правилником о категоријама, испитивању и класификацији отпада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56/10 и 93/19) и Правилником о начину складиштења, паковања и обележавања опасног отпада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92/10).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 завршетку грађевинских радова, сав отпадни материјал треба уклонити. Забрањено је одлагање свих врста отпада у водотоке и земљиште, као и трајно депоновање отпада на путном и водном земљишту.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Утврдити обавезу санације или рекултивације свих деградираних површина. Уз сагласност надлежне комуналне службе, предвидети локације на којима ће се трајно депоновати неискоришћени геолошки грађевински и остали материјал настао предметним радовима.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Концепцију одлагања комуналног отпада треба усагласити са принципима стратегије којом се утврђују јавне политике у области управљања отпадом.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Сваки генератор отпада је обавезан да изврши карактеризацију и категоризацију отпада код надлежних организација и да се у зависности од његове природе са њим поступа у складу са законским прописима.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Обавеза генератора отпада је да, у складу са Законом о управљању отпадом и осталим законским и подзаконским актима, који непосредно регулишу ову област: обезбеди потребан простор за одлагање отпада, обезбеди потребне услове и опрему за сакупљање, разврставање и привремено чување различитих отпадних материја, а да секундарне сировине, опасан и други отпад, предаје субјекту који има одговарајућу дозволу за управљање отпадом (складиштење, одлагање, третман и сл.).</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Посебне мере и услови су: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комунални отпад потребно је сакупљати и обезбедити његову редовну евакуацију на локацију која је утврђена од стране комуналне службе до коначног одлагања на регионалној депонији у Инђији;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привремено складиштење евентуално присутног опасног отпада вршити у складу са Законом о управљању отпадом. Отпад мора да буде прописно обележен и привремено складиштен на прописан начин до његовог коначног збрињавања;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разношење чврстог отпада спречити његовим систематским прикупљањем и депоновањем на за то уређеним локацијама на територији општина Ириг и Рума;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на свакој грађевинској парцели обезбедити посебан простор, тако да се омогући лак приступ надлежне службе, као и потребне услове и опрему за сакупљање, разврставање и привремено чување различитих отпадних материја, у складу са законом и другим прописима;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 примењивати опште и посебне санитарне мере предвиђене законом и другим прописима којима се уређују послови санитарног надзора.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случају потребе за простором за селективно сакупљање отпада који се не може чувати у контејнерима за комунални отпад, обавеза је власника/корисника да прибави услове, односно дозволу/сагласност надлежног органа за потребе уређења или коришћења наведеног простора.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постројења и активности која могу имати негативне утицаје на здравље људи, животну средину или материјална добра, врсте активности и постројења, надзор и друга питања од значаја за спречавање и контролу загађивања животне средине, уређују се услови и поступак издавања интегрисане дозволе, која је дефинисана Законом о интегрисаном спречавању и контроли загађивања животне средине. Законом о интегрисаном спречавању и контроли загађивања животне средине, прописано је да, за постојећа постројења и активности оператер прибавља дозволу према програму усклађивања појединих привредних грана са одредбама тог закона. На основу Уредбе о утврђивању Програма динамике подношења захтева за издавање интегрисане дозволе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108/08), утврђују се рокови у оквиру којих се подносе захтеви за издавање интегрисане дозволе, по врстама активности и постројења.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све објекте који могу имати утицаја на животну средину, надлежни орган мора прописати израду студије процене утицаја на животну средину у складу са Законом о заштити животне средине, Законом о процени утицаја на животну средину, Правилником о садржини студије о процени утицаја на животну средину и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114/08).</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Акцидентне ситуације (удеси)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циљу заштите животне средине, при појави акцидентних ситуација (саобраћајне незгоде и хаварије на саобраћајницама), препоручују се следеће активности: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сакупљање загађујуће материје која истиче;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препумпавање преосталих количина из оштећених цистерни;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израда ровова за сакупљање расутих загађујућих супстанци;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одстрањивање површински сакупљених загађујућих супстанци;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случају изливања већих количина опасних и токсичних хемијских материја и њиховог продирања у земљиште и подземне воде, потребно је предузети одговарајуће мере заштите;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скидање контаминираних слојева земље и насипање неконтаминираном.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Према подацима надлежног министарства, у подручју посебне намене не постоји ниједно постројење које подлеже издавању интегрисане дозволе, као ниједно севесо постројење вишег или нижег реда, али у контактној зони Просторног плана која се односи на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утицај на подручје посебне намене има Фабрика за производњу сунђера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Health Care Europe. Оператер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Health Care Europe</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д.о.о. Рума, на локацији Потес Румска петља 5, Рума, је 23. јула 2019. године доставио надлежном органу обавештење из разлога повећања капацитета складиштења опасних материја и одређивања новог статуса комплекса. У том обавештењу оператер је приказао повећање максималног складишног капацитета опасне материје толуен диизоцијаната са 84 t на 168 t, због активирања блиндираног резервоара. Због повећања максималног складишног капацитета за опасну материју толуен диизоцијанат, комплекс Фабрика за производњу сунђера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оператера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Health Care Europe</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д.о.о. Рума, на локацији Потес Румска петља 5, Рума је из статуса комплекса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нижег реда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прешао у комплекс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вишег реда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 чему оператер има обавезу да изради документа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Извештај о безбедности и План заштите од удеса и иста достави надлежном органу ради добијања сагласности.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наведени комплекс оператер је Извештај о безбедности и План заштите од удеса доставио 16. јануара 2020. године и у току је поступак давања сагласности на документа.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 основу достављених података и извршене анализе, утврђено је да услед промена до којих је дошло на предметном комплексу и прелажења из статуса комплекса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нижег реда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комплекс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вишег реда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није потребно мењати или допуњавати претходно дате услове, а који су имплементирани у Извештај о стратешкој процени утицаја измена и допуна просторног плана подручја посебне намене инфраструктурног коридора државног пута I реда број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и државног пута I реда број 19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Лозница на животну средину.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Сходно наведеном, а у складу са чланом 34. став 1. тачка 26) Закона о заштити животне средине, у складу са условима издатим од надлежног органа, ради утврђивања подручја у којима ће се дугорочно сачувати одговарајуће удаљености између објеката у којима je присутна или може бити присутна једна или више опасних материја у количинама које су веће од прописаних и стамбених подручја, јавних простора, као и подручја од посебног значаја, ради заштите живота и здравља људи и животне средине: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1) потребно je предвидети техничко-технолошке и организационе мере потпуне обуставе саобраћаја у случају хемијских удеса на комплексу на локацији Потес Румска петља 5, Рума, на раздаљини од 1.000 m од локације комплекса, како на деоници пута I реда број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тако и на деоници ауто-пута Е-75;</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2) потребно је у сарадњи са МУП-ом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Сектор за ванредне ситуације, предвидети и мере евакуације корисника пута I реда број 21, као и ауто-пута Е-75 из зоне угрожене ефектима хемијских удеса;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потребно je, приликом разматрања изградње нових индустријских објеката у обухвату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приликом издавања локацијских и грађевинских дозвола, обавезно упознати потенцијалне инвеститоре са опасностима од хемијског удеса на свим наведеним локацијама.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У случају изградње нових севесо постројења/комплекса, a у складу са Правилником о садржини политике превенције удеса и садржини и методологији израде Извештаја о безбедности и Плана заштите од удеса, као полазни основ за идентификацију повредивих објеката разматра удаљеност од минимум 1.000 m од граница севесо постројења, односно комплекса, док се коначна процена ширине повредиве зоне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зоне опасности, одређује на основу резултата моделирања ефеката удеса.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Такође, идентификација севесо постројења/комплекса врши се на основу Правилника о Листи опасних материја и њиховим количинама и критеријумима за одређивање врсте докумената које израђује оператер севесо постројења, односно комплекса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PC</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41/10, 51/15 и 50/18). Поред тога, обавезе оператера и надлежних органа су прописане Законом о заштити животне средине, у глави III. МЕРЕ И УСЛОВИ ЗАШТИТЕ ЖИВОТНЕ СРЕДИНЕ, одељку 3. Мере заштите од опасних материја, пододељку 3.2 Заштита од хемијског удеса, те сходно наведеном, обавезе оператера према надлежним органима у области заштите од хемијског удеса, a у случају изградње новог севесо постројења/комплекса, почињу у року од најмање три месеца пре почетка рада постројења/комплекса. Поред тога, у случају изградње постројења/комплекса вишег реда, уколико оператер не испуни услове из чл. 60ђ, 60г и 60д Закона о заштити животне средине, поступиће се у складу са чланом 60е истог закона.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Потребно је пажљиво планирати лоцирање и изградњу, како нових севесо постројења/комплекса и њихових максималних могућих капацитета севесо опасних материја, тако и нових грађевинских објеката, укључујући саобраћајне правце, места за јавну намену и насеља у близини комплекса, где локација комплекса или грађевински објекти могу бити извор или повећати ризик или последице великог удеса, како би се избегли непотребни трошкови или лоше инвестиције за оператере, али и обезбедило адекватно управљање безбедношћу од хемијског удеса.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У Републици Србији надлежност у области хемијских удеса је подељена, као и у већини земаља ЕУ, при чему je област превенције и контроле хемијских удеса обрађена у Закону о заштити животне средине, a област израде екстерних планова заштите од удеса, који су саставни део планова заштите и спасавања у ванредним ситуацијама, као и одговора на удес је обрађена у Закону о смањењу ризика од катастрофа и управљању ванредним ситуацијама, те je у случају изградње основних севесо постројења/комплекса, у интересу и грађана и локалних самоуправа на чијој територији се граде, и да инвеститори и сви надлежни органи који су укључени у процес доношења одлука о лоцирању нових севесо постројења/комплекса, размотре постојеће капацитете снага и средстава за одговор на хемијски удес који су у надлежности МУП-а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Сектор за ванредне ситуације.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Јединице локалне самоуправе са територијом на подручју Просторног плана су у обавези да, на основу планова заштите од удеса оператера који се налазе на територији своје локалне самоуправе, израде План заштите од удеса локалне самоуправе (екстерни План заштите од удеса), чији је садржај и методологија израде уређена Законом о смањењу ризика од катастрофа и управљању ванредним ситуацијама.</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Мониторинг стања животне средине у току експлоатације пута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Израдом студије о процени утицаја на животну средину будуће саобраћајнице дефинисаће се план и програм праћења стања животне средине.</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1.5. Заштита од елементарних непогода и коришћење и уређење простора од интереса за одбрану земље, у тачки 1.5.1. Заштита од елементарних непогода, после става 11. додаје се нови став 12,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Као најважнија превентивна мера заштите од експлозије и акцидентних ситуација је строга примена прописа који регулишу рад са експлозивним материјама, запаљивим течностима и гасовима, као и начин њиховог ускладиштења, превоза и промета. Поред тога, мере заштите обухватају и редовну контролу и одржавање резервоара и постројења, уградњу сигурносне опреме, добру обученост и опремљеност људи за пружање хитних интервенција на терену.</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Досадашњи став 12, који постаје став 13,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У контексту акцидентних ситуација, за све локације на којима се севесо постројења/комплекси налазе на удаљености мањој од 1.000 m од предложене трасе инфраструктурног коридора, потребно је обавити додатне консултације са надлежним министарством и другим надлежним органима, те да се за оне локације за које се утврди да се предложена траса аутопута налази на таквој удаљености од наведених севесо постројења/комплекса, односно да се простире кроз зону процењених смртоносних ефеката хемијског удеса (од 1% до 100% смртности) и/или зону могућих оштећења или деструкције објеката (од лаког оштећења до потпуне деструкције објеката), и/или зоне преноса пожара на друге објекте (домино ефекат), размотри измештање предложене трасе аутопута и/или севесо постројења/комплекса, како би се дугорочно сачувале одговарајуће удаљености између објеката у којима je присутна или може бити присутна једна или више опасних материја у количинама које су веће од прописаних и стамбених подручја, јавних простора, као и подручја од посебног значаја, ради заштите живота и здравља људи и животне средине. Сценарио могућег удеса на локацији Фабрике за производњу сунђера оператера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Health Care Europe</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д.о.о. Рума, на локацији Потес Румска петља 5, Рума, који може имати ефекте на деоницу пута I реда број 21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као и на деоницу аутопута Е-75, подразумева формирање токсичног облака при пожару магацина готових производа, те формирање токсичног облака који може садржати различите продукте сагоревања, нарочито у условима ограниченог дотока ваздуха, при чему могу настати продукти као што су угљен-моноксид, чађ и цијано-водоник. С обзиром да се ради о комплексу вишег реда, за зону угрожену наведеног удеса, узима се зона од 1.000 m од локације удеса, при чему треба имати у виду да простирање поменутог токсичног облака зависи од правца и јачине дувања ветра у тренутку дешавања удеса.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тачки 1.5.2. Коришћење и уређење простора од интереса за одбрану земље, после става 7. додаје се став 8,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израђен је посебан Анекс, у складу са Условима и захтевима у вези са израдом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издатим од стране Министарства одбране, Сектор за материјалне ресурсе, Управа за инфраструктуру (СП број 12495-4 од 6. августа 2019. године), а подаци из њега се користе у складу са законским прописима.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одељку 2. Утицај на функционисање насеља (социјални, економски и технички аспекти), у пододељку 2.2. Просторни развој и размештај привредних делатности, у тачки 2.2.3. Туризам, став 2.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Велики значај саобраћајне инфраструктуре (нарочито путне инфраструктуре) за обимнији развој туристичког промета на простору обухвата Просторног плана проистиче из следећих чињеница: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коридор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Лозница има значајну транзитно-саобраћајну позицију, што захтева већу пропусну моћ саобраћајница, нарочито друмских;</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укупном промету туриста велики удео имају индивидуална и породична туристичка кретања, из чега проистиче повећано присуство аутомобила на путевима у време сезоне и потреба веће пропусне моћи саобраћајница.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одељку 3. Однос према другим техничким системима, назив пододељка 3.1. Остали видови саобраћаја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3.1. Остала саобраћајна инфраструктура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тачке 3.1.1. Железнички саобраћај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3.1.1. Инфраструктура железничког саобраћаја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тачки 3.1.1, став 1.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Инфраструктуру железничког саобраћаја у обухвату Просторног плана потребно је реафирмисати кроз модернизацију и реконструкцију постојећих капацитета: колосека, станичних капацитета и комплетне саобраћајно-сигналне опреме. У обухвату Просторног плана налазе се деонице следећих пруга: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оквиру коридора Х:</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Е-70: Београд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Стара Пазова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Шид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државна граница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(Товарник)</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реконструкција, електрификација, изградња другог колосека;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E-85: (Београд)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Стара Пазова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Суботица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државна граница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(Келебија)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реконструкција, електрификација, изградња другог колосека;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осталим правцима: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1.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Распутница Сајлово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Римски шанчеви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Орловат стајалиште, реконструкција, електрификација;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2. Рума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државна граница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(Горња Борина), реконструкција, електрификација;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Петроварадин</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Беочин, реконструкција, електрификација;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Обреновац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пројектовање, изградња;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 Ваљево</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 пројектовање, изградња.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тачке 3.1.2. Водни саобраћај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3.1.2. Инфраструктура водног саобраћаја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тачки 3.1.2. ст. 1. и 2. мењају се 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Концепт инфраструктуре водног саобраћаја</w:t>
      </w:r>
      <w:r w:rsidRPr="00CA5443">
        <w:rPr>
          <w:rFonts w:ascii="Arial" w:hAnsi="Arial" w:cs="Arial"/>
          <w:noProof w:val="0"/>
          <w:color w:val="000000"/>
          <w:sz w:val="22"/>
          <w:szCs w:val="22"/>
          <w:vertAlign w:val="superscript"/>
          <w:lang w:val="en-US"/>
        </w:rPr>
        <w:t>2</w:t>
      </w:r>
      <w:r w:rsidRPr="00CA5443">
        <w:rPr>
          <w:rFonts w:ascii="Arial" w:hAnsi="Arial" w:cs="Arial"/>
          <w:noProof w:val="0"/>
          <w:color w:val="000000"/>
          <w:sz w:val="22"/>
          <w:szCs w:val="22"/>
          <w:lang w:val="en-US"/>
        </w:rPr>
        <w:t xml:space="preserve"> подразумева рехабилитацију и обнављање, модернизацију пловних путева (задржавање и повећавање класе пловности), као и обнављање и установљавање лучких и пристанишних капацитета, обезбеђење квалитетне повезаности са залеђем као и интегрално повезивање са осталим видовима саобраћаја.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Модернизација и рехабилитација у области инфраструктуре водног саобраћаја односи се 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искључивање застареле флоте и њену замену модерним, чистим и ефикасним бродовима;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увођење интелигентних система у саобраћај и транспорт са сателитским позиционирањем, дигиталном навигационом картографијом и слично;</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побољшање главних делова мреже унутрашњих пловних путева Републике Србије повезано са ограниченим средствима.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тачке 3.1.3. Ваздушни саобраћај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3.1.3. Инфраструктура ваздушног саобраћаја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тачки 3.1.3, став 2.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Концепт инфраструктуре ваздушног саобраћаја подразумева резервацију и обнављање, модернизацију постојећих капацитета, у складу са интересима корисника простора (општина), чиме се омогућује интегрално повезивање са осталим видовима саобраћаја.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i/>
          <w:noProof w:val="0"/>
          <w:color w:val="000000"/>
          <w:sz w:val="22"/>
          <w:szCs w:val="22"/>
          <w:lang w:val="en-US"/>
        </w:rPr>
        <w:t>2 дефинисан у оквиру Плана развоја железничког, друмског, водног, ваздушног и интермодалног транспорта у Републици Србији од 2015. до 2020. године (који је усвојен Закључком Владе 05 Број: 34-7752/2015-02, од 23. јула 2015. године).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тачке 3.1.4. Интермодални саобраћај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3.1.4. Инфраструктура интермодалног саобраћаја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3.2. Водопривредна инфраструктура, у тачки 3.2.1. Хидротехничка инфраструктура, назив дела Хидроенергетика: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3.2.2. Хидроенергетика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3.3. Енергетска инфраструктура, тачка 3.3.1. Електроенергетска инфраструктура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преко овог подручја, једним својим делом, прелазе/укрштају се трасе следећих далековода који су у власништву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Електромрежа Србије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АД:</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1. ДВ 400 kV бр. 409/2 РП Младост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ТС Сремска Митровица 2;</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2. ДВ 110 kV бр. 124/2 ТС Рума 1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ТС Рума 2;</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3. ДВ 110 kV бр. 124/3 ТС Рума 2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ТС Сремска Митровица 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4. ДВ 110 kV бр. 124/4 ТС Сремска Митровица 1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ТС Пећинци.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снабдевање електричном енергијом потрошача на подручју обухвата врши се из ТС 110/20 kV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 2</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инсталисане снаге 31,5 МVА и ТС 110/20 kV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 1</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2х31,5 МVА, ТС110/20 kV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Пећинци 1</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2х31,5 МVА, преко средњенапонске 20 kV мреже, трансформаторских станица 20 /0,4 kV и нисконапонске мреже 0,4 kV.</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Средњенапонска 20 kV мрежа је кабловска, надземна или мешовита (кабловска и надземна).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Трансформаторске станице 20/0,4 kV су изведене као монтажно бетонске, кoмпактно бетонске, стубне, зидане и зидане-тип кула.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Нисконапонска 0,4 kV мрежа је кабловска, надземна или мешовита (кабловска и надземна).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 подручју Просторног плана изграђена је преносна високонапонска 400 kV, 220 kV и 110 kV мрежа коју је у наредном периоду потребно ревитализовати. Напајање електричном енергијом обезбедиће се из постојећих трафостаница ТС 400/220/ 110 и ТС 110/20 kV.</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наредном периоду планиран је прелазак на двостепену напонску трансформацију 110/20 kV и реконструкција ТС 35/10(20) kV у разводна 20 kV чворишта. 35 kV напонски водови прећи ће или у 110 kV за напајање планираних 110/20 kV трафостаница, или ће радити на 20 kV напонском нивоу.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Дистрибутивне трафостанице 10/0,4 kV реконструисаће се за рад на 20/0,4 kV напонску трансформацију, а 10 kV водови реконструисати за рад на 20 kV напону.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Јавно осветљење, са расветним телима које ће пратити нове технологије развоја, изградиће се за потребе свих планираних садржаја у обухвату Просторног плана и дуж важнијих саобраћајница.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Постојећу преносну електроенергетску мрежу и планирани коридор потребно је међусобно ускладити, како би били задовољени технички услови диктирани Законом о јавним путевима и Правилником о техничким нормативима за изградњу надземних електроенергетских водова називног напона 1kV do 400 kV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СФРЈ</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број 65/88 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СРЈ</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18/92). Ово подразумева измештање стубова далековода, у делу трасе где нису задовољени технички прописи у односу на инфраструктурни коридор.</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Постојећу надземну електроенергетску мрежу нижег напонског нивоа која ће се укрштати са планираном саобраћајницом потребно је каблирати у коридору саобраћајнице и заштитити увлачењем у заштитне цеви. Стубови надземног вода морају бити на прописном растојању у складу са законским условима и правилницима. Такође, постојећу подземну електроенергетску мрежу на деоницама где је угрожена изградњом саобраћајнице, потребно је изместити на прописна растојања и по потреби заштитити.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Напајање електричном енергијом функционалних садржаја инфраструктурног коридора, као и осталих планираних садржаја у обухвату Просторног плана обезбедиће се изградњом 20kV мреже и дистрибутивних трафостаница.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случају изградње објеката који захтевају већу ангажовану снагу, или ако је капацитет постојећих трансформаторских станица недовољан, за напајање предметних објеката неопходна је изградња нових МБТС 20/0,4 kV или КТС 20/0,4 kV са прикључним 20 kV кабловским водом, чија би локација била што ближе тежишту потрошње.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Снабдевање електричном енергијом садашњих и будућих објеката предвиђено је преко постојећих 20 kV извода из ТС 110/20 kV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 1</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 ТС 110/20 kV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 2</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Пећинци 1</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2х31,5 МVА. У случају да укупна једновремена максимална снага садашњих и будућих објеката премаши расположиве капацитете постојећих 20 kV извода, потребно је изградити нов 20 kV извод из неке од ТС 110/20 kV.</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тачки 3.3.2. Гасоводна и нафтоводна инфраструктура, у делу Гасоводна инфраструктура, после става 1. додају се нови ст. 2. и 3, који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на предметном подручју у надлежности ЈП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Србијагас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налази се гасовод високог притиска РГ-05-05 Никинци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Сремска Митровица, пречника DN200 који се укршта са планираном трасом пута између km 51+000 и km 52+000 трасе пута. Поред наведеног гасовода високог притиска у близини постојеће петље Рума на Аутопуту А2, постоји и гасовод високог притиска РГ-04-17 Инђија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Сремска Митровица, пречника DN300 изван границе подручја детаљне разраде. При изради техничке документације обезбедити укрштање ових гасовода у складу са правилима из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у смислу прописаног угла укрштања, изградње гасовода у заштитној цеви и др.</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ЈП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Гас-Рума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има своје инсталације између стационажа пута km 55+500 и km 56+000 на излазу из насељеног места Хртковци према Никинцима (Мерно регулациона станица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Хртковци</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 деоница дистрибутивне гасне мреже МОР ≤ 4bar према Хртковцима).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Досадашњи ст. 2</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4. постају ст. 4</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6.</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пододељка и пододељак 3.4. Телекомуникациона инфраструктура мењају се 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3.4. Електронска комуникациона инфраструктура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Концепт развоја електронске комуникационе инфраструктуре, у складу са развојним документима и програмима на нивоу Републике Србија и надлежних оператера, предвиђа изградњу широкопојасне електронске комуникационе инфраструктуре у коридору саобраћајнице највишег ранга, којом ће се омогућити повезивање на националном, регионалном, прекограничном нивоу, као преко електронске комуникационе мреже у коридорима осталих саобраћајница, постојећих и планираних са локалним нивоом.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У коридору планираног ауто-пута, планирана је електронска комуникациона кабловска канализација (ITS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Intelligent Traffic System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дигитални коридор</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који повезује одморишта, паркиралишта, наплатне рампе, саобраћајне петље) за каблове електронских комуникационих система везаних за функционисање ауто-пута (СОС телефонија, видео надзор саобраћаја, управљање осветљењем петљи, оптичка веза базних станица, међусобна телефонска веза база за одржавање наплатних рампи, диспечерских/услужних центара, пренос података рачунарском мрежом) као и за потребе осталих имаоца система веза (мобилни оператери, војска, ЕПС, МУП итд.). Развојем ових система веома ефикасно се доприноси већој безбедности и ефикаснијем управљању и контроли саобраћаја као и повећаној услужности одморишта / паркиралишта у оквиру предметног ауто-пута. Траса и капацитети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дигиталног коридора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дефинисаће се техничком документацијом, а на основу услова имаоца јавних овлашћења.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 је и изградња приводних оптичких каблова од оптичког кабла у коридору пута дуж свих саобраћајница у обухвату Просторног плана за повезивање са насељима, садржајима ван насеља, базним радио-станицама.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Постојећу електронску комуникациону мрежу на деоницама где је угрожена изградњом саобраћајнице, потребно је изместити на прописна растојања и по потреби заштитити.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на предметном подручју у систему мобилне телефоније Телеком Србија има активне базне станице на више локација и постојеће радио-релејне коридоре фиксне телефоније.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Постојећи објекти и мрежа каблова Телекома Србије у обухвату Плана који су потенцијално угрожени изградњом планираних нових саобраћајних коридора морају бити адекватно заштићени пројектима измештања постојећих кабловских инсталација односно других објеката Телекома Србије. Не сме се ограничити нити онемогућити приступ односно службеност пролаза парцелама са инфраструктуром Телекома Србије.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Електронски комуникациони коридори морају бити заштићени планским документом у складу са Правилником o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РСˮ, број 16/12).</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Колизионе тачке коридора пута и постојећих оптичких каблова дате су Табели 6а: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Табела 6а: Колизионе тачке коридора пута и постојећих оптичких каблова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Колизија I · OK</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665"/>
        <w:gridCol w:w="4476"/>
      </w:tblGrid>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Релација</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Тип кабла</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Сателит</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8х12</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Лиман</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9x2</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ВФ Сремска Митровица</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10x2</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(I)</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8х2</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(II)</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12x12</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Нови Београд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Румска петља</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12x2</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ТКО Сремска Митровица</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12x2</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Нови Београд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Румска петља (II)</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8x12</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Наплатна станица Рума</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2х6</w:t>
            </w:r>
          </w:p>
        </w:tc>
      </w:tr>
      <w:tr w:rsidR="00CA5443" w:rsidRPr="00CA5443" w:rsidTr="00B97738">
        <w:trPr>
          <w:trHeight w:val="45"/>
          <w:tblCellSpacing w:w="0" w:type="auto"/>
        </w:trPr>
        <w:tc>
          <w:tcPr>
            <w:tcW w:w="860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привод за Healthcare Europe</w:t>
            </w:r>
          </w:p>
        </w:tc>
        <w:tc>
          <w:tcPr>
            <w:tcW w:w="579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4х6</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Колизија II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19"/>
        <w:gridCol w:w="7222"/>
      </w:tblGrid>
      <w:tr w:rsidR="00CA5443" w:rsidRPr="00CA5443" w:rsidTr="00B97738">
        <w:trPr>
          <w:trHeight w:val="45"/>
          <w:tblCellSpacing w:w="0" w:type="auto"/>
        </w:trPr>
        <w:tc>
          <w:tcPr>
            <w:tcW w:w="49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Релација</w:t>
            </w:r>
          </w:p>
        </w:tc>
        <w:tc>
          <w:tcPr>
            <w:tcW w:w="94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Тип кабла</w:t>
            </w:r>
          </w:p>
        </w:tc>
      </w:tr>
      <w:tr w:rsidR="00CA5443" w:rsidRPr="00CA5443" w:rsidTr="00B97738">
        <w:trPr>
          <w:trHeight w:val="45"/>
          <w:tblCellSpacing w:w="0" w:type="auto"/>
        </w:trPr>
        <w:tc>
          <w:tcPr>
            <w:tcW w:w="49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(I)</w:t>
            </w:r>
          </w:p>
        </w:tc>
        <w:tc>
          <w:tcPr>
            <w:tcW w:w="94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8х2</w:t>
            </w:r>
          </w:p>
        </w:tc>
      </w:tr>
      <w:tr w:rsidR="00CA5443" w:rsidRPr="00CA5443" w:rsidTr="00B97738">
        <w:trPr>
          <w:trHeight w:val="45"/>
          <w:tblCellSpacing w:w="0" w:type="auto"/>
        </w:trPr>
        <w:tc>
          <w:tcPr>
            <w:tcW w:w="49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(II)</w:t>
            </w:r>
          </w:p>
        </w:tc>
        <w:tc>
          <w:tcPr>
            <w:tcW w:w="94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12x12</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Колизија III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OK</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52"/>
        <w:gridCol w:w="6889"/>
      </w:tblGrid>
      <w:tr w:rsidR="00CA5443" w:rsidRPr="00CA5443" w:rsidTr="00B97738">
        <w:trPr>
          <w:trHeight w:val="45"/>
          <w:tblCellSpacing w:w="0" w:type="auto"/>
        </w:trPr>
        <w:tc>
          <w:tcPr>
            <w:tcW w:w="53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Релација</w:t>
            </w:r>
          </w:p>
        </w:tc>
        <w:tc>
          <w:tcPr>
            <w:tcW w:w="908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Тип кабла</w:t>
            </w:r>
          </w:p>
        </w:tc>
      </w:tr>
      <w:tr w:rsidR="00CA5443" w:rsidRPr="00CA5443" w:rsidTr="00B97738">
        <w:trPr>
          <w:trHeight w:val="45"/>
          <w:tblCellSpacing w:w="0" w:type="auto"/>
        </w:trPr>
        <w:tc>
          <w:tcPr>
            <w:tcW w:w="53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Хртковци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Никинци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Буђановци</w:t>
            </w:r>
          </w:p>
        </w:tc>
        <w:tc>
          <w:tcPr>
            <w:tcW w:w="908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4x6</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Колизија IV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19"/>
        <w:gridCol w:w="7222"/>
      </w:tblGrid>
      <w:tr w:rsidR="00CA5443" w:rsidRPr="00CA5443" w:rsidTr="00B97738">
        <w:trPr>
          <w:trHeight w:val="45"/>
          <w:tblCellSpacing w:w="0" w:type="auto"/>
        </w:trPr>
        <w:tc>
          <w:tcPr>
            <w:tcW w:w="49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Релација</w:t>
            </w:r>
          </w:p>
        </w:tc>
        <w:tc>
          <w:tcPr>
            <w:tcW w:w="94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Тип кабла</w:t>
            </w:r>
          </w:p>
        </w:tc>
      </w:tr>
      <w:tr w:rsidR="00CA5443" w:rsidRPr="00CA5443" w:rsidTr="00B97738">
        <w:trPr>
          <w:trHeight w:val="45"/>
          <w:tblCellSpacing w:w="0" w:type="auto"/>
        </w:trPr>
        <w:tc>
          <w:tcPr>
            <w:tcW w:w="49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(I)</w:t>
            </w:r>
          </w:p>
        </w:tc>
        <w:tc>
          <w:tcPr>
            <w:tcW w:w="94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8х2</w:t>
            </w:r>
          </w:p>
        </w:tc>
      </w:tr>
      <w:tr w:rsidR="00CA5443" w:rsidRPr="00CA5443" w:rsidTr="00B97738">
        <w:trPr>
          <w:trHeight w:val="45"/>
          <w:tblCellSpacing w:w="0" w:type="auto"/>
        </w:trPr>
        <w:tc>
          <w:tcPr>
            <w:tcW w:w="490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(II)</w:t>
            </w:r>
          </w:p>
        </w:tc>
        <w:tc>
          <w:tcPr>
            <w:tcW w:w="949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TOSM 12x12</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обухвату Просторног плана, привредно друштво Serbia Broadband Српске кабловске мреже д.о.о., Београд поседује изграђене инфраструктурне објекте оптичке каблове, за које је издата употребна дозвола. За сваку будућу активност у зони постојећих каблова потребно је обратити се њима ради издавања одговарајућих услова.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потребе мобилних телекомуникација, у складу са плановима развоја надлежних оператера, планиран је већи број базних радио-станица за покривање целокупног подручја.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Уколико се на предметном подручју планира успостављање нових радиорелејних коридора, телекомуникационих чворишта, базних станица мобилне телефоније и изградња телекомуникационе кабловске канализације, исти се реализују у складу са законским прописима.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одељку 4. Употреба земљишта, Табела 7: Намена простора у обухвату Просторног плана,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Табела 7: Намена простора у обухвату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89"/>
        <w:gridCol w:w="5537"/>
        <w:gridCol w:w="3115"/>
      </w:tblGrid>
      <w:tr w:rsidR="00CA5443" w:rsidRPr="00CA5443" w:rsidTr="00B97738">
        <w:trPr>
          <w:trHeight w:val="45"/>
          <w:tblCellSpacing w:w="0" w:type="auto"/>
        </w:trPr>
        <w:tc>
          <w:tcPr>
            <w:tcW w:w="2565" w:type="dxa"/>
            <w:vMerge w:val="restart"/>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НАМЕНА ПРОСТОРА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Површина</w:t>
            </w:r>
          </w:p>
        </w:tc>
      </w:tr>
      <w:tr w:rsidR="00CA5443" w:rsidRPr="00CA5443" w:rsidTr="00B97738">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CA5443" w:rsidRPr="00CA5443" w:rsidRDefault="00CA5443" w:rsidP="00CA5443">
            <w:pPr>
              <w:spacing w:after="200" w:line="276" w:lineRule="auto"/>
              <w:contextualSpacing w:val="0"/>
              <w:rPr>
                <w:rFonts w:ascii="Arial" w:hAnsi="Arial" w:cs="Arial"/>
                <w:noProof w:val="0"/>
                <w:sz w:val="22"/>
                <w:szCs w:val="22"/>
                <w:lang w:val="en-US"/>
              </w:rPr>
            </w:pP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-ha-</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w:t>
            </w:r>
          </w:p>
        </w:tc>
      </w:tr>
      <w:tr w:rsidR="00CA5443" w:rsidRPr="00CA5443" w:rsidTr="00B97738">
        <w:trPr>
          <w:trHeight w:val="45"/>
          <w:tblCellSpacing w:w="0" w:type="auto"/>
        </w:trPr>
        <w:tc>
          <w:tcPr>
            <w:tcW w:w="25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ПОЉОПРИВРЕДНО ЗЕМЉИШТЕ</w:t>
            </w: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70073.71</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50.34</w:t>
            </w:r>
          </w:p>
        </w:tc>
      </w:tr>
      <w:tr w:rsidR="00CA5443" w:rsidRPr="00CA5443" w:rsidTr="00B97738">
        <w:trPr>
          <w:trHeight w:val="45"/>
          <w:tblCellSpacing w:w="0" w:type="auto"/>
        </w:trPr>
        <w:tc>
          <w:tcPr>
            <w:tcW w:w="25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ШУМСКО ЗЕМЉИШТЕ</w:t>
            </w: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10649.21</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7.65</w:t>
            </w:r>
          </w:p>
        </w:tc>
      </w:tr>
      <w:tr w:rsidR="00CA5443" w:rsidRPr="00CA5443" w:rsidTr="00B97738">
        <w:trPr>
          <w:trHeight w:val="45"/>
          <w:tblCellSpacing w:w="0" w:type="auto"/>
        </w:trPr>
        <w:tc>
          <w:tcPr>
            <w:tcW w:w="25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ВОДНО ЗЕМЉИШТЕ</w:t>
            </w: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3107.19</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2.23</w:t>
            </w:r>
          </w:p>
        </w:tc>
      </w:tr>
      <w:tr w:rsidR="00CA5443" w:rsidRPr="00CA5443" w:rsidTr="00B97738">
        <w:trPr>
          <w:trHeight w:val="45"/>
          <w:tblCellSpacing w:w="0" w:type="auto"/>
        </w:trPr>
        <w:tc>
          <w:tcPr>
            <w:tcW w:w="25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ГРАЂЕВИНСКО ЗЕМЉИШТЕ</w:t>
            </w: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27645.43</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19.86</w:t>
            </w:r>
          </w:p>
        </w:tc>
      </w:tr>
      <w:tr w:rsidR="00CA5443" w:rsidRPr="00CA5443" w:rsidTr="00B97738">
        <w:trPr>
          <w:trHeight w:val="45"/>
          <w:tblCellSpacing w:w="0" w:type="auto"/>
        </w:trPr>
        <w:tc>
          <w:tcPr>
            <w:tcW w:w="25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грађевинско подручје насеља</w:t>
            </w: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23653.16</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16.99</w:t>
            </w:r>
          </w:p>
        </w:tc>
      </w:tr>
      <w:tr w:rsidR="00CA5443" w:rsidRPr="00CA5443" w:rsidTr="00B97738">
        <w:trPr>
          <w:trHeight w:val="45"/>
          <w:tblCellSpacing w:w="0" w:type="auto"/>
        </w:trPr>
        <w:tc>
          <w:tcPr>
            <w:tcW w:w="25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викенд зоне</w:t>
            </w: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1366.99</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0.98</w:t>
            </w:r>
          </w:p>
        </w:tc>
      </w:tr>
      <w:tr w:rsidR="00CA5443" w:rsidRPr="00CA5443" w:rsidTr="00B97738">
        <w:trPr>
          <w:trHeight w:val="45"/>
          <w:tblCellSpacing w:w="0" w:type="auto"/>
        </w:trPr>
        <w:tc>
          <w:tcPr>
            <w:tcW w:w="25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радне зоне</w:t>
            </w: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1572.84</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1.13</w:t>
            </w:r>
          </w:p>
        </w:tc>
      </w:tr>
      <w:tr w:rsidR="00CA5443" w:rsidRPr="00CA5443" w:rsidTr="00B97738">
        <w:trPr>
          <w:trHeight w:val="45"/>
          <w:tblCellSpacing w:w="0" w:type="auto"/>
        </w:trPr>
        <w:tc>
          <w:tcPr>
            <w:tcW w:w="25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инфраструктурни коридори</w:t>
            </w: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1142.25</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0.82</w:t>
            </w:r>
          </w:p>
        </w:tc>
      </w:tr>
      <w:tr w:rsidR="00CA5443" w:rsidRPr="00CA5443" w:rsidTr="00B97738">
        <w:trPr>
          <w:trHeight w:val="45"/>
          <w:tblCellSpacing w:w="0" w:type="auto"/>
        </w:trPr>
        <w:tc>
          <w:tcPr>
            <w:tcW w:w="25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УКУПНО</w:t>
            </w:r>
          </w:p>
        </w:tc>
        <w:tc>
          <w:tcPr>
            <w:tcW w:w="7593"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139210.78</w:t>
            </w:r>
          </w:p>
        </w:tc>
        <w:tc>
          <w:tcPr>
            <w:tcW w:w="42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100</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У глави IV ПРАВИЛА УРЕЂЕЊА И ПРАВИЛА ГРАЂЕЊА, у одељку 1. Правила уређења и организације земљишта, у пододељку 1.1. Функционалне и геометријске карактеристике планираног државног пута бр. 21 и бр. 19, назив дела Путни потез I: Каћ (Е-75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мост на Дунаву)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Нови Сад (Петроварадин),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1.1.1 Путни потез I: Каћ (Е-75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мост на Дунаву)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Нови Сад (Петроварадин)</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Назив дела Путни потез II: Нови Сад (Петроварадин)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Фрушка гора (подножје),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1.1.2. Путни потез II: Нови Сад (Петроварадин)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Фрушка гора (подножје)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Назив дела Путни потез III: Фрушка гора (подножје)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Јарак,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1.1.3. Путни потез III: Фрушка гора (подножје)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Јарак</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Део Деоница Ириг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ауто-пут Е70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Деоница Ириг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ауто-пут Е70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Даље, користи се постојећи пут са попречним профилом са четири траке, уз додатне две сервисне саобраћајнице ширине 5 m, са наменом несметаног опслуживања ораница, а без директног прикључења на пут за брз моторни саобраћај. Изменом Генералног пројекта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израдом Идејног пројекта у зони Руме, коридор новог пута помера се на исток (ка ДП број 126/Р-106), односно ка Жарковцу и Старој Пазови. У зони Руме планира се и изградња раскрсница денивелисаних/површинских (укрштај ДП број 21 на улазу у Руму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почетак деонице, са ДП број 126/Р-106,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традиционални улаз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код крила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кружна раскрсница на крају деонице), као и денивелације са магистралном пругом и ДП број 120/Р-103. Од денивелације са железничком пругом (изградња објекта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моста преко пруге паралелног са постојећим) траса се води већим делом у оквиру постојећег коридора са мањим делом који је ван трасе постојећег пута. Дуж ове деонице планиране су обостране сервисне саобраћајницe, са одговарајућим бројем пролаза испод трасе државног пута. Дакле, коридор обилази Руму планираном обилазницом и долази до ауто-пута Е70 где је планирана нова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Румаˮ.</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дела Путни потез IV Јарак</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1.1.4. Путни потез IV Јарак</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Део Деоница ауто-пут Е-70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(Штитар)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Деоница ауто-пут Е-70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Шабац (Штитар)</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Непосредно од нове петље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након преласка ауто-пута Е-70, коридор новопројектованог пута у потпуности напушта садашњи коридор државног пута бр. 21 и обилази прво насеље Јарак са источне стране, затим пролази између Хртковаца и Никинаца, па се даље протеже западно од Платичева и приближава се левој обали Саве. На овој деоници, планиран је ауто-путски профил државног пута. Мост преко Саве је пројектован тачно на месту дефинисаном по ГП-у Шапца (западно од Кленка). Траса се наставља по будућој обилазници Шапца по просторном плану све до места Штитар.</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Назив дела Путни потез V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Липнички Шор,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1.1.5. Путни потез V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Липнички Шор</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Назив дела Путни потез VI: Липнички Шор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Лозница (Шепак),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1.1.6. Путни потез VI: Липнички Шор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Лозница (Шепак)</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1.2. Целине и зоне посебне намене, назив дела и део Зона државног пута мењају се 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Зона државног пута</w:t>
      </w:r>
      <w:r w:rsidRPr="00CA5443">
        <w:rPr>
          <w:rFonts w:ascii="Arial" w:hAnsi="Arial" w:cs="Arial"/>
          <w:noProof w:val="0"/>
          <w:color w:val="000000"/>
          <w:sz w:val="22"/>
          <w:szCs w:val="22"/>
          <w:vertAlign w:val="superscript"/>
          <w:lang w:val="en-US"/>
        </w:rPr>
        <w:t>3</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i/>
          <w:noProof w:val="0"/>
          <w:color w:val="000000"/>
          <w:sz w:val="22"/>
          <w:szCs w:val="22"/>
          <w:lang w:val="en-US"/>
        </w:rPr>
        <w:t>3 Чл. 33, 34, 35. и 36. Закона о путевима.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Зона путног коридора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резервисан простор за потребе изградње и функционисања пута, утврђена је за изградњу пута и функционисање саобраћаја на њему. Изградња објеката у зони путног коридора подразумева објекте пута и објекте у функцији саобраћаја на њему, као и објекте инфраструктурних система који се укрштају или паралелно воде у коридору пута. Ширина зоне износи 70,0 m.</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Зона заштитног појаса поред јавног пута је утврђена за обезбеђење заштите од штетног утицаја путног коридора на окружење. Изградња објеката у овој зони није дозвољена осим за објекте који су у функцији пута и саобраћаја на њему. Ширина зоне директно произилази из законске регулативе и износи 40,0 m за ауто-пут, односно 20,0 m за остале државне путеве првог реда.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деоницу коридора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која има профил ауто-пута, заштитни појас износи 40 m. У овој зони дозвољена је само изградња објеката који су у функцији пута.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Зона појаса контролисане изградње у функцији је путног коридора и његовог несметаног функционисања у простору. Изградња објеката у овој зони дозвољена је по селективном принципу уз израду одговарајуће планске документације. Ширина зоне директно произилази из законске регулативе и износи 40,0 m за ауто-пут, односно 20,0 m за остале државне путеве првог реда.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која има профил ауто-пута, појас контролисане изградње износи 40,0 m.</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1.3. Урбанистички и други услови за уређење и изградњу површина и објеката посебне намене, у тачки 1.3.1. План веза инфраструктурних система са окружењем, у делу Функционално и просторно решење раскрсница, став 7.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која има профил ауто-пута, дефинисани су укрштаји и тип укрштаја приказани у табели 9б. Приказане стационаже свих укрштаја су оријентационе а као почетна је узета стационажа раскрснице обилазнице Руме и Инфраструктурног коридора (km 44 + 904, на основу Идејног пројекта у зони обилазнице Руме).</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става 7. додају се Табела 9б и став 8, који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Табела 9б Стационаже укрштаја према Идејном решењу за деоницу ИК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9"/>
        <w:gridCol w:w="4951"/>
        <w:gridCol w:w="3165"/>
        <w:gridCol w:w="1586"/>
      </w:tblGrid>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Редни број</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Оријентациона стационажа приказана у плану</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Врста укрштаја</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Изграђеност</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45+210.00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w:t>
            </w:r>
            <w:r>
              <w:rPr>
                <w:rFonts w:ascii="Arial" w:hAnsi="Arial" w:cs="Arial"/>
                <w:noProof w:val="0"/>
                <w:color w:val="000000"/>
                <w:sz w:val="22"/>
                <w:szCs w:val="22"/>
                <w:lang w:val="en-US"/>
              </w:rPr>
              <w:t>"</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48+420.00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Денивелација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прелаз преко ауто-пута</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48+950.00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преко државног пута IБ реда бр.21</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50+820.00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мост преко канала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Јарчина</w:t>
            </w:r>
            <w:r>
              <w:rPr>
                <w:rFonts w:ascii="Arial" w:hAnsi="Arial" w:cs="Arial"/>
                <w:noProof w:val="0"/>
                <w:color w:val="000000"/>
                <w:sz w:val="22"/>
                <w:szCs w:val="22"/>
                <w:lang w:val="en-US"/>
              </w:rPr>
              <w:t>"</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51+438.00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Денивелација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прелаз преко ауто-пута</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54+900.00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Денивелација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прелаз преко ауто-пута</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56+355.00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Денивелација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прелаз преко ауто-пута</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56+775.00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пролаз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канал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Врањ</w:t>
            </w:r>
            <w:r>
              <w:rPr>
                <w:rFonts w:ascii="Arial" w:hAnsi="Arial" w:cs="Arial"/>
                <w:noProof w:val="0"/>
                <w:color w:val="000000"/>
                <w:sz w:val="22"/>
                <w:szCs w:val="22"/>
                <w:lang w:val="en-US"/>
              </w:rPr>
              <w:t>"</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9.</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58+290.00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Хртковци</w:t>
            </w:r>
            <w:r>
              <w:rPr>
                <w:rFonts w:ascii="Arial" w:hAnsi="Arial" w:cs="Arial"/>
                <w:noProof w:val="0"/>
                <w:color w:val="000000"/>
                <w:sz w:val="22"/>
                <w:szCs w:val="22"/>
                <w:lang w:val="en-US"/>
              </w:rPr>
              <w:t>"</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10.</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58+570.00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преко девијације државног пута IБ реда бр.21</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11.</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59+967.00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Денивелација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прелаз преко ауто-пута</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12.</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61+650.00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13.</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62+350.00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14.</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62+938.00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Денивелација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прелаз преко ауто-пута</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планирана</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15.</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63+850.00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16.</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66+110.00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17.</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66+415.00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преко атарског пута</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w:t>
            </w:r>
          </w:p>
        </w:tc>
      </w:tr>
      <w:tr w:rsidR="00CA5443" w:rsidRPr="00CA5443" w:rsidTr="00B97738">
        <w:trPr>
          <w:trHeight w:val="45"/>
          <w:tblCellSpacing w:w="0" w:type="auto"/>
        </w:trPr>
        <w:tc>
          <w:tcPr>
            <w:tcW w:w="194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18.</w:t>
            </w:r>
          </w:p>
        </w:tc>
        <w:tc>
          <w:tcPr>
            <w:tcW w:w="76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66+510.00</w:t>
            </w:r>
          </w:p>
        </w:tc>
        <w:tc>
          <w:tcPr>
            <w:tcW w:w="4481"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мост преко канала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Савица</w:t>
            </w:r>
            <w:r>
              <w:rPr>
                <w:rFonts w:ascii="Arial" w:hAnsi="Arial" w:cs="Arial"/>
                <w:noProof w:val="0"/>
                <w:color w:val="000000"/>
                <w:sz w:val="22"/>
                <w:szCs w:val="22"/>
                <w:lang w:val="en-US"/>
              </w:rPr>
              <w:t>"</w:t>
            </w:r>
          </w:p>
        </w:tc>
        <w:tc>
          <w:tcPr>
            <w:tcW w:w="3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 рефералној карти број 2. Мрежа насеља и инфраструктурни системи приказане су оријентационе стационаже према Просторном плану.</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Делу Путни објекти у оквиру коридора: део Мостови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Мостови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Генералним пројектом мостова на ДП I реда бр. 21 и бр. 19, Нови Сад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 су обухваћени, разматрани и обрађени сви карактеристични објекти у трупу пута по питању ширине коловоза, типског распона, дужине објекта, начина фундирања и врсте препреке. Дат је и типски надвожњак за прелазе преко магистралног пута.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Планирани мост на источној обилазници око Новог Сада није био предмет Генералног пројекта, већ је планским документима планирана макролокација моста.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Идејним решењем Деонице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(ауто-путски коридор) извршена је измена планираних путних објеката у односу на Генерални пројекат и као таква приказана у Табели 10.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Табела 10: Путни објекти у оквиру коридора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38"/>
        <w:gridCol w:w="7803"/>
      </w:tblGrid>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 број</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објекат</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на реци Дунав</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постојећим ДП.21</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Румаˮ</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преко државног пута IБ реда бр.21</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мост преко канала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Јарчинаˮ</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9.</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10.</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11.</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пролаз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канал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Врањˮ</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12.</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Хртковциˮ</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13.</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преко девијације државног пута IБ реда бр.21</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14.</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15.</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16.</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17.</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18.</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19.</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20.</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преко атарског пута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21.</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мост преко канала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Савицаˮ</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22.</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река Сава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23.</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Канал Јерез</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24.</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Р-208</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25.</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Канал</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26.</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лок.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27.</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Канал Јерез</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28.</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пругом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29.</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30.</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31.</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32.</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33.</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34.</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35.</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36.</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Поток</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37.</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38.</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39.</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Река Јадар</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40.</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Поток</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41.</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42.</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43.</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Поток Отока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44.</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45.</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Поток Отока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46.</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Поток Отока</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47.</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48.</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49.</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50.</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51.</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надвожњак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52.</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53.</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54.</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подвожњак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општинским путем</w:t>
            </w:r>
          </w:p>
        </w:tc>
      </w:tr>
      <w:tr w:rsidR="00CA5443" w:rsidRPr="00CA5443" w:rsidTr="00B97738">
        <w:trPr>
          <w:trHeight w:val="45"/>
          <w:tblCellSpacing w:w="0" w:type="auto"/>
        </w:trPr>
        <w:tc>
          <w:tcPr>
            <w:tcW w:w="4312"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55.</w:t>
            </w:r>
          </w:p>
        </w:tc>
        <w:tc>
          <w:tcPr>
            <w:tcW w:w="1008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река Штира</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тачки 1.3.2. Правила за усаглашавање инфраструктурних система у коридору, став 1.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Основна правила за усаглашавање инфраструктурних система произилазе из важећих закона, техничких прописа, услова заштите животне средине, као и њиховог међусобног односа у простору. Просторним планом утврђују се правила за инфраструктурне системе и објекте водопривредне, термоенергетске, електроенергетске и електронске комуникационе инфраструктуре.</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дела Водопривредна инфраструктура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 Водопривредна инфраструктура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делу Правила уређења за зоне водозахвата, став 10.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Формирана изворишта укључују и зоне санитарне заштите. Узимајући у обзир и ове параметре морају се применити одговарајуће мере заштите (према законској регулативи) на следећим локацијама потенцијалних (и постојећих) изворишта: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Фишеров салаш код Руме,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Сава I код Јарка,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Мали забран код Шапца,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Хртковачка Драга,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Прњавор.</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дела Термоенергетска инфраструктура: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2) Термоенергетска инфраструктура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тачке и тачка 4) Телекомуникациона инфраструктура мењају се 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4) Електронска комуникациона инфраструктура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 местима укрштања траса електронске комуникационе инфраструктуре са планираном саобраћајницом, потребно је предвидети заштиту постојеће електронске комуникационе инфраструктуре, односно њено измештање уколико је потребно.</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Заштиту и обезбеђење постојећих објеката и каблова електронских комуникација треба извршити пре почетка било каквих грађевинских радова и предузети све потребне и одговарајуће мере предострожности како не би дошло до угрожавања механичке стабилности, техничке исправности и оптичких карактеристика постојећих објеката и каблова електронских комуникација. При планирању обавезно водити рачуна о минималном растојању друге инфраструктуре од постојеће електронске комуникационе инфраструктуре.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Приликом планирања нових саобраћајних коридора планирати полагање цеви за накнадно провлачење каблова електронских комуникација телекомуникационих оператера у оквиру парцела у власништву имаоца саобраћајне инфраструктуре. Предметне цеви поставити у зони експропријације, изван ограде ауто-пута са друге (супротне) стране ауто-пута од положаја цеви за управљача ауто-пута и државне институције. Положај и капацитет предметних цеви за накнадно провлачење каблова електронске комуникације, као и потребне прелазе са једне на другу страну ауто-пута дефинисаће се кроз израду техничке документације, на основу услова имаоца јавних овлашћења.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При изради техничке документације неопходно је обезбедити заштиту електронских комуникационих мрежа и припадајућих средстава и предвидети техничке и друге захтеве при изградњи пратеће инфраструктуре потребне за постављање електронских комуникационих мрежа и опреме сагласно Закону о електронским комуникацијама.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Коридори електронске комуникационе инфраструктуре морају бити заштићени у складу са Правилником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Укрштање са државним путевима извести искључиво механичким подбушивањем испод трупа пута, тако да минимална дубина предметних инсталација и заштитне цеви од најниже горње коте коловоза до горње коте заштитне цеви износи 1,35</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1,50 m, у зависности од конфигурације терена.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Уколико се на предметном подручју планира успостављање нових радиорелејних коридора, телекомуникационих чворишта, базних станица мобилне телефоније и изградња кабловске канализације за електронске комуникације и ITS, исти се реализују у складу са законским прописима.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назива пододељка 1.5. Смернице и услови за формирање грађевинских парцела додаје се назив тачке 1.5.1, који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1.5.1. Смернице и услови за формирање грађевинских парцела на деоници Румске обилазнице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става 7. додају се назив тачке и тачка 1.5.2, који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1.5.2. Смернице и услови за формирање грађевинских парцела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 план у делу који се односи на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je основ за формирање парцеле јавне намене.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изградњу у оквиру инфраструктурног коридора, који се простире преко територије две или више катастарских општина, пре издавања употребне дозволе, формира се једна или више грађевинских парцела, тако да једна грађевинска парцела представља збир целих и/или делова појединачних катастарских парцела унутар катастарских општина.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Ако је у току имплементације Просторног плана потребно формирати мање грађевинске парцеле за поједине функционалне целине или ако то захтева динамика решавања имовинско-правних односа и изградње, дозвољава се даља препарцелација формираних грађевинских парцела, израдом пројекта парцелације.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обухвату парцела земљишта јавне намене које су формиране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за потребе изградње државног пута и регулације водотокова, дозвољена је израда пројеката парцелације и формирање мањих парцела у складу са потребама и динамиком реализације планских решења.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оквиру земљишта јавних намена могућа је прерасподела водног и путног земљишта уз сагласност управљача/имаоца јавних овлашћења надлежних јавних предузећа.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оквиру граница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могуће је одговарајућом урбанистичком документацијом остварити континуитет прекинутих атарских путева ради обезбеђења непосредног приступа парцелама у ванграђевинском подручју.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Регулациона линија деонице са профилом ауто-пута је дефинисана постојећим међним тачкама парцела и новоодређеним међним тачкама.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Табела 12в Списак новоодређених међних тачака</w:t>
      </w:r>
    </w:p>
    <w:p w:rsidR="00CA5443" w:rsidRPr="00CA5443" w:rsidRDefault="00CA5443" w:rsidP="00CA5443">
      <w:pPr>
        <w:spacing w:after="200" w:line="276" w:lineRule="auto"/>
        <w:contextualSpacing w:val="0"/>
        <w:rPr>
          <w:rFonts w:ascii="Arial" w:hAnsi="Arial" w:cs="Arial"/>
          <w:noProof w:val="0"/>
          <w:sz w:val="22"/>
          <w:szCs w:val="22"/>
          <w:lang w:val="en-US"/>
        </w:rPr>
      </w:pPr>
      <w:bookmarkStart w:id="1" w:name="_idContainer005"/>
      <w:r w:rsidRPr="00CA5443">
        <w:rPr>
          <w:rFonts w:ascii="Arial" w:hAnsi="Arial" w:cs="Arial"/>
          <w:sz w:val="22"/>
          <w:szCs w:val="22"/>
          <w:lang w:eastAsia="sr-Latn-RS"/>
        </w:rPr>
        <w:pict>
          <v:shape id="Picture 2" o:spid="_x0000_i1046" type="#_x0000_t75" style="width:451.5pt;height:627.75pt;visibility:visible;mso-wrap-style:square">
            <v:imagedata r:id="rId8" o:title=""/>
          </v:shape>
        </w:pict>
      </w:r>
    </w:p>
    <w:bookmarkEnd w:id="1"/>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sz w:val="22"/>
          <w:szCs w:val="22"/>
          <w:lang w:eastAsia="sr-Latn-RS"/>
        </w:rPr>
        <w:pict>
          <v:shape id="Picture 3" o:spid="_x0000_i1045" type="#_x0000_t75" style="width:451.5pt;height:635.25pt;visibility:visible;mso-wrap-style:square">
            <v:imagedata r:id="rId9" o:title=""/>
          </v:shape>
        </w:pic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sz w:val="22"/>
          <w:szCs w:val="22"/>
          <w:lang w:eastAsia="sr-Latn-RS"/>
        </w:rPr>
        <w:pict>
          <v:shape id="Picture 4" o:spid="_x0000_i1044" type="#_x0000_t75" style="width:451.5pt;height:635.25pt;visibility:visible;mso-wrap-style:square">
            <v:imagedata r:id="rId10" o:title=""/>
          </v:shape>
        </w:pic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sz w:val="22"/>
          <w:szCs w:val="22"/>
          <w:lang w:eastAsia="sr-Latn-RS"/>
        </w:rPr>
        <w:pict>
          <v:shape id="Picture 5" o:spid="_x0000_i1043" type="#_x0000_t75" style="width:451.5pt;height:635.25pt;visibility:visible;mso-wrap-style:square">
            <v:imagedata r:id="rId11" o:title=""/>
          </v:shape>
        </w:pic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sz w:val="22"/>
          <w:szCs w:val="22"/>
          <w:lang w:eastAsia="sr-Latn-RS"/>
        </w:rPr>
        <w:pict>
          <v:shape id="Picture 6" o:spid="_x0000_i1042" type="#_x0000_t75" style="width:451.5pt;height:635.25pt;visibility:visible;mso-wrap-style:square">
            <v:imagedata r:id="rId12" o:title=""/>
          </v:shape>
        </w:pic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границама детаљне разраде дефинисане су површине парцела јавних намена и приказане у Табели 12г.</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Табела 12г: Списак катастарских парцела од којих се образују парцеле јавне намене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26"/>
        <w:gridCol w:w="2002"/>
        <w:gridCol w:w="3740"/>
        <w:gridCol w:w="1545"/>
        <w:gridCol w:w="1376"/>
        <w:gridCol w:w="1352"/>
      </w:tblGrid>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Озн.</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парцеле</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Намена</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Састоји се од катастарских парцела</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Катастарска општина</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Аналит. тачке у границама парцела</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Површина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b/>
                <w:noProof w:val="0"/>
                <w:color w:val="000000"/>
                <w:sz w:val="22"/>
                <w:szCs w:val="22"/>
                <w:lang w:val="en-US"/>
              </w:rPr>
              <w:t>(hа)</w:t>
            </w:r>
          </w:p>
        </w:tc>
      </w:tr>
      <w:tr w:rsidR="00CA5443" w:rsidRPr="00CA5443" w:rsidTr="00B97738">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Парцеле саобраћајних површина</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J1</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површина намењена за реализацију петље са приступним саобраћајницама и пратећим садржајима</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Целе:11297/5, 11297/4, 12767/2, 12658/2, 11653/3, 11653/2, 12612/2, 11650/8, 11650/7, 11650/5, 11651/3, 11651/2, 11652/3, 11652/2, 12765/2, 11767/2, 12764/3, 12764/2, 11768/3, 11768/2, 11769/2, 11769/3, 11770/3, 11770/2, 1771/5,11771/4,11772/4, 11772/3,11773/3, 11773/2, 11774/3, 11774/2, 11775/3, 11775/2, 11776/4, 11776/2, 12612/3, 11776/3, 11660/2, 11662/2, 11661/1, 11661/2, 11666/2, 11663/2, 11662/3, 11661/3, 12658/4, 11766/1, 11766/3, 11766/2, 11772/2, 11778/3, 11778/1, 11779/1, 11777/2, 11778/2, 11780/3, 11780/4, 11780/6, 11780/5, 12766/4, 12089/3, 12090/3, 12091/2, 12610/3, 12085/3, 12085/2, 12086/5, 12610/2, 12091/1, 12090/2, 12009/2, 12088/2, 12088/3, 12087/6, 12087/5, 12087/4, 12087/3, 11781/2, 11781/3, 11782/2, 11782/3, 11783/2, 11783/3, 11784/3, 11784/2, 11785/2, 11785/3, 12766/3, 11749/2, 11750/3, 11750/2, 11751/2, 11752/3, 12659/4, 11765/1, 12618/4, 12642/4, 12642/3, 12117/3, 12116/3, 12115/3, 12781/4, 12093/1, 12094/1, 12620/1, 12646/2, 12092, 12093/2, 12094/2, 12095/4, 12096/3, 12096/2, 12097/2, 12094/3, 12095/2, 12620/2, 12095/1, 12781/3, 12110/2, 12111/5, 12111/3, 12111/1, 12111/6, 12111/4, 12111/2, 12112/1, 12112/2, 12113/2, 12113/1, 12114/1, 12114/2, 12115/2, 12115/1, 12116/2, 12116/1, 12117/2, 12117/1, 12618/3, 12618/2, 11752/2, 11753/3, 11753/4, 11754/3, 11754/4, 11755/4, 11755/5, 11755/6, 11756/2, 11757/2, 11759/2, 11760/2, 11761/2, 11762/2, 12775/2, 12110/2, 12121/2, 12122/2, 12659/2, 12118/2, 11763/2, 12659/3, 11765/4, 11765/3, 11765/2, 11764/3, 11764/2, 11764/1, 11763/1, 11763/3, 12118/3, 11763/5, 11763/4, 12156/3, 12619/1, 12619/2, 12156/7, 12619/3</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 делови:11297/1, 12767/1, 11655/3, 11655/4, 12658/3, 11666/1, 11663/1, 11662/1, 11660/1, 12765/1, 11767/1, 11748/4, 11748/2, 11749/1, 11750/1, 11751/1, 11752/1, 11753/1, 11753/2, 11754/1, 11754/2, 11755/1, 11755/2, 11755/3, 11756/1, 12658/1, 11654, 12612/1, 11645, 11646, 11647, 11648, 11649, 11650/1, 11650/4, 11650/6, 11651/1, 11652/1, 12764/1, 11768/1, 11769/1, 11770/1, 11771/1, 11771/2, 11779/2, 12766/2, 11787/2, 11786/3, 11786/4, 12647/1, 12647/2, 12647/6, 12620/3, 12084/5, 12159/3, 12159/1, 12111/7, 12111/8, 12618/5, 12156/1, 12156/2, 12158/2, 12158/3, 12158/4, 12158/1, 12659/1, 12121/1, 12122/1, 12123/1, 12123/2, 12124/1, 12124/2, 12125, 12126, 12127, 12128, 12776, 12155, 12617/1, 12154, 12153</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Рума</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1-61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482-502</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84,9391</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J2</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Целе: 301/2</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 делови: 1571, 1524, 70/3, 72, 73, 74, 75, 295/1, 76/9, 76/8, 78/1, 78/4, 78/3, 78/5, 291, 294, 296/1, 296/2, 297/5, 348/2, 297/4, 297/3, 297/6, 297/1, 297/2, 295/2, 298/7, 356, 302/1, 302/9, 302/6, 302/8, 302/2, 303, 300/8, 300/7, 300/15, 300/12, 300/6, 300/13, 300/5, 300/3, 300/4, 300/10, 300/2, 301/1, 304, 307, 308, 309</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Јарак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61-84</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454-482</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18,9241</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J3</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 /Прелаз преко државног пута</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Део: 1253/1</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Јарак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84, 84.1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453-454</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0,3934</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J4</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278/1, 277, 276/4, 276/5, 276/3, 276/2, 282, 1016, 275/1, 275/2, 1013/1, 1015, 1017, 1018, 1019, 1020, 1021/1, 1021/2, 1558, 1022, 1023, 1024, 1025/1, 1025/5, 1025/2, 1025/6, 1060/1, 1060/5, 1060/2, 1060/3, 1059, 1058, 1057/2, 1057/1, 1056, 1055/2, 1055/4, 1055/1, 1054, 1053, 1052, 1083, 1050/1, 1050/5, 1050/4</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Јарак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84.1-101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436-453</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16,6556</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J6</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Целе: 1161/4, 1148/9, 1148/18, 1176</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 делови: 1177/1, 1175, 1174, 1164/7, 1164/8, 1164/9, 1164/14, 1164/13, 1164/10, 1168, 1161/8, 1161/11, 1161/7, 1161/6, 1161/5, 1161/3, 1161/2, 1161/1, 1161/10, 1160, 1148/10, 1158, 1152/1, 1544</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Јарак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102-114</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418-435</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11,4766</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J7</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Целе: 3286</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 делови: 4221, 4357, 2764, 2765, 2766/2, 2766/1, 2767, 2768, 2769, 2770, 2771, 2772, 2773, 2774, 2775, 2776, 2777, 4350, 4230, 2819, 2818, 2817/1, 2817/2, 2816, 2815, 2814, 2813, 2812, 2811,2810, 2809, 4351, 2793, 2794, 2795, 2796/1, 2796/2, 2797, 2798, 2799/1, 2799/2, 2800, 2801, 4221, 3308, 3307, 4227, 3300, 3299, 3298, 3297, 3296/2, 3296/1, 3295, 4347, 3285, 3287, 4257, 4197, 3277/1, 3277/2, 3276, 3275, 3274/2, 3274/1, 3273, 3272, 3271, 4397, 4254, 3268, 3267, 3266/3, 3266/2, 3266/1, 3265, 3264, 3263/2, 3263/1, 3262/2, 3262/1, 3261, 3260, 3259, 3258, 3257, 3256, 3255, 3254, 3253, 3252, 3367, 3368, 3369, 3370, 3371, 3372, 3373, 3374, 3375, 3376, 3377, 3378, 3379, 4394, 4276, 4416, 4395, 4277, 3250, 3249, 3248, 3247, 3246, 4279, 4418, 3199, 3245, 3244, 3243, 3242, 3241</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Хртковци</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114-148</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374-418</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28,9089</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J8</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Ауто-пут/површина намењена реализацији одморишта</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4394, 4276, 4393, 3413/2, 3414, 3415, 3416, 3417, 3418, 3419, 3420, 3421, 3241, 3240, 3239, 3238, 4280, 3237, 3236, 3235, 3234, 3233, 3232/2, 3232/1, 3231, 3230/1, 3230/2, 3229/2, 3229/1, 3228, 3227, 3226, 3225, 3224, 3223, 3222, 3221, 2235/2, 3280/1, 3979, 3980/2, 3981, 3982, 3983, 3984</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Хртковци</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148-154</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368-374</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18,2980</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J9</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Целе: 3974/3, 4422, 4023, 4022, 4021, 4020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 делови: 4195, 3968/3, 3970/1, 3970/2, 3971/1, 3972/1, 3973/1, 3974/1, 3974/2, 3975, 3976, 3977, 4392, 3979, 3980/2, 3981, 3982, 3983, 3984, 3985, 3986, 3987, 3988, 3989, 3990, 4421, 3992, 4010, 4011, 4012, 4013, 4014, 4015, 4016, 4017, 4018, 4019, 3960, 2218/2, 3959, 3961, 3962, 3963/1, 3963/2, 3964</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Хртковци</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154-160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361-368</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8,4892</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J11</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3958, 4423, 4424, 3943, 3942, 3941, 4025/1, 4025/2, 4425, 3938, 3939, 4282, 3925/1, 4428, 4036, 4035, 4034, 4033, 4427, 3920/1, 3920/2, 3921, 3922, 3923/1, 3923/2, 3923/3, 3924, 4429, 4037/1, 4037/2</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Хртковци</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161-179</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348-360</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8,9916</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J12</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површина намењена за реализацију петље са приступним саобраћајницама</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Целе: 4115, 4114/2, 4114/1, 4113, 4128, 4129, 4130, 4131, 4132, 4133, 3866, 3867, 3863/2, 3862, 3863/1, 3864, 3865, 4153/1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 делови: 3914, 3915, 3916, 3917, 3918, 3919, 3920/1, 3920/2, 3921, 3922, 3923/1, 3923/2, 4283, 4431, 4194, 4467, 4285, 4441, 3868, 4120/1, 4120/3, 4120/2, 4119, 4118, 4117, 4116, 4112, 3855, 3856, 3857, 3858, 3859, 3860, 3861, 4134, 4135, 4141, 4142/1, 4142/2, 4144, 4145/1, 4145/2, 4146/1, 4146/2, 4146/7, 4146/3, 4146/8, 4146/9, 4146/10, 4153/2</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Хртковци</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179-184</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340-348</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44,0542</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J13</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4153/2, 4155, 4491, 4490, 4156/2, 4489, 4476, 4199, 4475, 4156/1, 4156/3, 4159, 4162, 4507/1, 4161</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Хртковци</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184-204</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322-340</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21,3341</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J14</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3572, 3669, 3564, 3548, 3568, 3569, 3570, 3571, 3599, 3600, 3621</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Платичево</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204-222</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228-230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299-322</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23,8602</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J15</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6028, 6029, 4084/2, 4085</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Кленак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223-228</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0,2751</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J16</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4040, 4083, 4082, 4081, 4080, 4079, 4078, 4077, 4076, 4075, 4074, 4073, 4072, 4071, 4070, 4069, 4068, 4067, 4066, 4065/2, 4065/1, 4064</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Кленак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230-237</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282-298</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12,2297</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J17</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Ауто-пут/површина намењена за реализацију наплатне рампе</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4040, 6027, 4064, 4063, 4062, 4061, 4060</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Кленак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237-240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277-282</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4,3377</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J18</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4040, 4034, 4035</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Кленак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240-251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267-277</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6,2818</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J20</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Ауто-пут</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Делови: 4029, 4030, 4020, 4022, 4024, 4025, 4026</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Кленак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252-266</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2,8370</w:t>
            </w:r>
          </w:p>
        </w:tc>
      </w:tr>
      <w:tr w:rsidR="00CA5443" w:rsidRPr="00CA5443" w:rsidTr="00B97738">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Парцеле водног земљишта</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Jв5</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Водно земљиште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канал Јарчина</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i/>
                <w:noProof w:val="0"/>
                <w:color w:val="000000"/>
                <w:sz w:val="22"/>
                <w:szCs w:val="22"/>
                <w:lang w:val="en-US"/>
              </w:rPr>
              <w:t>Део: 1553</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Јарак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101-102</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435-436</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2,7373</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Јв10</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Водно земљиште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канал Врањ</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i/>
                <w:noProof w:val="0"/>
                <w:color w:val="000000"/>
                <w:sz w:val="22"/>
                <w:szCs w:val="22"/>
                <w:lang w:val="en-US"/>
              </w:rPr>
              <w:t>Део: 2228/2</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Хртковци</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160-161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360-361</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0,7628</w:t>
            </w:r>
          </w:p>
        </w:tc>
      </w:tr>
      <w:tr w:rsidR="00CA5443" w:rsidRPr="00CA5443" w:rsidTr="00B97738">
        <w:trPr>
          <w:trHeight w:val="45"/>
          <w:tblCellSpacing w:w="0" w:type="auto"/>
        </w:trPr>
        <w:tc>
          <w:tcPr>
            <w:tcW w:w="61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Јв19</w:t>
            </w:r>
          </w:p>
        </w:tc>
        <w:tc>
          <w:tcPr>
            <w:tcW w:w="29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Водно земљиште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канал Савица</w:t>
            </w:r>
          </w:p>
        </w:tc>
        <w:tc>
          <w:tcPr>
            <w:tcW w:w="1076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i/>
                <w:noProof w:val="0"/>
                <w:color w:val="000000"/>
                <w:sz w:val="22"/>
                <w:szCs w:val="22"/>
                <w:lang w:val="en-US"/>
              </w:rPr>
              <w:t>Део: 6022</w:t>
            </w:r>
          </w:p>
        </w:tc>
        <w:tc>
          <w:tcPr>
            <w:tcW w:w="10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Кленак</w:t>
            </w:r>
          </w:p>
        </w:tc>
        <w:tc>
          <w:tcPr>
            <w:tcW w:w="136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251-252</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266-267</w:t>
            </w:r>
          </w:p>
        </w:tc>
        <w:tc>
          <w:tcPr>
            <w:tcW w:w="1257"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0,1732</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случају неслагања текстуалног описа катастарских парцела јавне намене и графичких прилога плана регулације и нивелације, меродавни су графички прилози.</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1.7. Смернице и услови за делове територије у обухвату Просторног плана за које је предвиђена израда урбанистичког плана, став 1.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Делови територије за које је предвиђена израда урбанистичког плана обухватају:</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административно подручје града Новог Сада;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деоницу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комплекс намењен пратећим путним садржајима, изузев у оквиру деонице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грађевинска подручја уз државне путеве I реда.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тачке 1.7.1. Административно подручје града Новог сада, додају се назив тачке и нова тачка 1.7.2, који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1.7.2. Деоница Шабац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Лозница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Од обилазнице око Шапца до граничног прелаза Трбушница је неопходна израда плана детаљне регулације уз примену правила уређења из овог плана и техничких елемената пута који ће бити дефинисани у Генералном пројекту за четворотрачни пут. Планове детаљне регулације на овог деоници могуће је израдити у складу са функционалним и просторним елементима у оквиру путног коридора (70 m, тј 2 х 35 m). </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Досадашња тачка 1.7.2. Смернице за кружну раскрсницу на km 24 + 300 постаје тачка 1.7.3.</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Досадашња тачка 1.7.3. Путни садржаји, која постаје тачка 1.7.4,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Одморишта и станице за снабдевање горивима, као пратећи путни садржаји, се могу градити уз све путеве, на деоницама унутар и ван насеља, придржавајући се основних одредби које произлазе из Закона о путевима. У појасу уз државне и остале путеве унутар насеља избор микролокације пре свега зависи од постојећег броја и стања ССГ, зонинга насеља, постојећих и планираних намена простора, заштићених природних добара као и других релевантних података (стање еколошких параметара, правци дувања ветрова, положаја индустријских и других еколошки проблематичних садржаја, положаја стамбених зона, школа и свих других садржаја где је могуће потенцијално угрожавање животне средине).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Уз јавне путеве се могу градити и пословни објекти, објекти за смештај пољопривредне механизације, складиштење и прераду пољопривредних производа. Ове садржаје уз јавне путеве препоручљиво је координисано везивати на државне путеве преко сервисне саобраћајнице, са периодичношћу од минимално 800 m између прикључака.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све објекте који имају директан прикључак обавезан је преплет од минимално 800 m (крај улива и почетак излива). Стационаже пратећих садржаја су из тог разлога оријентационе.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путне садржаје на деоници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предвиђено је директно спровођење на основу Просторног плана. </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1.8. План размештаја путних садржаја, у тачки 1.8.1. Функционални садржаји, после дела Станице за управљање и контролу саобраћаја, додају се назив дела и део, који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Наплата путарине: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Деоница инфраструктурног коридора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планирана је као ауто-путски коридор са контролисаним приступом, што између осталог подразумева и наплату путарине.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Наплата путарине на овој деоници планирана је на следећим оријентационим стационажама: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Наплатна рампа у оквиру петље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km 44+810.00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Наплатна рампа у оквиру петље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Хртковци</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km 58+375.00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Чеона наплатна рампа испред моста на Сави: km 65+650.00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Саобраћајне траке на наплатним платоима пројектовати са ширином од минимум 3,50 m, а траку за пролаз вангабаритног возила пројектовати ширине 5,50 m. Дужину острва наплатних платоа испројектовати у складу са модернизацијом наплатног система на читавој територији државе, односно L=52.0 m. Коловозну конструкцију на дужини острва наплатних платоа треба пројектовати са бетонским застором.</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тачки 1.8.2. Садржаји за потребе корисника државног пута, назив Табеле 14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Табела 14: Оријентационе стационаже пратећих садржаја - станице за снабдевање горивима (на основу Генералног пројекта инфраструктурног коридора)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Табеле 14 додаје се део,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Садржаји за потребе корисника државног пута (профил ауто-пута) на деоници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(одморишта са услужним центром) према Идејном решењу, дати су на оријентационим стационажама у табели која следи.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Табела 14а: Оријентационе стационаже пратећих садржаја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одморишта са услужним центром, на деоници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(према Идејном решењу)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5"/>
        <w:gridCol w:w="965"/>
        <w:gridCol w:w="7199"/>
        <w:gridCol w:w="1652"/>
      </w:tblGrid>
      <w:tr w:rsidR="00CA5443" w:rsidRPr="00CA5443" w:rsidTr="00B97738">
        <w:trPr>
          <w:trHeight w:val="45"/>
          <w:tblCellSpacing w:w="0" w:type="auto"/>
        </w:trPr>
        <w:tc>
          <w:tcPr>
            <w:tcW w:w="177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Бр.</w:t>
            </w:r>
          </w:p>
        </w:tc>
        <w:tc>
          <w:tcPr>
            <w:tcW w:w="48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Стране</w:t>
            </w:r>
          </w:p>
        </w:tc>
        <w:tc>
          <w:tcPr>
            <w:tcW w:w="10359"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Оријентациона стационажа у Просторном плану</w:t>
            </w:r>
          </w:p>
        </w:tc>
        <w:tc>
          <w:tcPr>
            <w:tcW w:w="1779"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Врста пратећег садржаја</w:t>
            </w:r>
          </w:p>
        </w:tc>
      </w:tr>
      <w:tr w:rsidR="00CA5443" w:rsidRPr="00CA5443" w:rsidTr="00B97738">
        <w:trPr>
          <w:trHeight w:val="45"/>
          <w:tblCellSpacing w:w="0" w:type="auto"/>
        </w:trPr>
        <w:tc>
          <w:tcPr>
            <w:tcW w:w="177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w:t>
            </w:r>
          </w:p>
        </w:tc>
        <w:tc>
          <w:tcPr>
            <w:tcW w:w="48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лева</w:t>
            </w:r>
          </w:p>
        </w:tc>
        <w:tc>
          <w:tcPr>
            <w:tcW w:w="10359"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55+800.00</w:t>
            </w:r>
          </w:p>
        </w:tc>
        <w:tc>
          <w:tcPr>
            <w:tcW w:w="1779"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Одмориште са услужним центром</w:t>
            </w:r>
          </w:p>
        </w:tc>
      </w:tr>
      <w:tr w:rsidR="00CA5443" w:rsidRPr="00CA5443" w:rsidTr="00B97738">
        <w:trPr>
          <w:trHeight w:val="45"/>
          <w:tblCellSpacing w:w="0" w:type="auto"/>
        </w:trPr>
        <w:tc>
          <w:tcPr>
            <w:tcW w:w="1778"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w:t>
            </w:r>
          </w:p>
        </w:tc>
        <w:tc>
          <w:tcPr>
            <w:tcW w:w="48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десна</w:t>
            </w:r>
          </w:p>
        </w:tc>
        <w:tc>
          <w:tcPr>
            <w:tcW w:w="10359"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km 55+800.00</w:t>
            </w:r>
          </w:p>
        </w:tc>
        <w:tc>
          <w:tcPr>
            <w:tcW w:w="1779"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Одмориште са услужним центром</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склопу планираних одморишта потребно је формирати и услужни центар, као најпотпунији пратећи садржај који се може понудити корисницима будућег ауто-путског правца.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оквиру одморишта типа О-2 са услужним центром, у складу са прописима, потребно је да се појаве садржаји са следећим оријентационим вредностима параметара капацитета: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телефон за помоћ,</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јавни телефон,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вода за пиће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чесма на отвореном,</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санитарно хигијенски чвор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површине 40</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100 m</w:t>
      </w:r>
      <w:r w:rsidRPr="00CA5443">
        <w:rPr>
          <w:rFonts w:ascii="Arial" w:hAnsi="Arial" w:cs="Arial"/>
          <w:noProof w:val="0"/>
          <w:color w:val="000000"/>
          <w:sz w:val="22"/>
          <w:szCs w:val="22"/>
          <w:vertAlign w:val="superscript"/>
          <w:lang w:val="en-US"/>
        </w:rPr>
        <w:t>2</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информације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засебан информативно-туристички пункт, површине око 25 m</w:t>
      </w:r>
      <w:r w:rsidRPr="00CA5443">
        <w:rPr>
          <w:rFonts w:ascii="Arial" w:hAnsi="Arial" w:cs="Arial"/>
          <w:noProof w:val="0"/>
          <w:color w:val="000000"/>
          <w:sz w:val="22"/>
          <w:szCs w:val="22"/>
          <w:vertAlign w:val="superscript"/>
          <w:lang w:val="en-US"/>
        </w:rPr>
        <w:t>2</w:t>
      </w:r>
      <w:r w:rsidRPr="00CA5443">
        <w:rPr>
          <w:rFonts w:ascii="Arial" w:hAnsi="Arial" w:cs="Arial"/>
          <w:noProof w:val="0"/>
          <w:color w:val="000000"/>
          <w:sz w:val="22"/>
          <w:szCs w:val="22"/>
          <w:lang w:val="en-US"/>
        </w:rPr>
        <w:t>, као и табла са називом и планом одморишта укључујући и информацију о станици за снабдевањем горивом и о мотелу (уколико постоји), на улазу, те табла са основним информацијама о даљем путу на излазу (о главним скретањима, растојањима, туристичким, културним и природним локалитетима, наредним станицама за снабдевање горивом и мотелима),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 за одмор и рекреацију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 приближно 100</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200 особа, на оквирној површини од 500 m</w:t>
      </w:r>
      <w:r w:rsidRPr="00CA5443">
        <w:rPr>
          <w:rFonts w:ascii="Arial" w:hAnsi="Arial" w:cs="Arial"/>
          <w:noProof w:val="0"/>
          <w:color w:val="000000"/>
          <w:sz w:val="22"/>
          <w:szCs w:val="22"/>
          <w:vertAlign w:val="superscript"/>
          <w:lang w:val="en-US"/>
        </w:rPr>
        <w:t>2</w:t>
      </w:r>
      <w:r w:rsidRPr="00CA5443">
        <w:rPr>
          <w:rFonts w:ascii="Arial" w:hAnsi="Arial" w:cs="Arial"/>
          <w:noProof w:val="0"/>
          <w:color w:val="000000"/>
          <w:sz w:val="22"/>
          <w:szCs w:val="22"/>
          <w:lang w:val="en-US"/>
        </w:rPr>
        <w:t>, са парковским мобилијаром (клупе, столови, корпе за отпатке) и стазама,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продавнице општих артикала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храна, пиће, штампа, цигарете, укупне површине око 100 m</w:t>
      </w:r>
      <w:r w:rsidRPr="00CA5443">
        <w:rPr>
          <w:rFonts w:ascii="Arial" w:hAnsi="Arial" w:cs="Arial"/>
          <w:noProof w:val="0"/>
          <w:color w:val="000000"/>
          <w:sz w:val="22"/>
          <w:szCs w:val="22"/>
          <w:vertAlign w:val="superscript"/>
          <w:lang w:val="en-US"/>
        </w:rPr>
        <w:t>2</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кафе и ресторан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 оријентационо 120 особа у затвореном делу и 150 места на тераси, кухиња и мокри чвор, службени смештај особља ресторана,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мотел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оријентационо са 50</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60 лежаја, могуће уз објекат ресторана,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станица за снабдевање горивом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оријентационо: шест мултифункционалних обостраних точионих места, четири у делу за путничке аутомобиле, два у одвојеном делу за комерцијална возила, са пуним асортиманом моторних бензина и дизел горива, као и засебно место за плин, места за пуњење возила на електрични погон, место за проверу и регулацију притиска у пнеуматицима, место за промену уља, простор за чекање возила у реду,</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продавница потрошног материјала, ситних резервних делова за моторна возила и опреме,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ауто сервис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 оправку путничких и комерцијалних возила, са шлеп службом, паркингом за хаварисана возила и др, површине објекта минимално 200 m</w:t>
      </w:r>
      <w:r w:rsidRPr="00CA5443">
        <w:rPr>
          <w:rFonts w:ascii="Arial" w:hAnsi="Arial" w:cs="Arial"/>
          <w:noProof w:val="0"/>
          <w:color w:val="000000"/>
          <w:sz w:val="22"/>
          <w:szCs w:val="22"/>
          <w:vertAlign w:val="superscript"/>
          <w:lang w:val="en-US"/>
        </w:rPr>
        <w:t>2</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паркинг простор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оријентационо: за 62</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150 путничких возила, 12</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20 аутобуса, 24</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40 теретних возила, са потребним пролазним саобраћајним тракама.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Оријентационо, површина одморишта О-2 са услужним центром, са наведеним садржајима је 3</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7 ha.</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Поменути садржаји би омогућили корисницима активан и пасиван одмор, преноћиште, услуге исхране, освежења и слично, као и евентуалне захвате на возилима у циљу одржања потребног нивоа техничке исправности. Могућа су и решења са изградњом појединих садржаја само са једне стране будућег ауто-путског правца, уз омогућавање доступности и за кориснике који се крећу у другом смеру (нпр. мотел само са једне стране уз одвојени пешачки коридор, денивелисан у односу на саобраћајницу).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 одморишту са услужним центром је потребно обезбедити минималну комуналну опремљеност (водовод, уређај за пречишћавање отпадне воде или прикључак на локалну канализациону мрежу, снабдевање електричном енергијом, јавну расвету, телефон, сакупљање и одвођење смећа, обезбеђивање заштите од пожара и заштите животне средине).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путне садржаје за потребе корисника државног пута предвиђено је директно спровођење на основу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одељку 2. Правила грађења и други елементи регулације за делове територије у обухвату Просторног плана за које није предвиђена израда урбанистичког плана, у пододељку 2.1. Деонице планираног пута за које је предвиђена директна примена Просторног плана, став 1.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На основу правила грађења и графичких приказа (реферална карта 4а: Карта спровођења и реферална карта 4.1. Детаљна разрада измена и допуна Просторног плана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обилазница око Руме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Синхрон план, као и Реферална карта 4а.2. Детаљна разрада Просторног плана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деоница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Ситуационо решење са регулацијом путног земљишта) предвиђена је директна примена Просторног плана на следећим деоницама планираног путног коридора: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 деоница ДП број 7 (од границе обухвата Просторног плана до укрштаја са ДП број 21),</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Б) деоница ДП број 21 (од петље Парагово до уласка у тунел),</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В) тунел,</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Г) деоница ДП број 21 од изласка из тунела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обилазница Ириг (укрштај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Врдник</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 (до петље Рума), осим дела предметне деонице који се односи на укрштај на делу трасе северно од насеља Ириг, а пре уласка у планирани тунел (планирана кружна раскрсница оријентационо на km 24 + 300),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Д) деоница коридора од петље Рума до моста на Сави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(оријентациона стационажа km 44+490 до km 66+800),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Ђ) Шабац (Мост на Сави)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укрштај са ДП бр. 208.</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става 1. додаје се назив дела, који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Основни услови и правила грађења за саобраћајну инфраструктуру на деоницама А), Б), В), Г и Ђ)</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Табеле 16, додају се назив дела и нови део, који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Основни услови и правила грађења за саобраћајну инфраструктуру на деоници Д) од петље Рума до моста на Сави (Шабац)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(оријентациона стационажа km 44+490 до km 66+800)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државни пут I реда у оквиру обухвата Просторног плана ће се градити према предложеној траси ван насеља, за моторни саобраћај интеррегионалног нивоа са елементима и објектима за овај хијерахијски ниво саобраћајница,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трасу државног пута изабрати тако да се минимизира заузимање новог пољопривредног земљишта као и да се делимичном комасацијом минимизира нарушавање постојећа организација атара.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погледу саобраћаја моторних возила, дозвољено је кретање путничких аутомобила, мотоцикала, туристичких аутобуса, теретних возила, аутовозова и вучних возова, док саобраћај трактора и пољопривредних возила није дозвољен.</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Програмски услови кретања моторних возила дефинисани су као: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25"/>
        <w:gridCol w:w="8316"/>
      </w:tblGrid>
      <w:tr w:rsidR="00CA5443" w:rsidRPr="00CA5443" w:rsidTr="00B97738">
        <w:trPr>
          <w:trHeight w:val="45"/>
          <w:tblCellSpacing w:w="0" w:type="auto"/>
        </w:trPr>
        <w:tc>
          <w:tcPr>
            <w:tcW w:w="331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Услови саобраћајног тока возила</w:t>
            </w:r>
          </w:p>
        </w:tc>
        <w:tc>
          <w:tcPr>
            <w:tcW w:w="1108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континуалан (непрекинут ток)</w:t>
            </w:r>
          </w:p>
        </w:tc>
      </w:tr>
      <w:tr w:rsidR="00CA5443" w:rsidRPr="00CA5443" w:rsidTr="00B97738">
        <w:trPr>
          <w:trHeight w:val="45"/>
          <w:tblCellSpacing w:w="0" w:type="auto"/>
        </w:trPr>
        <w:tc>
          <w:tcPr>
            <w:tcW w:w="331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Меродавни ниво услуге</w:t>
            </w:r>
          </w:p>
        </w:tc>
        <w:tc>
          <w:tcPr>
            <w:tcW w:w="1108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 (Ц)</w:t>
            </w:r>
          </w:p>
        </w:tc>
      </w:tr>
      <w:tr w:rsidR="00CA5443" w:rsidRPr="00CA5443" w:rsidTr="00B97738">
        <w:trPr>
          <w:trHeight w:val="45"/>
          <w:tblCellSpacing w:w="0" w:type="auto"/>
        </w:trPr>
        <w:tc>
          <w:tcPr>
            <w:tcW w:w="331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Рачунска брзина</w:t>
            </w:r>
          </w:p>
        </w:tc>
        <w:tc>
          <w:tcPr>
            <w:tcW w:w="1108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130 km/h</w:t>
            </w:r>
          </w:p>
        </w:tc>
      </w:tr>
      <w:tr w:rsidR="00CA5443" w:rsidRPr="00CA5443" w:rsidTr="00B97738">
        <w:trPr>
          <w:trHeight w:val="45"/>
          <w:tblCellSpacing w:w="0" w:type="auto"/>
        </w:trPr>
        <w:tc>
          <w:tcPr>
            <w:tcW w:w="331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Најмања одстојања раскрсница</w:t>
            </w:r>
          </w:p>
        </w:tc>
        <w:tc>
          <w:tcPr>
            <w:tcW w:w="1108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5000 m (3000 m)</w:t>
            </w:r>
          </w:p>
        </w:tc>
      </w:tr>
      <w:tr w:rsidR="00CA5443" w:rsidRPr="00CA5443" w:rsidTr="00B97738">
        <w:trPr>
          <w:trHeight w:val="45"/>
          <w:tblCellSpacing w:w="0" w:type="auto"/>
        </w:trPr>
        <w:tc>
          <w:tcPr>
            <w:tcW w:w="331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Основни типови раскрсница</w:t>
            </w:r>
          </w:p>
        </w:tc>
        <w:tc>
          <w:tcPr>
            <w:tcW w:w="1108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денивелисане (дефинисано пројектни задатком)</w:t>
            </w:r>
          </w:p>
        </w:tc>
      </w:tr>
      <w:tr w:rsidR="00CA5443" w:rsidRPr="00CA5443" w:rsidTr="00B97738">
        <w:trPr>
          <w:trHeight w:val="45"/>
          <w:tblCellSpacing w:w="0" w:type="auto"/>
        </w:trPr>
        <w:tc>
          <w:tcPr>
            <w:tcW w:w="331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Заустављање по жељи</w:t>
            </w:r>
          </w:p>
        </w:tc>
        <w:tc>
          <w:tcPr>
            <w:tcW w:w="1108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забрањено (обавезно коришћење пратећих садржаја)</w:t>
            </w:r>
          </w:p>
        </w:tc>
      </w:tr>
      <w:tr w:rsidR="00CA5443" w:rsidRPr="00CA5443" w:rsidTr="00B97738">
        <w:trPr>
          <w:trHeight w:val="45"/>
          <w:tblCellSpacing w:w="0" w:type="auto"/>
        </w:trPr>
        <w:tc>
          <w:tcPr>
            <w:tcW w:w="331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Заустављање (оправдани разлози)</w:t>
            </w:r>
          </w:p>
        </w:tc>
        <w:tc>
          <w:tcPr>
            <w:tcW w:w="1108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дозвољено изван проточног коловоза</w:t>
            </w:r>
          </w:p>
        </w:tc>
      </w:tr>
      <w:tr w:rsidR="00CA5443" w:rsidRPr="00CA5443" w:rsidTr="00B97738">
        <w:trPr>
          <w:trHeight w:val="45"/>
          <w:tblCellSpacing w:w="0" w:type="auto"/>
        </w:trPr>
        <w:tc>
          <w:tcPr>
            <w:tcW w:w="3314"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Паркирање возила</w:t>
            </w:r>
          </w:p>
        </w:tc>
        <w:tc>
          <w:tcPr>
            <w:tcW w:w="11086"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искључиво ван коловоза на посебним површинама пратећих садржаја</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Табела 16а: Елементи попречног профила деонице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61"/>
        <w:gridCol w:w="6280"/>
      </w:tblGrid>
      <w:tr w:rsidR="00CA5443" w:rsidRPr="00CA5443" w:rsidTr="00B97738">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Деоница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tc>
      </w:tr>
      <w:tr w:rsidR="00CA5443" w:rsidRPr="00CA5443" w:rsidTr="00B97738">
        <w:trPr>
          <w:trHeight w:val="45"/>
          <w:tblCellSpacing w:w="0" w:type="auto"/>
        </w:trPr>
        <w:tc>
          <w:tcPr>
            <w:tcW w:w="61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ширина путног појаса (m)</w:t>
            </w:r>
          </w:p>
        </w:tc>
        <w:tc>
          <w:tcPr>
            <w:tcW w:w="828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70</w:t>
            </w:r>
          </w:p>
        </w:tc>
      </w:tr>
      <w:tr w:rsidR="00CA5443" w:rsidRPr="00CA5443" w:rsidTr="00B97738">
        <w:trPr>
          <w:trHeight w:val="45"/>
          <w:tblCellSpacing w:w="0" w:type="auto"/>
        </w:trPr>
        <w:tc>
          <w:tcPr>
            <w:tcW w:w="61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саобраћајне траке (m)</w:t>
            </w:r>
          </w:p>
        </w:tc>
        <w:tc>
          <w:tcPr>
            <w:tcW w:w="828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x 3,75</w:t>
            </w:r>
          </w:p>
        </w:tc>
      </w:tr>
      <w:tr w:rsidR="00CA5443" w:rsidRPr="00CA5443" w:rsidTr="00B97738">
        <w:trPr>
          <w:trHeight w:val="45"/>
          <w:tblCellSpacing w:w="0" w:type="auto"/>
        </w:trPr>
        <w:tc>
          <w:tcPr>
            <w:tcW w:w="61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Зауставне траке</w:t>
            </w:r>
          </w:p>
        </w:tc>
        <w:tc>
          <w:tcPr>
            <w:tcW w:w="828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x 2.50</w:t>
            </w:r>
          </w:p>
        </w:tc>
      </w:tr>
      <w:tr w:rsidR="00CA5443" w:rsidRPr="00CA5443" w:rsidTr="00B97738">
        <w:trPr>
          <w:trHeight w:val="45"/>
          <w:tblCellSpacing w:w="0" w:type="auto"/>
        </w:trPr>
        <w:tc>
          <w:tcPr>
            <w:tcW w:w="61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стабилизована банкина (m)</w:t>
            </w:r>
          </w:p>
        </w:tc>
        <w:tc>
          <w:tcPr>
            <w:tcW w:w="828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2х1,85</w:t>
            </w:r>
          </w:p>
        </w:tc>
      </w:tr>
      <w:tr w:rsidR="00CA5443" w:rsidRPr="00CA5443" w:rsidTr="00B97738">
        <w:trPr>
          <w:trHeight w:val="45"/>
          <w:tblCellSpacing w:w="0" w:type="auto"/>
        </w:trPr>
        <w:tc>
          <w:tcPr>
            <w:tcW w:w="61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разделна трака (m)</w:t>
            </w:r>
          </w:p>
        </w:tc>
        <w:tc>
          <w:tcPr>
            <w:tcW w:w="828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1х3,0</w:t>
            </w:r>
          </w:p>
        </w:tc>
      </w:tr>
      <w:tr w:rsidR="00CA5443" w:rsidRPr="00CA5443" w:rsidTr="00B97738">
        <w:trPr>
          <w:trHeight w:val="45"/>
          <w:tblCellSpacing w:w="0" w:type="auto"/>
        </w:trPr>
        <w:tc>
          <w:tcPr>
            <w:tcW w:w="61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ивичне траке (m)</w:t>
            </w:r>
          </w:p>
        </w:tc>
        <w:tc>
          <w:tcPr>
            <w:tcW w:w="828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x (1.00+0.50)</w:t>
            </w:r>
          </w:p>
        </w:tc>
      </w:tr>
      <w:tr w:rsidR="00CA5443" w:rsidRPr="00CA5443" w:rsidTr="00B97738">
        <w:trPr>
          <w:trHeight w:val="45"/>
          <w:tblCellSpacing w:w="0" w:type="auto"/>
        </w:trPr>
        <w:tc>
          <w:tcPr>
            <w:tcW w:w="61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банкина (m)</w:t>
            </w:r>
          </w:p>
        </w:tc>
        <w:tc>
          <w:tcPr>
            <w:tcW w:w="828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x 1,5</w:t>
            </w:r>
          </w:p>
        </w:tc>
      </w:tr>
      <w:tr w:rsidR="00CA5443" w:rsidRPr="00CA5443" w:rsidTr="00B97738">
        <w:trPr>
          <w:trHeight w:val="45"/>
          <w:tblCellSpacing w:w="0" w:type="auto"/>
        </w:trPr>
        <w:tc>
          <w:tcPr>
            <w:tcW w:w="61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носивост (kN)</w:t>
            </w:r>
          </w:p>
        </w:tc>
        <w:tc>
          <w:tcPr>
            <w:tcW w:w="828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110</w:t>
            </w:r>
          </w:p>
        </w:tc>
      </w:tr>
      <w:tr w:rsidR="00CA5443" w:rsidRPr="00CA5443" w:rsidTr="00B97738">
        <w:trPr>
          <w:trHeight w:val="45"/>
          <w:tblCellSpacing w:w="0" w:type="auto"/>
        </w:trPr>
        <w:tc>
          <w:tcPr>
            <w:tcW w:w="612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V</w:t>
            </w:r>
            <w:r w:rsidRPr="00CA5443">
              <w:rPr>
                <w:rFonts w:ascii="Arial" w:hAnsi="Arial" w:cs="Arial"/>
                <w:noProof w:val="0"/>
                <w:color w:val="000000"/>
                <w:sz w:val="22"/>
                <w:szCs w:val="22"/>
                <w:vertAlign w:val="subscript"/>
                <w:lang w:val="en-US"/>
              </w:rPr>
              <w:t>rac</w:t>
            </w:r>
            <w:r w:rsidRPr="00CA5443">
              <w:rPr>
                <w:rFonts w:ascii="Arial" w:hAnsi="Arial" w:cs="Arial"/>
                <w:noProof w:val="0"/>
                <w:color w:val="000000"/>
                <w:sz w:val="22"/>
                <w:szCs w:val="22"/>
                <w:lang w:val="en-US"/>
              </w:rPr>
              <w:t xml:space="preserve"> (km/h)</w:t>
            </w:r>
          </w:p>
        </w:tc>
        <w:tc>
          <w:tcPr>
            <w:tcW w:w="828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130</w:t>
            </w:r>
          </w:p>
        </w:tc>
      </w:tr>
    </w:tbl>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i/>
          <w:noProof w:val="0"/>
          <w:color w:val="000000"/>
          <w:sz w:val="22"/>
          <w:szCs w:val="22"/>
          <w:lang w:val="en-US"/>
        </w:rPr>
        <w:t>Гранични елементи плана и профила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Гранични елементи плана и профила подразумевају прорачун минималних и максималних вредности за ситуациони план, подужни профил, попречни профил и прегледност у функцији рачунске брзине. Гранични елементи трасе ауто-пута за V</w:t>
      </w:r>
      <w:r w:rsidRPr="00CA5443">
        <w:rPr>
          <w:rFonts w:ascii="Arial" w:hAnsi="Arial" w:cs="Arial"/>
          <w:noProof w:val="0"/>
          <w:color w:val="000000"/>
          <w:sz w:val="22"/>
          <w:szCs w:val="22"/>
          <w:vertAlign w:val="subscript"/>
          <w:lang w:val="en-US"/>
        </w:rPr>
        <w:t>rac</w:t>
      </w:r>
      <w:r w:rsidRPr="00CA5443">
        <w:rPr>
          <w:rFonts w:ascii="Arial" w:hAnsi="Arial" w:cs="Arial"/>
          <w:noProof w:val="0"/>
          <w:color w:val="000000"/>
          <w:sz w:val="22"/>
          <w:szCs w:val="22"/>
          <w:lang w:val="en-US"/>
        </w:rPr>
        <w:t xml:space="preserve"> = 130 km/h:</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78"/>
        <w:gridCol w:w="8463"/>
      </w:tblGrid>
      <w:tr w:rsidR="00CA5443" w:rsidRPr="00CA5443" w:rsidTr="00B97738">
        <w:trPr>
          <w:trHeight w:val="45"/>
          <w:tblCellSpacing w:w="0" w:type="auto"/>
        </w:trPr>
        <w:tc>
          <w:tcPr>
            <w:tcW w:w="30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минимални полупречник хоризонталних кривина</w:t>
            </w:r>
          </w:p>
        </w:tc>
        <w:tc>
          <w:tcPr>
            <w:tcW w:w="113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Rmin = 800 m</w:t>
            </w:r>
          </w:p>
        </w:tc>
      </w:tr>
      <w:tr w:rsidR="00CA5443" w:rsidRPr="00CA5443" w:rsidTr="00B97738">
        <w:trPr>
          <w:trHeight w:val="45"/>
          <w:tblCellSpacing w:w="0" w:type="auto"/>
        </w:trPr>
        <w:tc>
          <w:tcPr>
            <w:tcW w:w="30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минимални параметар клотоиде</w:t>
            </w:r>
          </w:p>
        </w:tc>
        <w:tc>
          <w:tcPr>
            <w:tcW w:w="113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Аmin = 300 m</w:t>
            </w:r>
          </w:p>
        </w:tc>
      </w:tr>
      <w:tr w:rsidR="00CA5443" w:rsidRPr="00CA5443" w:rsidTr="00B97738">
        <w:trPr>
          <w:trHeight w:val="45"/>
          <w:tblCellSpacing w:w="0" w:type="auto"/>
        </w:trPr>
        <w:tc>
          <w:tcPr>
            <w:tcW w:w="30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максимални подужни нагиб</w:t>
            </w:r>
          </w:p>
        </w:tc>
        <w:tc>
          <w:tcPr>
            <w:tcW w:w="113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Imax = 4%</w:t>
            </w:r>
          </w:p>
        </w:tc>
      </w:tr>
      <w:tr w:rsidR="00CA5443" w:rsidRPr="00CA5443" w:rsidTr="00B97738">
        <w:trPr>
          <w:trHeight w:val="45"/>
          <w:tblCellSpacing w:w="0" w:type="auto"/>
        </w:trPr>
        <w:tc>
          <w:tcPr>
            <w:tcW w:w="30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максимални попречни нагиб</w:t>
            </w:r>
          </w:p>
        </w:tc>
        <w:tc>
          <w:tcPr>
            <w:tcW w:w="113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Imax = 7%</w:t>
            </w:r>
          </w:p>
        </w:tc>
      </w:tr>
      <w:tr w:rsidR="00CA5443" w:rsidRPr="00CA5443" w:rsidTr="00B97738">
        <w:trPr>
          <w:trHeight w:val="45"/>
          <w:tblCellSpacing w:w="0" w:type="auto"/>
        </w:trPr>
        <w:tc>
          <w:tcPr>
            <w:tcW w:w="30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минимална дужина прегледности при кочењу</w:t>
            </w:r>
          </w:p>
        </w:tc>
        <w:tc>
          <w:tcPr>
            <w:tcW w:w="113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Р2 = 300 m</w:t>
            </w:r>
          </w:p>
        </w:tc>
      </w:tr>
      <w:tr w:rsidR="00CA5443" w:rsidRPr="00CA5443" w:rsidTr="00B97738">
        <w:trPr>
          <w:trHeight w:val="45"/>
          <w:tblCellSpacing w:w="0" w:type="auto"/>
        </w:trPr>
        <w:tc>
          <w:tcPr>
            <w:tcW w:w="30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минимални полупречник вертикалног заобљења нивелете</w:t>
            </w:r>
          </w:p>
        </w:tc>
        <w:tc>
          <w:tcPr>
            <w:tcW w:w="113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200" w:line="276" w:lineRule="auto"/>
              <w:contextualSpacing w:val="0"/>
              <w:rPr>
                <w:rFonts w:ascii="Arial" w:hAnsi="Arial" w:cs="Arial"/>
                <w:noProof w:val="0"/>
                <w:sz w:val="22"/>
                <w:szCs w:val="22"/>
                <w:lang w:val="en-US"/>
              </w:rPr>
            </w:pPr>
          </w:p>
        </w:tc>
      </w:tr>
      <w:tr w:rsidR="00CA5443" w:rsidRPr="00CA5443" w:rsidTr="00B97738">
        <w:trPr>
          <w:trHeight w:val="45"/>
          <w:tblCellSpacing w:w="0" w:type="auto"/>
        </w:trPr>
        <w:tc>
          <w:tcPr>
            <w:tcW w:w="30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конвексни преломи</w:t>
            </w:r>
          </w:p>
        </w:tc>
        <w:tc>
          <w:tcPr>
            <w:tcW w:w="113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Rvmin = 22.500 m</w:t>
            </w:r>
          </w:p>
        </w:tc>
      </w:tr>
      <w:tr w:rsidR="00CA5443" w:rsidRPr="00CA5443" w:rsidTr="00B97738">
        <w:trPr>
          <w:trHeight w:val="45"/>
          <w:tblCellSpacing w:w="0" w:type="auto"/>
        </w:trPr>
        <w:tc>
          <w:tcPr>
            <w:tcW w:w="303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конкавни преломи</w:t>
            </w:r>
          </w:p>
        </w:tc>
        <w:tc>
          <w:tcPr>
            <w:tcW w:w="11365"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Rvmin = 11.250 m</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Примењени елементи у трасирању морају бити једнаки граничним или повољнији од њих.</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пододељку 2.2. Објекти у коридору за које је предвиђена директна примена Просторног плана, у тачки 2.2.2. Остали објекти саобраћајне инфраструктуре, став 1.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Објекти у трупу државног пута утврђени су као типски уз уважавање елемената трасе, геотехничких услова и карактеристика терена. Објекти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мостови (надвожњаци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подвожњаци) односно потребне дужине усклађени су са геомеханичким условима, висином насипа пута, близином радних и стамбених садржаја. Водотоци и канали су премошћавани у складу са хидротехничким условима и прорачуном.</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става 5. додају се став 6. и Табела 17а, који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На основу идејног решења деонице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одређен је оријентациони положај мостова, подвожњака и надвожњака на бази ситуације терена у размери 1:25.000 и подужних профила деонице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у размери 1:25.000/2.500.</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Табела 17а: Објекти у оквиру коридора на деоници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37"/>
        <w:gridCol w:w="7904"/>
      </w:tblGrid>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Ред. број</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Објекат</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Рума</w:t>
            </w:r>
            <w:r>
              <w:rPr>
                <w:rFonts w:ascii="Arial" w:hAnsi="Arial" w:cs="Arial"/>
                <w:noProof w:val="0"/>
                <w:color w:val="000000"/>
                <w:sz w:val="22"/>
                <w:szCs w:val="22"/>
                <w:lang w:val="en-US"/>
              </w:rPr>
              <w:t>"</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преко државног пута IБ реда бр. 21</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мост преко канала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Јарчина</w:t>
            </w:r>
            <w:r>
              <w:rPr>
                <w:rFonts w:ascii="Arial" w:hAnsi="Arial" w:cs="Arial"/>
                <w:noProof w:val="0"/>
                <w:color w:val="000000"/>
                <w:sz w:val="22"/>
                <w:szCs w:val="22"/>
                <w:lang w:val="en-US"/>
              </w:rPr>
              <w:t>"</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8.</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пролаз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канал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Врањ</w:t>
            </w:r>
            <w:r>
              <w:rPr>
                <w:rFonts w:ascii="Arial" w:hAnsi="Arial" w:cs="Arial"/>
                <w:noProof w:val="0"/>
                <w:color w:val="000000"/>
                <w:sz w:val="22"/>
                <w:szCs w:val="22"/>
                <w:lang w:val="en-US"/>
              </w:rPr>
              <w:t>"</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9.</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Хртковци</w:t>
            </w:r>
            <w:r>
              <w:rPr>
                <w:rFonts w:ascii="Arial" w:hAnsi="Arial" w:cs="Arial"/>
                <w:noProof w:val="0"/>
                <w:color w:val="000000"/>
                <w:sz w:val="22"/>
                <w:szCs w:val="22"/>
                <w:lang w:val="en-US"/>
              </w:rPr>
              <w:t>"</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10.</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преко девијације државног пута IБ реда бр. 21</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11.</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12.</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13.</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14.</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прелаз преко ауто-пута</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15.</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16.</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пролаз за дивље животиње</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17.</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мост преко атарског пута</w:t>
            </w:r>
          </w:p>
        </w:tc>
      </w:tr>
      <w:tr w:rsidR="00CA5443" w:rsidRPr="00CA5443" w:rsidTr="00B97738">
        <w:trPr>
          <w:trHeight w:val="45"/>
          <w:tblCellSpacing w:w="0" w:type="auto"/>
        </w:trPr>
        <w:tc>
          <w:tcPr>
            <w:tcW w:w="41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18.</w:t>
            </w:r>
          </w:p>
        </w:tc>
        <w:tc>
          <w:tcPr>
            <w:tcW w:w="10250" w:type="dxa"/>
            <w:tcBorders>
              <w:top w:val="single" w:sz="8" w:space="0" w:color="000000"/>
              <w:left w:val="single" w:sz="8" w:space="0" w:color="000000"/>
              <w:bottom w:val="single" w:sz="8" w:space="0" w:color="000000"/>
              <w:right w:val="single" w:sz="8" w:space="0" w:color="000000"/>
            </w:tcBorders>
            <w:vAlign w:val="center"/>
          </w:tcPr>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мост преко канала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Савица</w:t>
            </w:r>
            <w:r>
              <w:rPr>
                <w:rFonts w:ascii="Arial" w:hAnsi="Arial" w:cs="Arial"/>
                <w:noProof w:val="0"/>
                <w:color w:val="000000"/>
                <w:sz w:val="22"/>
                <w:szCs w:val="22"/>
                <w:lang w:val="en-US"/>
              </w:rPr>
              <w:t>"</w:t>
            </w:r>
          </w:p>
        </w:tc>
      </w:tr>
    </w:tbl>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тачки 2.2.3. Услови остале инфраструктуре, додаје се став 1, који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Услови остале инфраструктуре из Просторног плана, важе и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која има елементе ауто-пута.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дела Електроенергетска инфраструктура:,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 Електроенергетска инфраструктура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дела и део Телекомуникациона инфраструктура: мењају се 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2) Електронска комуникациона инфраструктура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објекти, мреже, системи и средства електронске комуникационе инфраструктуре морају се градити, пројектовати, производити, употребљавати и одржавати у складу са прописаним стандардима и нормативима;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мреже електронске комуникационе инфраструктуре ће се у потпуности градити подземно на подручју Просторног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дубина полагања каблова електронске комуникационе инфраструктуре треба да је најмање 0,8</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1,2 m;</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укрштање каблова електронских комуникација са путем извешће се каблирањем и постављањем у заштитне цеви;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оквиру парцеле у власништву имаоца саобраћајне инфраструктуре планирати полагање одговарајућих цеви за накнадно провлачење телекомуникационих каблова;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постојећи објекти мрежа каблова који су потенцијално угрожени изградњом планираних саобраћајних коридора морају бити адекватно заштићени пројектима измештања постојећих кабловских релација односно других телекомуникационих објеката;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уз предметни ауто-пут обезбедити коридор за електронске комуникационе каблове унутар заштитне зоне ауто-пута, одговарајућег капацитета (у погледу броја цеви за полагање предметних каблова и њиховог пречника) за потребе управљача пута и државних институција, што ће се детаљно дефинисати кроз израду техничке документације, а на основу услова имаоца јавних овлашћења;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укрштање са државним путевима извести искључиво механичким подбушивањем испод трупа пута, тако да минимална дубина предметних инсталација и заштитне цеви од најниже горње коте коловоза до горње коте заштитне цеви износи 1,35</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1,50 m, у зависности од конфигурације терена;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 паралелном вођењу каблова електронских комуникација полагати најмање 3,0 m од државних путева I и II реда (крајња тачка попречног профила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изузетно ивица коловоза), односно у складу са условима надлежног предузећа за путеве. Од осталих путева min. 1,0 m по условима надлежног предузећа;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 паралелном вођењу каблова електронских комуникација и електроенергетских каблова до 10 кV најмање растојање мора бити 0,50 m и 1,0 m за каблове напона преко 10 кV;</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 укрштању најмање вертикално растојање од електроенергетског кабла мора бити 0,50 m, а угао укрштања око 90°;</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 укрштању кабла електронских комуникација са цевоводом водовода, канализације, вертикално растојање мора бити најмање 0,30 m, а са цевоводом гасовода високог притиска најмање 0,50 m;</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 приближавању и паралелном вођењу кабла електронских комуникација са цевоводом водовода и канализацијом хоризонтално растојање мора бити најмање 0,50 m, а за гасоводе високог притиска најмање 1,00 m;</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забрањено је сађење биљака чији корен има дубину већу од 1 m на удаљењу мањем од 5 m од осе гасовода и у појасу заштите оптичког кабла;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опрема електронских комуникација за потребе ТТ (телефон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телеграф), РБС (радио базне станице), КДС (кабловски дистрибутивни систем) и РТВ (радио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телевизија) може бити постављена у помоћни објекат у оквиру комплекса или парцеле;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ако се опрема електронских комуникација поставља у засебан комплекс на слободностојећи антенски стуб, исти мора бити ограђен;</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напајање електричном енергијом обезбедити са нисконапонске мреже 0,4 kV или из трафостанице 20/0,4 kV;</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до комплекса обезбедити приступни пут минималне ширине 3 m до најближе јавне саобраћајнице.</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дела и део Водопривредна инфраструктура:, мењају се 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3) Водопривредна инфраструктура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Приликом реализације водопривредне инфраструктуре, поштовати следеће услове: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Сва укрштања планираних инфраструктурних система (државни пут, пруга, гасовод, оптички кабл) са површинским водотоцима (природним и вештачким) изводиће се уз поштовање услова да се не ремети основна намена и функција водотока и да се осигура нормалан протицај водотока у свим условима;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положај трасе инфраструктурног система биће ван зоне непосредне и уже заштите подземних и површинских изворишта водоснабдевања, а када то није могуће, заштита изворишта обезбедиће се посебним пројектом заштите и континуалне контроле квалитета воде;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пропусти и мостови димензионисаће се на стогодишње воде, а да се при томе не угрози безбедност функционисања инфраструктурног система, док ће се на местима укрштања обезбедити заштита обала и корита (обалоутврда узводно и низводно према хидрауличном прорачуну) од ерозије, уз одводњавање у зони мостова;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положај трасе површинског или подземног линијског инфраструктурног система, по правилу је ван водног земљишта, а на местима укрштања са водотоком, када је год могуће, под углом од приближно 90°, под условом да се подземни инфраструктурни системи на месту укрштања са водотоком обезбеђују путем објеката (моста) за веће водотоке, или заштитним цевима испод дна корита мањих водотока, на минималној дубини од 0,8 до 1,5 m;</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препоручује се типизирање изгледа пропуста тако да димензионисање отвора задовољи хидрауличке елементе за поједине водотоке и канале;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дубина укопавања водовода не сме бити плића од 1,0 m, због зоне мржњења и саобраћајног оптерећења;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приликом извођења радова водити рачуна о подеоним затварачима и хидрантима на постојећој водоводној мрежи, а положај и дубину укопавања постојеће водоводне мреже, утврдити отварањем вертикалних шлицова уз присуство представника надлежног комуналног предузећа;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паралелно вођење водоводне мреже планирати на 3,0 m од крајње тачке попречног профила државног пута (ножице насипа, или спољне ивице путног канала за одводњавање), изузетно од ивице реконструисаног коловоза уколико се тиме не ремети режим одводњавања коловоза;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укрштање са државним путем планирати, пројектовати и извести искључиво методом механичког подбушивања испод трупа пута, управно на пут, у прописаној заштитној цеви;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заштитна цев мора бити пројектована на целој дужини између крајњих тачака попречног профила пута увећана за по 3,0 m са сваке стране;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минимална дубина предметних инсталација и заштитних цеви мерена од најниже коте коловоза до горње коте заштитне цеви износи минимално 1,35 m;</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минимална дубина предметних инсталација и заштитних цеви испод путног канала за одводњавање (постојећег или планираног) мерена од коте дна канала до горње коте заштитне цеви износи 1,0 m;</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обезбедиће се контролисано прикупљање и евакуација атмосферских вода дуж трупа државног пута и пруге и њихово одвођење у постојеће ретенционе просторе (водотоке, канале) по принципу брже евакуације (риголе, пропусти и др.);</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местима укрштања државног пута и пруге са постојећим трасама водовода и канализације предвидеће се пропусти са заштитним цевима;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све радње на усаглашавању саобраћајних система са водопривредном инфраструктуром обављаће се уз сагласност и контролу надлежних органа за послове водопривреде.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Са аспекта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поштовати и следеће услове: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Приликом пројектовања обезбедити таква техничка решења којима ће се на рационалан и економичан начин остварити: заштита људи и добара од штетног дејства вода (поплава) водотокова I и II реда (за водотоке I реда надлежно је јавно водопривредно предузеће, а за водотоке II реда надлежна је јединица локалне самоуправе) уз примену одговарајуће хидротехничке документације; унапред спречити извођење радова и објеката који би погоршали водни режим у водном земљишту водотокова, планирати коридоре за службе и механизацију за спровођење одбране од поплава и предвидети решавање имовинско-правних односа у водном земљишту и друго, а у складу са одредбама члана 3. став 1. и чл. 5</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10, 13, 23, 52, 53. и 58. Закона о водама;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Обавезна је израда таквих техничких решења којима ће се на рационалан и економичан начин остварити несметан режим протицања и евакуације великих вода приликом изградње објеката који се укрштају са водотоком тако да не буду супротни одредбама чл. 97. и 133. Закона о водама;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Ради очувања квалитета подземних и површинских вода предвидети одговарајуће пречишћавање или предтретман пре испуштања у реципиенте тако да не буду супротни одредбама чл. 98. и 133. Закона о водама;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основу планских решења Просторног плана и планираног положаја предметних објеката у односу на постојеће и будуће водне објекте и режим вода водотока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прибавити водна акта за израду пројекта у складу са одредбама чл. 113</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127. Закона о водама;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 постојеће цевоводе сирове воде ø600 и транзитни цевовод према Руми ø500, неопходно је обезбедити појас заштите истих;</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фази пројектовања неопходно је снимање цевовода, па на основу тога предузимање свих мера заштите;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Положај и дубину укопавања постојеће водоводне мреже на измењеној траси ДП I реда бр. 21, утврдити отварањем вертикалних шлицева уз присуство представника ЈП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Водовод</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Сва паралелна вођења и међусобна укрштања са постојећом водоводном мрежом морају се извести у складу са важећим прописима и нормативима за ту врсту радова,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Траса водоводне мреже треба да остане у путном појасу дуж саобраћајнице;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Пролазак испод саобраћајница обезбедити одговарајућом механичком заштитом;</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Дубина укопавања водовода не би смела да је плића од 1,0</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1,2 m од нивелете терена, због зоне мржњења и саобраћајног оптерећења;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Приликом извођења радова водити рачуна о подеоним затварачима и хидрантима на постојећој водоводној мрежи;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Минимално 15 дана пре отпочињања радова писмено се обратити ЈП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Водовод</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Рума ради праћења исправности градње у близини водоводне мреже и коначног дефинисања положаја водовода угроженог предметним радовима, а за који су претходно планиране мере заштите на местима укрштања са путем;</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Све трошкове оштећења водоводне мреже приликом извођења радова, или касније насталих оштећења услед неадекватно изведених радова сносиће извођач, односно инвеститор радова;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коридору предметног државног пута предвидети простор за полагање новог магистралног цевовода ø500 од фабрике воде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Фишеров салаш</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до црпне станице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Борковац</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Руми, као и радних зона на овом потезу. Траса планираног цевовода је једним делом паралелна са постојећим цевоводом, на растојању 5,0 m према западу од постојећег цевовода.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дела Термоенергетска инфраструктура:,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4) Термоенергетска инфраструктура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Став 1.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Приликом заштите, уређења, пројектовања, изградње и измештања термоенергетске инфраструктуре испоштовати услове који су дати у Правилнику о условима за несметан и безбедан транспорт природног гаса гасоводима притиска већег од 16 bar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37/13 и 87/15), Правилнику о условима за несметану и безбедну дистрибуцију природног гаса гасоводима притиска до 16 bar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PC</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број 86/15), Правилнику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број 114/17) и Интерним техничким правилима ЈП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Србијагас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 октобра 2009. године. При пројектовању и изградњи гасне котларнице придржавати се Правилника о техничким нормативима за пројектовање, грађење, погон и одржавање гасних котларница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лист СФРЈ</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10/90 и 52/90).</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дела Топловодна мрежа:, мења се и гласи:</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5) Топловодна мрежа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досадашњег дела Топловодна мрежа:, који је постао тачка 5) Топловодна мрежа, додају се назив тачке и тачка, који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6) Правила за међусобно усаглашавање инфраструктурних система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Усаглашавање инфраструктурних система спровести у складу са одредбама важећих закона, подзаконских аката и техничким прописима, који одређују међусобни однос инфраструктурних система у простору, односно њихово трасирање и паралелно вођење кроз заједнички коридор, уз обавезно уважавање правила функционисања и заштите сваког појединачног система, што подразумева рационални приступ у коришћењу земљишта у коридору.</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После тачке 2.2.4. Минералне сировине, додају се назив тачке и тачка, који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2.2.5. Услови за објекте и зоне заштите животне средине, природних ресурса и вредности, биодиверзитета и друго</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Обавезно је поштовање услова и мера заштите наведених у глави III ПЛАНСКА РЕШЕЊА, одељак 1. Утицај на природу и животну средину и мере заштите овог Просторног плана, при чему, за потребе заштите канала и водотокова (као станишта и еколошких коридора), фауне и биодиверзитета, обезбеђење елемената функционалне повезаности елемената еколошке мреже и проходности еколошких коридора и озелењавање и пејзажно унапређење простора поштовати следеће: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У свим фазама пројектовања и изградње неопходно је применити одговарајућа планска и техничка решења са циљем смањења негативних утицаја на подручја значајних за очување биодиверзитета;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Ради очувања еколошког интегритета и природних вредности подручја спроводити све мере забране и поступања наведене у глави III ПЛАНСКА РЕШЕЊА, одељак 1. Утицај на природу и животну средину и мере заштите овог Просторног плана, изнете у оквиру дела Мере заштите биодиверзитета унутар границе Просторног плана на деоници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За очување еколошких својстава водотокова (укључујући и канализоване водотокове чије је корито у блиско-природном стању) као станишта и еколошких коридора поштовати следеће услове: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3.1. У највећој могућој мери очувати морфологију приобаља и обалног појаса. На деоницама где не постоје алтернативна решења и неопходно је извршити регулацију водотока/канала или премештање деонице тока, применити техничка и биотехничка решења, којима се природне хидролошке и еколошке карактеристике водотока очувају у што већој мери;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3.2. Није дозвољено зацевљење водотока/канала који су назначени као еколошки коридори, односно који повезују станишта са еколошким коридорима;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3.3. Очувати, а код регулисаних делова формирати појас вегетације уз обалу, као предуслов функционалности коридора. Минимална вегетација обале је травни појас ширине 5 m, а на деоницама где је ширина обалног појаса већа од 8 m обезбедити подизање појасева високог зеленила;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3.4. Код свих хидротехничких објеката који стварају баријеру за кретање животиња коритом или обалом (нпр. стрме вештачке површине) треба обезбедити техничка решења (нпр. храпаве површине) које обезбеђују безбедно кретање малим животињама унутар корита, односно омогућују излазак из корита. Обезбедити континуитет травног појаса еколошког коридора уз хидротехничке објекте;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З.5. Водотоци и канали са улогом еколошких коридора не могу да служе као пријемници непречишћених/недовољно пречишћених отпадних вода;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3.6. У складу са чланом 97. Закона о водама, забрањено је испуштање непречишћених отпадних вода у крајњи реципијент. Након прикупљања зауљених отпадних атмосферских вода системом непропусних дренажних цеви/канала неопходно је њихово пречишћавање на сепаратору уља и масти. Све отпадне воде, укључујући процедне воде са саобраћајнице или воде са садржајем токсичних и запаљивих течности. морају бити третиране у складу са правилима одвођења и пречишћавања отпадних вода и према захтевима Уредбе о граничним вредностима емисије загађујућих материја у воде и роковима за њихово достизање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бр. 67/11, 48/12 и 1/16), односно квалитет пречишћеног ефлуента мора задовољавати прописане критеријуме за упуштање у крајњи реципијент;</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Ради смањења акцидената узрокованих сударом са дивљачи и угинућа животиња на путу: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4.1. На подручју назначених станишта обраслих високом вегетацијом (шума, грмље, шибљаци, трстик), ради смањења учесталости кретања шумских врста према саобраћајници, моделирањем терена и планским одржавањем вегетације формирати травни појас ширине најмање 4 m између саобраћајних трака и природних станишта са високом вегетацијом, који се мора одржавати редовним кошењем (најмање 2 пута годишње);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4.2. На подручју назначених станишта обезбедити ограду за дивљач између саобраћајнице и природних станишта/коридора. који обезбеђује заштиту популација свих заштићених и строго заштићених врста предметног простора. Доњи део ограде до 60 cm висине, треба да има отворе (окца) до 0.5 cm. Ограду позиционирати на начин који омогућује одржавање функционалности ограде (првенствено кошење) са обе њене стране. Ограда треба да усмерава кретање фауне према уређеним пролазима за животиње, као и према мостовима и пропустима за воду као потенцијалним пролазима. Преиспитати потребу подизања ограде за дивљач и на другим деоницама;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4.3 Спречити доспевање ситних водоземаца на пут трајном вертикалном баријером глатке површине висине најмање 0,5 m;</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дужини од најмање 50 m уз пут са обе стране водотока/канапа са улогом еколошких коридора;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 дужини од најмање 50 m уз пут са обе стране водотока/канала које (директно или преко каналске мреже) повезују заштићена подручја или означена станишта међусобно, односно са еколошким коридорима;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другим локалитетима на којима процена утицаја доказује повећану фреквенцу кретања водоземаца или других заштићених и строго заштићених врста малих димензија;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4.4. На подручјима станишта осветљење саобраћајнице и пратећих објеката планирати у складу са потребама заштите дивљих врста које су активне ноћу:</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применити светлосна тела са засторима који спречавају расипање светлости према небу (према ваздушним коридорима миграције) и околним стаништима/еколошким коридорима;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осветљење вршити светлосним телима постављеним најниже могуће, са светлосним сноповима усмереним према ауто-путу;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 Функционалну повезаност елемената еколошке мреже и проходност еколошких коридора који се пресецају саобраћајницом. обезбедити применом техничких решења која обезбеђују проходност миграционих путева: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5.1. Омогућити безбедно кретање крупне дивљачи адекватним уређењем простора (заштита од ноћног осветљења, висина унутрашњости пролаза је већи или једнак 3 m, а индекс слободног простора пролаза или унутрашњости мултифункционалног моста једнак или већи од 1,5):</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изградњом мултифункционалног моста код канализованог водотока Јарчина, повезујући станишта заштићених врста и ловне дивљачи аграрног предела Срема са еколошким коридором Саве;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изградњом мултифункционалног моста код канализованог водотока Врањ, уз сам руб шумског станишта РУМО1а (заједнички пролаз за врсте шумских станишта и еколошког коридора);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изградњом пролаза за крупну дивљач уз северни руб шумског станишта РУМ02 (Каракуша), за дивљач аграрног предела која се креће уз саму ограду ловишта и уз мелиоративни канал;</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изградњом пролаза за крупну дивљач унутар ловишта Каракуша (РУМО2) у складу са потребама управљања ловиштем и са потребама кретања дивљих врста по гредама према западном вишем делу ловишта током поплава;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уређењем простора испод моста на Сави обезбеђујући континуитет зеленог појаса обале и проходност обале испод моста за терестичне врсте у периодима средњег водостаја;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5.2. За животиње малих и средњих димензија које се крећу уз водотокове обезбедити проходност обале испод моста над каналом који се пружа паралелно са баром Дугајом унутар РУМ02. Минимална ширина трака за кретање животиња је 1 m, ширина унутрашњег простора (визуелне целине) пролаза треба да је већа од 9 m, а пожељно је обезбедити висину већу од 2 m. Моделирањем терена траке за кретање животиња унутар пролаза повезати са гредама (узвишењима терена) ради слободног кретања дивљих врста по гредама према западном, вишем делу ловишта током поплава;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5.3. За животиње малих димензија (првенствено водоземце) обезбедити пролазе код пресецања канала који повезују означена станишта/заштићена подручја са еколошким коридорима. Минимална ширина трака за кретање животиња је 0,5 m. Користити специјалне материјале и техничка решења у складу са прихваћеним међународним стандардима (нпр. бетон посебних хидролошких особина). Обезбедити осветљеност проветравање, редовно чишћење и одржавање пролаза;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5.4. Пролазе за животиње унутар мостова и пропуста уредити по следећим општим правилима: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просторе за кретање дивљих врста планирати са обе стране корита водотокова/канала;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просторе за кретање дивљих врста сместити изнад нивоа просечних пролећних водостаја (период март-април), а унутар затвореног ловишта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Каракуша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на нивоу наjвиших тачака греда са којима су повезани;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ако профил корита водотока унутар пролаза има нагиб већи од 15</w:t>
      </w:r>
      <w:r w:rsidRPr="00CA5443">
        <w:rPr>
          <w:rFonts w:ascii="Arial" w:hAnsi="Arial" w:cs="Arial"/>
          <w:noProof w:val="0"/>
          <w:color w:val="000000"/>
          <w:sz w:val="22"/>
          <w:szCs w:val="22"/>
          <w:vertAlign w:val="superscript"/>
          <w:lang w:val="en-US"/>
        </w:rPr>
        <w:t>о</w:t>
      </w:r>
      <w:r w:rsidRPr="00CA5443">
        <w:rPr>
          <w:rFonts w:ascii="Arial" w:hAnsi="Arial" w:cs="Arial"/>
          <w:noProof w:val="0"/>
          <w:color w:val="000000"/>
          <w:sz w:val="22"/>
          <w:szCs w:val="22"/>
          <w:lang w:val="en-US"/>
        </w:rPr>
        <w:t>, треба формирати хоризонталну терасу ширине 0,4</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1,0 m за кретање животиња изнад нивоа средњег водостаја. Косине корита и обале треба да буду грубо храпаве (могуће решење су хоризонтална ребра или урези), што ће спречавати да животиње упадну у воду и олакшаће им излаз из воде. Саму терасу за кретање обложити природним типом подлоге обале водотока дате локације (нпр. глиновито земљиште) и повезати са обалом ван пропуста/моста;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обезбедити што бољу осветљеност пролаза дневном светлошћу;</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вегетација испред моста треба да буде физички повезана са природном вегетацијом околине помоћу ниске жбунасте вегетације распоређене у облику латиничног слова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V</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(избор врста зависи од локалних еколошких услова и од постојања обалоутврде):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обала (или део обалног појаса) испред моста треба да буде покривена о природним типом земљишта датог локалитета (избегавати бетон).</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5.5 Побољшати проходност цевастих пропуста као потенцијалних пролаза за ситне животиње, побољшавањем осветљености и услова проветравања на што већем броју локација, нарочито код пропуста пречника већих од једног метра;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5.6. У зависности од резултата процене утицаја на животну средину, по потреби планирати специјалне пролазе за водоземце шумских подручја, у складу са важећом регулативом за безбедно кретање дивљих врста;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5.7. Функционалност пролаза за животиње обезбедити редовним одржавањем;</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 Озелењавање трасе пута и непосредног окружења треба да се врши под следећим општим условима: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6.1. Озелењавање узурпираних површина, изложених ерозији и ширењу инвазивних врста, треба да се одвија паралелно са изградњом пута, формирањем травних површина у што краћем року;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6.2 Код планирања високог зеленила у зони утицаја издвојених станишта и еколошких коридора (удаљеност од 500 m) забрањена је садња инвазивних врста.</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глави V ИМПЛЕМЕНТАЦИЈА, у одељку 1. Институционaлни оквир имплементације и учесници у имплементацији, ст. 2, 3. и 4. мењају се и гласе: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Реализација функција и садржаја инфраструктурног коридора има карактер развојног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прага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с обзиром на значај инфраструктуре као неопходног услова за развој подручја. Без реализације инфраструктурног коридора, не могу се очекивати значајни развојни ефекти у другим областима привређивања. Наведени органи државне управе, у складу са својим нивоом, овлашћењима, обавезама и одговорностима, морају бити координатори планираних активности и актера у процесу имплементације. Активности свих нивоа управљања морају да буду и вертикално и хоризонтaлно међусобно усклађене.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Управљање просторним развојем представља процес доношења одлука, заснованих на потреби реализације циљева и планских решења утврђених изменама и допунама Просторног плана. Посебну улогу и одговорност имају следећи учесници у имплементацији Просторног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министарство надлежно за послове просторног планирања, урбанизма и пројектовања, кроз контролу даљих активности на изради планске и техничке документације, управног поступка издавања појединих дозвола и одобрења, инспекцијски надзор, као и оцењивања потребе и оправданости измена и допуна појединих решења овог просторног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2) ЈП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Путеви Србије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управљач државних путева;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3)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Коридори Србије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д.о.о, Београд;</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општина Рума, на чијој територији се налази предмет измена и допуна Просторног плана (Румска обилазница и деоница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5) Град Сремска Митровица, на чијој територији се налази предмет измена и допуна Просторног плана (деоница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6) остале јединице локалне самоуправе (градови Нови Сад, Шабац и Лозница и општине Сремски Карловци, Ириг и Богатић) на чијој се територији налазе деонице предметних путева које се разрађују кроз урбанистичку планску документацију 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7) институције, органи и организације које су давале услове и податке у току израде Просторног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Поред наведених, учесници у имплементацији су 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министарство надлежно за послове заштите животне средине и покрајински секретаријат надлежан за послове заштите животне средине;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министарство надлежно за послове пољопривреде, водопривреде и шумарства и покрајински секретаријат надлежан за послове пољопривреде, водопривреде и шумарства;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министарство надлежно за послове привреде и покрајински секретаријати надлежни за послове привреде и регионалног развоја;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министарство надлежно за послове енергетике и покрајински секретаријат надлежан за послове енергетике;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Фонд за капитална улагања АПВ;</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покрајински секретаријати за урбанизам, градитељство и заштиту животне средине;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јединице локалне самоуправе са подручја Просторног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ЈП Национални парк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Фрушка гора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Завод за заштиту природе Србије;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институције које ће учествовати у процедури израде и контроле техничке документације.</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Oдељак 2. Смернице за спровођење плана, мења се и гласи:</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Предмет Просторног плана је коридор путне инфраструктуре државног пута I реда бр. 21 и државног пута I реда бр. 19, са пратећим садржајима. Остале намене површина у обухвату Просторног плана дефинисане су важећим просторним и урбанистичким плановима.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 планови подручја посебне намене</w:t>
      </w:r>
      <w:r w:rsidRPr="00CA5443">
        <w:rPr>
          <w:rFonts w:ascii="Arial" w:hAnsi="Arial" w:cs="Arial"/>
          <w:noProof w:val="0"/>
          <w:color w:val="000000"/>
          <w:sz w:val="22"/>
          <w:szCs w:val="22"/>
          <w:vertAlign w:val="superscript"/>
          <w:lang w:val="en-US"/>
        </w:rPr>
        <w:t>4</w:t>
      </w:r>
      <w:r w:rsidRPr="00CA5443">
        <w:rPr>
          <w:rFonts w:ascii="Arial" w:hAnsi="Arial" w:cs="Arial"/>
          <w:noProof w:val="0"/>
          <w:color w:val="000000"/>
          <w:sz w:val="22"/>
          <w:szCs w:val="22"/>
          <w:lang w:val="en-US"/>
        </w:rPr>
        <w:t xml:space="preserve"> чији делови се преклапају са Просторним планом, као и делови планова јединица локалне самоуправе</w:t>
      </w:r>
      <w:r w:rsidRPr="00CA5443">
        <w:rPr>
          <w:rFonts w:ascii="Arial" w:hAnsi="Arial" w:cs="Arial"/>
          <w:noProof w:val="0"/>
          <w:color w:val="000000"/>
          <w:sz w:val="22"/>
          <w:szCs w:val="22"/>
          <w:vertAlign w:val="superscript"/>
          <w:lang w:val="en-US"/>
        </w:rPr>
        <w:t>5</w:t>
      </w:r>
      <w:r w:rsidRPr="00CA5443">
        <w:rPr>
          <w:rFonts w:ascii="Arial" w:hAnsi="Arial" w:cs="Arial"/>
          <w:noProof w:val="0"/>
          <w:color w:val="000000"/>
          <w:sz w:val="22"/>
          <w:szCs w:val="22"/>
          <w:lang w:val="en-US"/>
        </w:rPr>
        <w:t>, који су у обухвату Просторног плана, усклађују се са овим Просторним планом у делу путног коридора, а у осталим деловима остају на снази. Просторним планом посебно се утврђују услови и мере заштите, коришћења и уређења простора који се опредељује за посебну намену (коридор пута), док се преостали простор у границама Просторног плана решава оквирно по питању коришћења земљишта остављајући могућност надлежним државним органима да доношењем планова прецизирају начин коришћења простора, његове заштите и изградње.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Спровођење Просторног плана, односно његова реализација одвијаће се: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уграђивањем планских решења у развојне планове и програме;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разрадом планских решења одговарајућим урбанистичким плановима (делови територије у обухвату Просторног плана за које је предвиђена израда урбанистичког плана са смерницама за њихову израду дати су у глави IV ПРАВИЛА УРЕЂЕЊА И ПРАВИЛА ГРАЂЕЊА, одељак 1. Правила уређења и организације земљишта, пододељак 1.7. Смернице и услови за делове територије у обухвату плана за које је предвиђена израда урбанистичког плана, овог Просторног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директним путем (за делове територије за које није предвиђена израда урбанистичког плана).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 план спроводиће се обавезним уграђивањем његових одредби у:</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планове и програме јавних предузећа у области инфраструктуре (саобраћај, водопривреда, електропривреда, телекомуникације, енергетике и др);</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посебне планове, програме, пројекте и основе за поједине области (пољопривредног, водног и шумског земљишта, рекултивацију деградираног земљишта, заштиту животне средине, зоне заштићених природних и културних добара и др.).</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2.1. Смернице за имплементацију Просторног плана за деоницу Румске обилазнице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 план за деоницу Румске обилазнице спроводи се на следећи начин:</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директно (непосредно), издавањем информације о локацији и локацијских услова за предмет Просторног плана за деоницу Румске обилазнице;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2) спровођењем превентивних мера заштите и ограничења у погледу коришћења земљишта у ширем појасу заштите државног пута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предмета Просторног плана за деоницу Румске обилазнице у планским документима јединице локалне самоуправе;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израдом плана детаљне регулације за површинску раскрсницу Врдник, са техничком документацијом као основом за плански документ, а на нивоу разраде у складу са законом.</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i/>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i/>
          <w:noProof w:val="0"/>
          <w:color w:val="000000"/>
          <w:sz w:val="22"/>
          <w:szCs w:val="22"/>
          <w:lang w:val="en-US"/>
        </w:rPr>
        <w:t xml:space="preserve">4 Просторни план подручја посебне намене </w:t>
      </w:r>
      <w:r>
        <w:rPr>
          <w:rFonts w:ascii="Arial" w:hAnsi="Arial" w:cs="Arial"/>
          <w:i/>
          <w:noProof w:val="0"/>
          <w:color w:val="000000"/>
          <w:sz w:val="22"/>
          <w:szCs w:val="22"/>
          <w:lang w:val="en-US"/>
        </w:rPr>
        <w:t>"</w:t>
      </w:r>
      <w:r w:rsidRPr="00CA5443">
        <w:rPr>
          <w:rFonts w:ascii="Arial" w:hAnsi="Arial" w:cs="Arial"/>
          <w:i/>
          <w:noProof w:val="0"/>
          <w:color w:val="000000"/>
          <w:sz w:val="22"/>
          <w:szCs w:val="22"/>
          <w:lang w:val="en-US"/>
        </w:rPr>
        <w:t>Фрушка гораˮ (</w:t>
      </w:r>
      <w:r>
        <w:rPr>
          <w:rFonts w:ascii="Arial" w:hAnsi="Arial" w:cs="Arial"/>
          <w:i/>
          <w:noProof w:val="0"/>
          <w:color w:val="000000"/>
          <w:sz w:val="22"/>
          <w:szCs w:val="22"/>
          <w:lang w:val="en-US"/>
        </w:rPr>
        <w:t>"</w:t>
      </w:r>
      <w:r w:rsidRPr="00CA5443">
        <w:rPr>
          <w:rFonts w:ascii="Arial" w:hAnsi="Arial" w:cs="Arial"/>
          <w:i/>
          <w:noProof w:val="0"/>
          <w:color w:val="000000"/>
          <w:sz w:val="22"/>
          <w:szCs w:val="22"/>
          <w:lang w:val="en-US"/>
        </w:rPr>
        <w:t>Службени лист АПВ</w:t>
      </w:r>
      <w:r>
        <w:rPr>
          <w:rFonts w:ascii="Arial" w:hAnsi="Arial" w:cs="Arial"/>
          <w:i/>
          <w:noProof w:val="0"/>
          <w:color w:val="000000"/>
          <w:sz w:val="22"/>
          <w:szCs w:val="22"/>
          <w:lang w:val="en-US"/>
        </w:rPr>
        <w:t>"</w:t>
      </w:r>
      <w:r w:rsidRPr="00CA5443">
        <w:rPr>
          <w:rFonts w:ascii="Arial" w:hAnsi="Arial" w:cs="Arial"/>
          <w:i/>
          <w:noProof w:val="0"/>
          <w:color w:val="000000"/>
          <w:sz w:val="22"/>
          <w:szCs w:val="22"/>
          <w:lang w:val="en-US"/>
        </w:rPr>
        <w:t>, број 8/19), Просторни план подручја инфраструктурног коридора аутопута Е-75 Суботица</w:t>
      </w:r>
      <w:r>
        <w:rPr>
          <w:rFonts w:ascii="Arial" w:hAnsi="Arial" w:cs="Arial"/>
          <w:i/>
          <w:noProof w:val="0"/>
          <w:color w:val="000000"/>
          <w:sz w:val="22"/>
          <w:szCs w:val="22"/>
          <w:lang w:val="en-US"/>
        </w:rPr>
        <w:t>-</w:t>
      </w:r>
      <w:r w:rsidRPr="00CA5443">
        <w:rPr>
          <w:rFonts w:ascii="Arial" w:hAnsi="Arial" w:cs="Arial"/>
          <w:i/>
          <w:noProof w:val="0"/>
          <w:color w:val="000000"/>
          <w:sz w:val="22"/>
          <w:szCs w:val="22"/>
          <w:lang w:val="en-US"/>
        </w:rPr>
        <w:t>Београд (Батајница), Просторни план подручја инфраструктурног коридора граница Хрватске</w:t>
      </w:r>
      <w:r>
        <w:rPr>
          <w:rFonts w:ascii="Arial" w:hAnsi="Arial" w:cs="Arial"/>
          <w:i/>
          <w:noProof w:val="0"/>
          <w:color w:val="000000"/>
          <w:sz w:val="22"/>
          <w:szCs w:val="22"/>
          <w:lang w:val="en-US"/>
        </w:rPr>
        <w:t>-</w:t>
      </w:r>
      <w:r w:rsidRPr="00CA5443">
        <w:rPr>
          <w:rFonts w:ascii="Arial" w:hAnsi="Arial" w:cs="Arial"/>
          <w:i/>
          <w:noProof w:val="0"/>
          <w:color w:val="000000"/>
          <w:sz w:val="22"/>
          <w:szCs w:val="22"/>
          <w:lang w:val="en-US"/>
        </w:rPr>
        <w:t>Београд (Добановци)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i/>
          <w:noProof w:val="0"/>
          <w:color w:val="000000"/>
          <w:sz w:val="22"/>
          <w:szCs w:val="22"/>
          <w:lang w:val="en-US"/>
        </w:rPr>
        <w:t>5 Градови: Нови Сад, Сремска Митровица, Шабац и Лозница, и општине: Сремски Карловци, Ириг, Рума и Богатић</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2.1.1. Смернице за израду плана детаљне регулације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 основу израђене саобраћајне анализе, која је показала могућност реализације захтева исказаних кроз рани јавни увид, Просторним планом за деоницу Румске обилазнице даје се планско утемељење за даље спровођење кроз план детаљне регулације за површинску раскрсницу за петљу Врдник, на територији општине Ириг, на пројектантској стационажи km 24 + 100 до km 24 + 400.</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2.2. Смернице за имплементацију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 план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спроводи се на следећи начин:</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директно (непосредно), издавањем локацијских услова, за део Просторног плана са разрадом на нивоу детаљне регулације у обухвату земљишта јавне намене, односно појаса државног пута (објекти пута), сервисних и приступних саобраћајница и водног земљишта канала и водотокова;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индиректно, за Просторни план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изван регулационе линије предметног државног пута (ауто-пута), и то: 1) применом и разрадом планских решења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у другим планским документима за инфраструктурне системе, који се налазе у коридору или се укрштају са коридором предметног државног пута (ауто-пута); и 2) применом и разрадом планских решења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у планским документима јединица локалне самоуправе.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 план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је основ за формирање парцеле јавне намене.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Ако је у току имплементације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потребно формирати мање грађевинске парцеле за поједине функционалне целине или ако то захтева динамика решавања имовинскоправних односа и изградње, дозвољава се даља препарцелација формираних грађевинских парцела, израдом пројекта парцелације.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обухвату парцела земљишта јавне намене које су формиране Просторним планом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за потребе изградње државног пута и регулације водотокова, дозвољена је израда пројеката парцелације и формирање мањих парцела у складу са потребама и динамиком реализације планских решења.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оквиру земљишта јавних намена могућа је прерасподела водног и путног земљишта уз сагласност управљача/имаоца јавних овлашћења надлежних јавних предузећа.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За потребе инфраструктурних коридора и објеката, прелаза за животиње и других јавних радова, где техничка документација покаже потребу да се изађе из регулације саобраћајнице, могућа је израда урбанистичког пројекта, на основу чл. 60. и 61. Закона о планирању и изградњи.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Кроз израду урбанистичког пројекта и одговарајуће техничке документације, уз сагласност ЈП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Путеви Србије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могуће је увођење и додатних колских и пешачких прелаза и пролаза, на местима укрштања саобраћајнице са другим путевима, уколико се за то укаже потреба.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Ради повезивања радне зоне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запад</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могућа је изградња прелаза преко ауто-пута између оријентационих стационажа km 45</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47. Техничко решење прелаза и тачан положај разрадиће се урбанистичким пројектом након усвајања измена и допуна плана детаљне регулације за радну зону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Румска петља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запад</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уз сагласност ЈП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Путеви Србије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оквиру граница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могуће је одговарајућом урбанистичком документацијом остварити континуитет прекинутих атарских путева ради обезбеђења непосредног приступа парцелама у ванграђевинском подручју.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Просторним планом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је дозвољена фазност реализације, тако да једна фаза представља функционалну целину, уз сагласност управљача пута.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 местима укрштања мањих канала и пута, техничком документацијом дефинисаће се техничка решења у складу са условима јавног водопривредног предузећа.</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Директна примена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 план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спроводи се директно (непосредно) за део са разрадом на нивоу детаљне регулације у обухвату земљишта јавне намене, односно појаса државног пута (објекти пута), сервисних и приступних саобраћајница и водног земљишта за потребе регулације канала и водотокова, и то издавањем локацијских услова за: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целокупну трасу државног пута са мостовима, пропустима и другим објектима;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петље/денивелисана укрштања и раскрснице;</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функционалне пратеће садржаје: базе за одржавање пута, објекти контроле и управљања и др.;</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пратеће садржаје за кориснике пута: одморишта са услужним центром;</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приступне саобраћајнице и противпожарне путеве до појединих објеката државног пута;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заштитне објекте и радове на местима укрштања државног пута са осталим инфраструктурним системима;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објекте на каналима са којима се укршта државни пут;</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електроенергетску, електронску, хидротехничку и другу инфраструктуру у функцији државног пута;</w:t>
      </w:r>
    </w:p>
    <w:p w:rsidR="00CA5443" w:rsidRPr="00CA5443" w:rsidRDefault="00CA5443" w:rsidP="00CA5443">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пејзажно уређење зелених површина у појасу државног пута.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Просторни план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представља основ за утврђивање јавног интереса за експропријацију, односно административни пренос непокретности. Потпуном експропријацијом, односно административним преносом непокретности, обезбеђује се простор за формирање грађевинских парцела објеката који су саставни делови државног пута и парцела водног земљишта. Потпуном експропријацијом се трајно мења постојећа намена и власништво над обухваћеним непокретностима.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Решењем о утврђивању јавног интереса, одређује се корисник експропријације, односно административног преноса непокретности. Корисник експропријације преузима сва права, обавезе и одговорности предвиђене Законом о експропријацији.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делу Просторног плана који се директно спроводи, површине које су предмет утврђивања јавног интереса одређене су графички са елементима за геодетско обележавање и пописом обухваћених катастарских парцела (у целини или у деловима).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У случају међусобног неслагања текстуалних и графичких података или неслагања због накнадних промена насталих одржавањем катастра непокретности, меродавна је ситуација на графичким прилозима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Смернице за имплементацију у другим просторним и урбанистичким плановима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Важећи плански документи донети до дана ступања на снагу ове уредбе, примењују се на следећи начин:</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1. не примењују се плански документи у делу дефинисаном регулационом линијом државног пута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ауто-пута и водног земљишта (земљишта јавне намене) утврђеног на графичким прилозима са детаљном разрадом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примењују се, у делу и на начин који није у супротности са овим просторним планом, плански документи у делу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изван регулационе линије предметног државног пута (ауто-пута), утврђеног на графичким прилозима са детаљном разрадом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нарочито у погледу режима коришћења, уређења и заштите простора, као и у погледу спречавања ширења грађевинских подручја.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Надлежни органи јединица локалне самоуправе, чији су делови територије у обухвату Просторног плана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донеће одлуку и покренути поступак усаглашавања (измене и допуне) донетих планских докумената са Просторним планом у делу деонице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у року који не може бити дужи од две године од дана ступања на снагу ове уредбе.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Имплементација у секторским плановима и програмима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Имплементација и усаглашавање планских концепција, решења и пропозиција утврђених Просторним планом за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у секторским плановима и програмима у складу са законом, обезбеђују: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министарство надлежно за послове водопривреде, односно Републичка дирекција за воде и надлежна водопривредна предузећа, усклађивањем и реализацијом планираних радова на уређивању и одржавању каналске мреже;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 министарство надлежно за послове енергетике и Акционарско друштво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Електромрежа Србије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 xml:space="preserve"> Београд, усклађивањем и реализацијом планираних радова на електроенергетској мрежи и објектима;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оператори мобилне телефоније усклађивањем својих програма развоја мобилне телефоније;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органи локалне самоуправе и градска и општинска јавна комунална предузећа усклађивањем програма развоја водоводне и канализационе инфраструктуре;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органи локалне самоуправе и градска и општинска јавна предузећа надлежна за изградњу и одржавање путева, усклађивањем програма развоја општинских јавних путева;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органи локалне самоуправе у сарадњи са министарством надлежним за послове заштите животне средине, усклађивањем и реализацијом локалних планова и програма заштите животне средине (средњорочних планова заштите од буке, програма и планова мониторинга животне средине).</w:t>
      </w:r>
      <w:r>
        <w:rPr>
          <w:rFonts w:ascii="Arial" w:hAnsi="Arial" w:cs="Arial"/>
          <w:noProof w:val="0"/>
          <w:color w:val="000000"/>
          <w:sz w:val="22"/>
          <w:szCs w:val="22"/>
          <w:lang w:val="en-US"/>
        </w:rPr>
        <w:t>"</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Назив одељка и одељак 4. МЕРЕ И ИНСТРУМЕНТИ ЗА ИМПЛЕМЕНТАЦИЈУ мењају се и гласе:</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4. Мере и инструменти за имплементацију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Стратешка опредељења, планске концепције и планска решења спроводе се:</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применом општих, појединачних и секторских политика, мера и инструмената;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поштовањем утврђених норми и стандарда прописаних законима и подзаконским актима и утврђених на основу планерског искуства заснованог на примерима усвојених планова;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разрадом утврђених циљева и концепција кроз планове и програме развоја града, односно општине, јавних предузећа и кроз друге програме развоја;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даљим истраживањем и планирањем, израдом техничке документације, праћењем промена у простору и реализације планских решења, као и њиховог утицаја на простор и функције у њему.</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Развој, уређење, коришћење и заштита простора у обухвату Просторног плана, односно реализација планских решења, заснива се на инструментима за имплементацију Просторног плана, који се базирају на: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1) економско-финансијским мерама;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2) одговарајућој институционалној подршци;</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3) нормативним мерама;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4) информатичко-организационим мерама.</w:t>
      </w:r>
    </w:p>
    <w:p w:rsidR="00CA5443" w:rsidRP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Основне мере и инструменти за имплементацију планских решења подразумевају израду техничке документације, пре свега идејног пројекта и пројекта за грађевинску дозволу за обилазницу око Руме и деоницу Рума</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Шабац и објекте у функцији државног пута.</w:t>
      </w:r>
      <w:r>
        <w:rPr>
          <w:rFonts w:ascii="Arial" w:hAnsi="Arial" w:cs="Arial"/>
          <w:noProof w:val="0"/>
          <w:color w:val="000000"/>
          <w:sz w:val="22"/>
          <w:szCs w:val="22"/>
          <w:lang w:val="en-US"/>
        </w:rPr>
        <w:t>"</w:t>
      </w:r>
    </w:p>
    <w:p w:rsidR="00CA5443" w:rsidRPr="00CA5443" w:rsidRDefault="00CA5443" w:rsidP="00CA5443">
      <w:pPr>
        <w:spacing w:after="120" w:line="276" w:lineRule="auto"/>
        <w:contextualSpacing w:val="0"/>
        <w:jc w:val="center"/>
        <w:rPr>
          <w:rFonts w:ascii="Arial" w:hAnsi="Arial" w:cs="Arial"/>
          <w:noProof w:val="0"/>
          <w:sz w:val="22"/>
          <w:szCs w:val="22"/>
          <w:lang w:val="en-US"/>
        </w:rPr>
      </w:pPr>
      <w:r w:rsidRPr="00CA5443">
        <w:rPr>
          <w:rFonts w:ascii="Arial" w:hAnsi="Arial" w:cs="Arial"/>
          <w:noProof w:val="0"/>
          <w:color w:val="000000"/>
          <w:sz w:val="22"/>
          <w:szCs w:val="22"/>
          <w:lang w:val="en-US"/>
        </w:rPr>
        <w:t>Члан 4.</w:t>
      </w:r>
    </w:p>
    <w:p w:rsidR="00CA5443" w:rsidRDefault="00CA5443" w:rsidP="00CA5443">
      <w:pPr>
        <w:spacing w:after="150" w:line="276" w:lineRule="auto"/>
        <w:contextualSpacing w:val="0"/>
        <w:rPr>
          <w:rFonts w:ascii="Arial" w:hAnsi="Arial" w:cs="Arial"/>
          <w:noProof w:val="0"/>
          <w:sz w:val="22"/>
          <w:szCs w:val="22"/>
          <w:lang w:val="en-US"/>
        </w:rPr>
      </w:pPr>
      <w:r w:rsidRPr="00CA5443">
        <w:rPr>
          <w:rFonts w:ascii="Arial" w:hAnsi="Arial" w:cs="Arial"/>
          <w:noProof w:val="0"/>
          <w:color w:val="000000"/>
          <w:sz w:val="22"/>
          <w:szCs w:val="22"/>
          <w:lang w:val="en-US"/>
        </w:rPr>
        <w:t xml:space="preserve">Ова уредба ступа на снагу осмог дана од дана објављивања у </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Службеном гласнику Републике Србије</w:t>
      </w:r>
      <w:r>
        <w:rPr>
          <w:rFonts w:ascii="Arial" w:hAnsi="Arial" w:cs="Arial"/>
          <w:noProof w:val="0"/>
          <w:color w:val="000000"/>
          <w:sz w:val="22"/>
          <w:szCs w:val="22"/>
          <w:lang w:val="en-US"/>
        </w:rPr>
        <w:t>"</w:t>
      </w:r>
      <w:r w:rsidRPr="00CA5443">
        <w:rPr>
          <w:rFonts w:ascii="Arial" w:hAnsi="Arial" w:cs="Arial"/>
          <w:noProof w:val="0"/>
          <w:color w:val="000000"/>
          <w:sz w:val="22"/>
          <w:szCs w:val="22"/>
          <w:lang w:val="en-US"/>
        </w:rPr>
        <w:t>.</w:t>
      </w:r>
    </w:p>
    <w:p w:rsidR="00CA5443" w:rsidRPr="00CA5443" w:rsidRDefault="00CA5443" w:rsidP="00497C37">
      <w:pPr>
        <w:rPr>
          <w:rFonts w:ascii="Arial" w:hAnsi="Arial" w:cs="Arial"/>
        </w:rPr>
      </w:pPr>
    </w:p>
    <w:sectPr w:rsidR="00CA5443" w:rsidRPr="00CA5443" w:rsidSect="00CA5443">
      <w:footerReference w:type="default" r:id="rId13"/>
      <w:pgSz w:w="12480" w:h="15650"/>
      <w:pgMar w:top="720" w:right="720" w:bottom="720" w:left="72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DCC" w:rsidRDefault="00501DCC" w:rsidP="000A612A">
      <w:r>
        <w:separator/>
      </w:r>
    </w:p>
  </w:endnote>
  <w:endnote w:type="continuationSeparator" w:id="0">
    <w:p w:rsidR="00501DCC" w:rsidRDefault="00501DCC" w:rsidP="000A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12A" w:rsidRDefault="000A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DCC" w:rsidRDefault="00501DCC" w:rsidP="000A612A">
      <w:r>
        <w:separator/>
      </w:r>
    </w:p>
  </w:footnote>
  <w:footnote w:type="continuationSeparator" w:id="0">
    <w:p w:rsidR="00501DCC" w:rsidRDefault="00501DCC" w:rsidP="000A61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049C9"/>
    <w:rsid w:val="000A612A"/>
    <w:rsid w:val="00241920"/>
    <w:rsid w:val="00251BA3"/>
    <w:rsid w:val="00497C37"/>
    <w:rsid w:val="004F5E00"/>
    <w:rsid w:val="00501DCC"/>
    <w:rsid w:val="00510EA7"/>
    <w:rsid w:val="005732F1"/>
    <w:rsid w:val="006D6D76"/>
    <w:rsid w:val="007B6E54"/>
    <w:rsid w:val="00806E64"/>
    <w:rsid w:val="00944E3C"/>
    <w:rsid w:val="00971BC7"/>
    <w:rsid w:val="009E4ABF"/>
    <w:rsid w:val="00A31AF5"/>
    <w:rsid w:val="00CA5443"/>
    <w:rsid w:val="00D13326"/>
    <w:rsid w:val="00E216CB"/>
    <w:rsid w:val="00E4376E"/>
    <w:rsid w:val="00F50A43"/>
    <w:rsid w:val="00F9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9A11D"/>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0A612A"/>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0A612A"/>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0A612A"/>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0A612A"/>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Heading1Char">
    <w:name w:val="Heading 1 Char"/>
    <w:link w:val="Heading1"/>
    <w:uiPriority w:val="9"/>
    <w:rsid w:val="000A612A"/>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0A612A"/>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0A612A"/>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0A612A"/>
    <w:rPr>
      <w:rFonts w:ascii="Calibri Light" w:eastAsia="Times New Roman" w:hAnsi="Calibri Light"/>
      <w:b/>
      <w:bCs/>
      <w:i/>
      <w:iCs/>
      <w:color w:val="5B9BD5"/>
      <w:sz w:val="22"/>
      <w:szCs w:val="22"/>
      <w:lang w:val="en-US" w:eastAsia="en-US"/>
    </w:rPr>
  </w:style>
  <w:style w:type="paragraph" w:styleId="Header">
    <w:name w:val="header"/>
    <w:basedOn w:val="Normal"/>
    <w:link w:val="HeaderChar"/>
    <w:uiPriority w:val="99"/>
    <w:unhideWhenUsed/>
    <w:rsid w:val="000A612A"/>
    <w:pPr>
      <w:tabs>
        <w:tab w:val="center" w:pos="4680"/>
        <w:tab w:val="right" w:pos="9360"/>
      </w:tabs>
      <w:spacing w:after="200" w:line="276" w:lineRule="auto"/>
      <w:contextualSpacing w:val="0"/>
    </w:pPr>
    <w:rPr>
      <w:rFonts w:ascii="Verdana" w:hAnsi="Verdana" w:cs="Verdana"/>
      <w:noProof w:val="0"/>
      <w:sz w:val="22"/>
      <w:szCs w:val="22"/>
      <w:lang w:val="en-US"/>
    </w:rPr>
  </w:style>
  <w:style w:type="character" w:customStyle="1" w:styleId="HeaderChar">
    <w:name w:val="Header Char"/>
    <w:link w:val="Header"/>
    <w:uiPriority w:val="99"/>
    <w:rsid w:val="000A612A"/>
    <w:rPr>
      <w:rFonts w:ascii="Verdana" w:hAnsi="Verdana" w:cs="Verdana"/>
      <w:sz w:val="22"/>
      <w:szCs w:val="22"/>
      <w:lang w:val="en-US" w:eastAsia="en-US"/>
    </w:rPr>
  </w:style>
  <w:style w:type="paragraph" w:styleId="NormalIndent">
    <w:name w:val="Normal Indent"/>
    <w:basedOn w:val="Normal"/>
    <w:uiPriority w:val="99"/>
    <w:unhideWhenUsed/>
    <w:rsid w:val="000A612A"/>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0A612A"/>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0A612A"/>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0A612A"/>
    <w:rPr>
      <w:i/>
      <w:iCs/>
    </w:rPr>
  </w:style>
  <w:style w:type="character" w:styleId="Hyperlink">
    <w:name w:val="Hyperlink"/>
    <w:uiPriority w:val="99"/>
    <w:unhideWhenUsed/>
    <w:rsid w:val="000A612A"/>
    <w:rPr>
      <w:color w:val="0563C1"/>
      <w:u w:val="single"/>
    </w:rPr>
  </w:style>
  <w:style w:type="table" w:styleId="TableGrid">
    <w:name w:val="Table Grid"/>
    <w:basedOn w:val="TableNormal"/>
    <w:uiPriority w:val="59"/>
    <w:rsid w:val="000A612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0A612A"/>
    <w:pPr>
      <w:spacing w:after="200"/>
      <w:contextualSpacing w:val="0"/>
    </w:pPr>
    <w:rPr>
      <w:rFonts w:ascii="Verdana" w:hAnsi="Verdana" w:cs="Verdana"/>
      <w:b/>
      <w:bCs/>
      <w:noProof w:val="0"/>
      <w:color w:val="5B9BD5"/>
      <w:lang w:val="en-US"/>
    </w:rPr>
  </w:style>
  <w:style w:type="paragraph" w:customStyle="1" w:styleId="DocDefaults">
    <w:name w:val="DocDefaults"/>
    <w:rsid w:val="000A612A"/>
    <w:pPr>
      <w:spacing w:after="200" w:line="276" w:lineRule="auto"/>
    </w:pPr>
    <w:rPr>
      <w:sz w:val="22"/>
      <w:szCs w:val="22"/>
      <w:lang w:val="en-US" w:eastAsia="en-US"/>
    </w:rPr>
  </w:style>
  <w:style w:type="paragraph" w:styleId="Footer">
    <w:name w:val="footer"/>
    <w:basedOn w:val="Normal"/>
    <w:link w:val="FooterChar"/>
    <w:uiPriority w:val="99"/>
    <w:unhideWhenUsed/>
    <w:rsid w:val="000A612A"/>
    <w:pPr>
      <w:tabs>
        <w:tab w:val="center" w:pos="4536"/>
        <w:tab w:val="right" w:pos="9072"/>
      </w:tabs>
    </w:pPr>
  </w:style>
  <w:style w:type="character" w:customStyle="1" w:styleId="FooterChar">
    <w:name w:val="Footer Char"/>
    <w:link w:val="Footer"/>
    <w:uiPriority w:val="99"/>
    <w:rsid w:val="000A612A"/>
    <w:rPr>
      <w:rFonts w:ascii="Times New Roman" w:hAnsi="Times New Roman"/>
      <w:noProof/>
      <w:sz w:val="18"/>
      <w:szCs w:val="18"/>
      <w:lang w:eastAsia="en-US"/>
    </w:rPr>
  </w:style>
  <w:style w:type="numbering" w:customStyle="1" w:styleId="NoList1">
    <w:name w:val="No List1"/>
    <w:next w:val="NoList"/>
    <w:uiPriority w:val="99"/>
    <w:semiHidden/>
    <w:unhideWhenUsed/>
    <w:rsid w:val="00CA5443"/>
  </w:style>
  <w:style w:type="table" w:customStyle="1" w:styleId="TableGrid1">
    <w:name w:val="Table Grid1"/>
    <w:basedOn w:val="TableNormal"/>
    <w:next w:val="TableGrid"/>
    <w:uiPriority w:val="59"/>
    <w:rsid w:val="00CA5443"/>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262696">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67</Pages>
  <Words>23313</Words>
  <Characters>132889</Characters>
  <Application>Microsoft Office Word</Application>
  <DocSecurity>0</DocSecurity>
  <Lines>1107</Lines>
  <Paragraphs>311</Paragraphs>
  <ScaleCrop>false</ScaleCrop>
  <Company/>
  <LinksUpToDate>false</LinksUpToDate>
  <CharactersWithSpaces>155891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2024-01-13T14:16:00Z</dcterms:created>
  <dcterms:modified xsi:type="dcterms:W3CDTF">2024-01-13T14:20:00Z</dcterms:modified>
</cp:coreProperties>
</file>