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6F4BC2"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6E10C5" w:rsidRPr="006E10C5" w:rsidRDefault="00E40922" w:rsidP="006E10C5">
            <w:pPr>
              <w:pStyle w:val="NASLOVBELO"/>
              <w:rPr>
                <w:color w:val="FFE599"/>
              </w:rPr>
            </w:pPr>
            <w:r>
              <w:rPr>
                <w:color w:val="FFE599"/>
                <w:lang w:val="sr-Cyrl-RS"/>
              </w:rPr>
              <w:t>ПРАВИЛНИК</w:t>
            </w:r>
            <w:r w:rsidR="00F80650" w:rsidRPr="00F80650">
              <w:rPr>
                <w:color w:val="FFE599"/>
              </w:rPr>
              <w:t xml:space="preserve"> </w:t>
            </w:r>
          </w:p>
          <w:p w:rsidR="00E40922" w:rsidRDefault="00E40922" w:rsidP="00E40922">
            <w:pPr>
              <w:pStyle w:val="NASLOVBELO"/>
            </w:pPr>
            <w:r>
              <w:t>О ИЗМЕНАМА И ДОПУНАМА ПРАВИЛНИКА О ЦЕНАМА ЛАБОРАТОРИЈСКИХ ЗДРАВСТВЕНИХ УСЛУГА НА ПРИМАРНОМ, СЕКУНДАРНОМ И ТЕРЦИЈАРНОМ НИВОУ ЗДРАВСТВЕНЕ ЗАШТИТЕ</w:t>
            </w:r>
          </w:p>
          <w:p w:rsidR="00932A9A" w:rsidRPr="00D70371" w:rsidRDefault="006E10C5" w:rsidP="009A1B18">
            <w:pPr>
              <w:pStyle w:val="podnaslovpropisa"/>
            </w:pPr>
            <w:r w:rsidRPr="006E10C5">
              <w:t>("</w:t>
            </w:r>
            <w:r w:rsidR="00E40922">
              <w:t>Сл</w:t>
            </w:r>
            <w:r w:rsidRPr="006E10C5">
              <w:t xml:space="preserve">. </w:t>
            </w:r>
            <w:r w:rsidR="00E40922">
              <w:t>гласник</w:t>
            </w:r>
            <w:r w:rsidRPr="006E10C5">
              <w:t xml:space="preserve"> </w:t>
            </w:r>
            <w:r w:rsidR="00E40922">
              <w:t>РС</w:t>
            </w:r>
            <w:r w:rsidRPr="006E10C5">
              <w:t xml:space="preserve">", </w:t>
            </w:r>
            <w:r w:rsidR="00E40922">
              <w:t>бр</w:t>
            </w:r>
            <w:r w:rsidRPr="006E10C5">
              <w:t>. 96/2023)</w:t>
            </w:r>
          </w:p>
        </w:tc>
      </w:tr>
    </w:tbl>
    <w:p w:rsidR="006F4BC2" w:rsidRDefault="006F4BC2" w:rsidP="00D70371">
      <w:bookmarkStart w:id="0" w:name="str_1"/>
      <w:bookmarkEnd w:id="0"/>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На основу члана 196. и члана 241. став 1. тачка 1) Закона о здравственом осигурању („Службени гласник РС”, брoj 25/19),</w:t>
      </w:r>
      <w:r w:rsidRPr="00E40922">
        <w:rPr>
          <w:rFonts w:ascii="Arial" w:hAnsi="Arial" w:cs="Arial"/>
          <w:noProof w:val="0"/>
          <w:color w:val="000000"/>
          <w:sz w:val="22"/>
          <w:szCs w:val="22"/>
          <w:lang w:val="en-US"/>
        </w:rPr>
        <w:t xml:space="preserve"> </w:t>
      </w:r>
      <w:r w:rsidRPr="00E40922">
        <w:rPr>
          <w:rFonts w:ascii="Arial" w:hAnsi="Arial" w:cs="Arial"/>
          <w:noProof w:val="0"/>
          <w:color w:val="000000"/>
          <w:sz w:val="22"/>
          <w:szCs w:val="22"/>
          <w:lang w:val="en-US"/>
        </w:rPr>
        <w:t>Управни одбор Републичког фонда за здравствено осигурање, на седници одржаној 20. октобра 2023. године, донео је</w:t>
      </w:r>
    </w:p>
    <w:p w:rsidR="00E40922" w:rsidRPr="00E40922" w:rsidRDefault="00E40922" w:rsidP="00E40922">
      <w:pPr>
        <w:spacing w:after="225" w:line="276" w:lineRule="auto"/>
        <w:contextualSpacing w:val="0"/>
        <w:jc w:val="center"/>
        <w:rPr>
          <w:rFonts w:ascii="Arial" w:hAnsi="Arial" w:cs="Arial"/>
          <w:noProof w:val="0"/>
          <w:sz w:val="22"/>
          <w:szCs w:val="22"/>
          <w:lang w:val="en-US"/>
        </w:rPr>
      </w:pPr>
      <w:r w:rsidRPr="00E40922">
        <w:rPr>
          <w:rFonts w:ascii="Arial" w:hAnsi="Arial" w:cs="Arial"/>
          <w:b/>
          <w:noProof w:val="0"/>
          <w:color w:val="000000"/>
          <w:sz w:val="22"/>
          <w:szCs w:val="22"/>
          <w:lang w:val="en-US"/>
        </w:rPr>
        <w:t>ПРАВИЛНИК</w:t>
      </w:r>
    </w:p>
    <w:p w:rsidR="00E40922" w:rsidRPr="00E40922" w:rsidRDefault="00E40922" w:rsidP="00E40922">
      <w:pPr>
        <w:spacing w:after="150" w:line="276" w:lineRule="auto"/>
        <w:contextualSpacing w:val="0"/>
        <w:jc w:val="center"/>
        <w:rPr>
          <w:rFonts w:ascii="Arial" w:hAnsi="Arial" w:cs="Arial"/>
          <w:noProof w:val="0"/>
          <w:sz w:val="22"/>
          <w:szCs w:val="22"/>
          <w:lang w:val="en-US"/>
        </w:rPr>
      </w:pPr>
      <w:r w:rsidRPr="00E40922">
        <w:rPr>
          <w:rFonts w:ascii="Arial" w:hAnsi="Arial" w:cs="Arial"/>
          <w:b/>
          <w:noProof w:val="0"/>
          <w:color w:val="000000"/>
          <w:sz w:val="22"/>
          <w:szCs w:val="22"/>
          <w:lang w:val="en-US"/>
        </w:rPr>
        <w:t>о изменама и допунама Правилника о ценама лабораторијских здравствених услуга на примарном, секундарном и терцијарном нивоу здравствене заштите</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1.</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У Правилнику о ценама лабораторијских здравствених услуга на примарном, секундарном и терцијарном нивоу здравствене заштите („Службени гласник РС”, бр. 132/21, 134/22, 16/23, 44/23, 54/23 и 71/23), у табеларном прилогу, у области „II opšte hematološke analize i analize hemostaze”, после лабораторијске здравствене услуге под редним бројем 155. додају се лабораторијске здравствене услуге са ценама под редним бр. 156–173. које гласе:</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54"/>
        <w:gridCol w:w="1165"/>
        <w:gridCol w:w="1207"/>
        <w:gridCol w:w="3984"/>
        <w:gridCol w:w="1357"/>
      </w:tblGrid>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OBLAST</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Red. br. u oblasti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Šifra usluge</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Naziv usluge</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Cena</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L030890</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Krvna slika sa petodelnom leukocitarnom formulom i MDW, VCS metodom</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708,71</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L030901</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ADAMTS13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46.539,81</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L030916</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Antitela na β2-glikoprotein I IgM klase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4.095,25</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L030924</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Antitela na β2-glikoprotein I IgG klase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4.095,25</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160.</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L030932</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Antitela na β2-glikoprotein I domen 1 IgG klase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6.833,78</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L030940</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Antitela na kardiolipin IgG klase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4.095,25</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L030957</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Antitela na kardiolipin IgM klase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4.095,25</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lastRenderedPageBreak/>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L030965</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Heparin indukovana antitela (HIT) u plazmi, imunoturbidimetrija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5.811,99</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L030973</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Heparin indukovana antitela (HIT) IgG klase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8.928,50</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L030981</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Von Willebrand faktor Ag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4.978,92</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L030999</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Von Willebrand faktor ristocetin kofaktor u plazmi, imunoturbidimetrija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3.916,21</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L031005</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Von Willebrand faktor ristocetin kofaktor u plazmi,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7.713,66</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L031013</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Von Willebrand faktor kolagen vezujuća akativnosti, 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7.713,66</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L031021</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Agregacija trombocita iz pune krvi arahidonskom kiselinom, turbidimetrija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8.803,85</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170.</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L031039</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Agregacija trombocita iz pune krvi ADP-om, turbidimetrija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16.963,85</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171.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L031047</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Amiloid-beta 42 (Аβ42) u likvoru, ECLIA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9.135,12</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172.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L031054</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Protein tau u likvoru, ECLIA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9.135,12</w:t>
            </w:r>
          </w:p>
        </w:tc>
      </w:tr>
      <w:tr w:rsidR="00E40922" w:rsidRPr="00E40922" w:rsidTr="00D33897">
        <w:trPr>
          <w:trHeight w:val="45"/>
          <w:tblCellSpacing w:w="0" w:type="auto"/>
        </w:trPr>
        <w:tc>
          <w:tcPr>
            <w:tcW w:w="408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 opšte hematološke analize i analize hemostaze</w:t>
            </w:r>
          </w:p>
        </w:tc>
        <w:tc>
          <w:tcPr>
            <w:tcW w:w="14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173.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L031062</w:t>
            </w:r>
          </w:p>
        </w:tc>
        <w:tc>
          <w:tcPr>
            <w:tcW w:w="59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Protein tau, fosforilisani, u likvoru, ECLIA</w:t>
            </w:r>
          </w:p>
        </w:tc>
        <w:tc>
          <w:tcPr>
            <w:tcW w:w="152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9.135,12</w:t>
            </w:r>
          </w:p>
        </w:tc>
      </w:tr>
    </w:tbl>
    <w:p w:rsidR="00E40922" w:rsidRPr="00E40922" w:rsidRDefault="00E40922" w:rsidP="00E40922">
      <w:pPr>
        <w:spacing w:after="150" w:line="276" w:lineRule="auto"/>
        <w:contextualSpacing w:val="0"/>
        <w:jc w:val="right"/>
        <w:rPr>
          <w:rFonts w:ascii="Arial" w:hAnsi="Arial" w:cs="Arial"/>
          <w:noProof w:val="0"/>
          <w:sz w:val="22"/>
          <w:szCs w:val="22"/>
          <w:lang w:val="en-US"/>
        </w:rPr>
      </w:pPr>
      <w:r w:rsidRPr="00E40922">
        <w:rPr>
          <w:rFonts w:ascii="Arial" w:hAnsi="Arial" w:cs="Arial"/>
          <w:noProof w:val="0"/>
          <w:color w:val="000000"/>
          <w:sz w:val="22"/>
          <w:szCs w:val="22"/>
          <w:lang w:val="en-US"/>
        </w:rPr>
        <w:t>”</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2.</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У табеларном прилогу, у области „III biohemijske i imunohemijske analize”, после лабораторијске здравствене услуге под редним бројем 1092. додаје се лабораторијскa здравственa услугa са ценом под редним бројем 1093. која гласи:</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93"/>
        <w:gridCol w:w="1436"/>
        <w:gridCol w:w="1273"/>
        <w:gridCol w:w="3459"/>
        <w:gridCol w:w="1206"/>
      </w:tblGrid>
      <w:tr w:rsidR="00E40922" w:rsidRPr="00E40922" w:rsidTr="00D33897">
        <w:trPr>
          <w:trHeight w:val="45"/>
          <w:tblCellSpacing w:w="0" w:type="auto"/>
        </w:trPr>
        <w:tc>
          <w:tcPr>
            <w:tcW w:w="45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OBLAST</w:t>
            </w:r>
          </w:p>
        </w:tc>
        <w:tc>
          <w:tcPr>
            <w:tcW w:w="20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Red. br. u oblasti</w:t>
            </w:r>
          </w:p>
        </w:tc>
        <w:tc>
          <w:tcPr>
            <w:tcW w:w="148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Šifra usluge</w:t>
            </w:r>
          </w:p>
        </w:tc>
        <w:tc>
          <w:tcPr>
            <w:tcW w:w="492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Naziv usluge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Cena</w:t>
            </w:r>
          </w:p>
        </w:tc>
      </w:tr>
      <w:tr w:rsidR="00E40922" w:rsidRPr="00E40922" w:rsidTr="00D33897">
        <w:trPr>
          <w:trHeight w:val="45"/>
          <w:tblCellSpacing w:w="0" w:type="auto"/>
        </w:trPr>
        <w:tc>
          <w:tcPr>
            <w:tcW w:w="458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III biohemijske i imunohemijske analize</w:t>
            </w:r>
          </w:p>
        </w:tc>
        <w:tc>
          <w:tcPr>
            <w:tcW w:w="205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1093.</w:t>
            </w:r>
          </w:p>
        </w:tc>
        <w:tc>
          <w:tcPr>
            <w:tcW w:w="148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L031070</w:t>
            </w:r>
          </w:p>
        </w:tc>
        <w:tc>
          <w:tcPr>
            <w:tcW w:w="492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Homocistein u plazmi, imunoturbidimetrija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3.594,58</w:t>
            </w:r>
          </w:p>
        </w:tc>
      </w:tr>
    </w:tbl>
    <w:p w:rsidR="00E40922" w:rsidRPr="00E40922" w:rsidRDefault="00E40922" w:rsidP="00E40922">
      <w:pPr>
        <w:spacing w:after="150" w:line="276" w:lineRule="auto"/>
        <w:contextualSpacing w:val="0"/>
        <w:jc w:val="right"/>
        <w:rPr>
          <w:rFonts w:ascii="Arial" w:hAnsi="Arial" w:cs="Arial"/>
          <w:noProof w:val="0"/>
          <w:sz w:val="22"/>
          <w:szCs w:val="22"/>
          <w:lang w:val="en-US"/>
        </w:rPr>
      </w:pPr>
      <w:r w:rsidRPr="00E40922">
        <w:rPr>
          <w:rFonts w:ascii="Arial" w:hAnsi="Arial" w:cs="Arial"/>
          <w:noProof w:val="0"/>
          <w:color w:val="000000"/>
          <w:sz w:val="22"/>
          <w:szCs w:val="22"/>
          <w:lang w:val="en-US"/>
        </w:rPr>
        <w:t>”</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3.</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У табеларном прилогу, у области „VI mikrobiološke analize opšte analize”, ценe услуга под редним бр. 1, 2. и 5. мењају се и гласе:</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91"/>
        <w:gridCol w:w="1251"/>
        <w:gridCol w:w="1216"/>
        <w:gridCol w:w="4421"/>
        <w:gridCol w:w="988"/>
      </w:tblGrid>
      <w:tr w:rsidR="00E40922" w:rsidRPr="00E40922" w:rsidTr="00D33897">
        <w:trPr>
          <w:trHeight w:val="45"/>
          <w:tblCellSpacing w:w="0" w:type="auto"/>
        </w:trPr>
        <w:tc>
          <w:tcPr>
            <w:tcW w:w="35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OBLAST</w:t>
            </w:r>
          </w:p>
        </w:tc>
        <w:tc>
          <w:tcPr>
            <w:tcW w:w="161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Red. br. u oblasti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Šifra usluge</w:t>
            </w:r>
          </w:p>
        </w:tc>
        <w:tc>
          <w:tcPr>
            <w:tcW w:w="68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Naziv usluge</w:t>
            </w:r>
          </w:p>
        </w:tc>
        <w:tc>
          <w:tcPr>
            <w:tcW w:w="107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Cena</w:t>
            </w:r>
          </w:p>
        </w:tc>
      </w:tr>
      <w:tr w:rsidR="00E40922" w:rsidRPr="00E40922" w:rsidTr="00D33897">
        <w:trPr>
          <w:trHeight w:val="45"/>
          <w:tblCellSpacing w:w="0" w:type="auto"/>
        </w:trPr>
        <w:tc>
          <w:tcPr>
            <w:tcW w:w="35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opšte analize</w:t>
            </w:r>
          </w:p>
        </w:tc>
        <w:tc>
          <w:tcPr>
            <w:tcW w:w="161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L020404</w:t>
            </w:r>
          </w:p>
        </w:tc>
        <w:tc>
          <w:tcPr>
            <w:tcW w:w="68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Uzimanje biološkog materijala za mikrobiološki pregled</w:t>
            </w:r>
          </w:p>
        </w:tc>
        <w:tc>
          <w:tcPr>
            <w:tcW w:w="107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76,43</w:t>
            </w:r>
          </w:p>
        </w:tc>
      </w:tr>
      <w:tr w:rsidR="00E40922" w:rsidRPr="00E40922" w:rsidTr="00D33897">
        <w:trPr>
          <w:trHeight w:val="45"/>
          <w:tblCellSpacing w:w="0" w:type="auto"/>
        </w:trPr>
        <w:tc>
          <w:tcPr>
            <w:tcW w:w="35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opšte analize</w:t>
            </w:r>
          </w:p>
        </w:tc>
        <w:tc>
          <w:tcPr>
            <w:tcW w:w="161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L020412</w:t>
            </w:r>
          </w:p>
        </w:tc>
        <w:tc>
          <w:tcPr>
            <w:tcW w:w="68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Uzimanje biološkog materijala za mikrobiološki pregled u transportnu podlogu</w:t>
            </w:r>
          </w:p>
        </w:tc>
        <w:tc>
          <w:tcPr>
            <w:tcW w:w="107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158,74</w:t>
            </w:r>
          </w:p>
        </w:tc>
      </w:tr>
      <w:tr w:rsidR="00E40922" w:rsidRPr="00E40922" w:rsidTr="00D33897">
        <w:trPr>
          <w:trHeight w:val="45"/>
          <w:tblCellSpacing w:w="0" w:type="auto"/>
        </w:trPr>
        <w:tc>
          <w:tcPr>
            <w:tcW w:w="35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opšte analize</w:t>
            </w:r>
          </w:p>
        </w:tc>
        <w:tc>
          <w:tcPr>
            <w:tcW w:w="161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L020149</w:t>
            </w:r>
          </w:p>
        </w:tc>
        <w:tc>
          <w:tcPr>
            <w:tcW w:w="683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Izolacija mikroorganizma subkulturom</w:t>
            </w:r>
          </w:p>
        </w:tc>
        <w:tc>
          <w:tcPr>
            <w:tcW w:w="1079"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202,35</w:t>
            </w:r>
          </w:p>
        </w:tc>
      </w:tr>
    </w:tbl>
    <w:p w:rsidR="00E40922" w:rsidRPr="00E40922" w:rsidRDefault="00E40922" w:rsidP="00E40922">
      <w:pPr>
        <w:spacing w:after="150" w:line="276" w:lineRule="auto"/>
        <w:contextualSpacing w:val="0"/>
        <w:jc w:val="right"/>
        <w:rPr>
          <w:rFonts w:ascii="Arial" w:hAnsi="Arial" w:cs="Arial"/>
          <w:noProof w:val="0"/>
          <w:sz w:val="22"/>
          <w:szCs w:val="22"/>
          <w:lang w:val="en-US"/>
        </w:rPr>
      </w:pPr>
      <w:r w:rsidRPr="00E40922">
        <w:rPr>
          <w:rFonts w:ascii="Arial" w:hAnsi="Arial" w:cs="Arial"/>
          <w:noProof w:val="0"/>
          <w:color w:val="000000"/>
          <w:sz w:val="22"/>
          <w:szCs w:val="22"/>
          <w:lang w:val="en-US"/>
        </w:rPr>
        <w:t>”</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4.</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У табеларном прилогу, у области „VI mikrobiološke analize mikrobiološke analize iz oblasti virusologije”, ценe услуга под редним бр. 1, 16–19, 28. и 35. мењају се и гласе:</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9"/>
        <w:gridCol w:w="942"/>
        <w:gridCol w:w="1215"/>
        <w:gridCol w:w="4956"/>
        <w:gridCol w:w="1215"/>
      </w:tblGrid>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OBLAST</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Red. br. u oblasti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Šifra usluge</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Naziv usluge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Cena</w:t>
            </w:r>
          </w:p>
        </w:tc>
      </w:tr>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virusologije</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L020438</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virusnih antigena u stolici (Rotavirus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873,64</w:t>
            </w:r>
          </w:p>
        </w:tc>
      </w:tr>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virusologije</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L020578</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Kvalitativno određivanje anti HCV antitela – imunoenzimski test (ELISA, ELFA, ECLIA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1.156,88</w:t>
            </w:r>
          </w:p>
        </w:tc>
      </w:tr>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virusologije</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L020586</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Kvalitativno određivanje anti HIV antitela – imunoenzimski test (ELISA, ELFA, ECLIA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800,73</w:t>
            </w:r>
          </w:p>
        </w:tc>
      </w:tr>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virusologije</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L020594</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Kvalitativno određivanje anti–delta antitela – imunoenzimski test (ELISA, ELFA, ECLIA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895,69</w:t>
            </w:r>
          </w:p>
        </w:tc>
      </w:tr>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virusologije</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L020602</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Kvalitativno određivanje antigena i antitela za HIV – imunoenzimski test (ELISA, ELFA, ECLIA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810,27</w:t>
            </w:r>
          </w:p>
        </w:tc>
      </w:tr>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virusologije</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L020727</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Kvantitativno određivanje IgG antitela na antigene virusa (HSV1, HSV2, CMV, EBV, Rubella, Mumps, Morbilli, Adeno, RSV, virus Parainfluenze 1, 2, 3, Parvo virus B19, Rubella virus, HAV, HEV i dr.) – imunoenzimski test (ELISA, ELFA, ECLIA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1.101,13</w:t>
            </w:r>
          </w:p>
        </w:tc>
      </w:tr>
      <w:tr w:rsidR="00E40922" w:rsidRPr="00E40922" w:rsidTr="00D33897">
        <w:trPr>
          <w:trHeight w:val="45"/>
          <w:tblCellSpacing w:w="0" w:type="auto"/>
        </w:trPr>
        <w:tc>
          <w:tcPr>
            <w:tcW w:w="2678"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virusologije</w:t>
            </w:r>
          </w:p>
        </w:tc>
        <w:tc>
          <w:tcPr>
            <w:tcW w:w="102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L020800</w:t>
            </w:r>
          </w:p>
        </w:tc>
        <w:tc>
          <w:tcPr>
            <w:tcW w:w="8005"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Određivanje aviditeta IgG virus specifičnih antitela za jedan virus (CMV, HSV1, HSV2, Rubella, Coxsackie B virus i dr.) – imunoenzimski test (ELISA, ELFA, ECLIA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1.525,37</w:t>
            </w:r>
          </w:p>
        </w:tc>
      </w:tr>
    </w:tbl>
    <w:p w:rsidR="00E40922" w:rsidRPr="00E40922" w:rsidRDefault="00E40922" w:rsidP="00E40922">
      <w:pPr>
        <w:spacing w:after="150" w:line="276" w:lineRule="auto"/>
        <w:contextualSpacing w:val="0"/>
        <w:jc w:val="right"/>
        <w:rPr>
          <w:rFonts w:ascii="Arial" w:hAnsi="Arial" w:cs="Arial"/>
          <w:noProof w:val="0"/>
          <w:sz w:val="22"/>
          <w:szCs w:val="22"/>
          <w:lang w:val="en-US"/>
        </w:rPr>
      </w:pPr>
      <w:r w:rsidRPr="00E40922">
        <w:rPr>
          <w:rFonts w:ascii="Arial" w:hAnsi="Arial" w:cs="Arial"/>
          <w:noProof w:val="0"/>
          <w:color w:val="000000"/>
          <w:sz w:val="22"/>
          <w:szCs w:val="22"/>
          <w:lang w:val="en-US"/>
        </w:rPr>
        <w:t>”</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5.</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У табеларном прилогу, у области „VI mikrobiološke analize mikrobiološke usluge iz oblasti bakteriologije”, ценe услуга под редним бр. 1, 4, 6–9, 11–13, 16, 23, 31, 37, 38, 42, 46, 47, 50, 52, 62, 73, 75, 77–79, 87, 92, 94, 99, 109, 118, 120, 125, 126, 129, 130, 133–135, 140, 144, 152–154. и 156. мењају се и гласе:</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7"/>
        <w:gridCol w:w="919"/>
        <w:gridCol w:w="1177"/>
        <w:gridCol w:w="4817"/>
        <w:gridCol w:w="1177"/>
      </w:tblGrid>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OBLAST</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Red. br. u oblasti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Šifra usluge</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Naziv usluge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Cena</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L020206</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Mikroskopski pregled bojenog preparata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310,62</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L019208</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brisa ždrela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208,11</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L019166</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brisa nosa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260,21</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L019174</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brisa nosa na kliconoštvo (S. aureus., (MRSA), S. pneumoniae i dr.)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289,29</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L019190</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brisa spoljašnjih genitalija ili vagine ili cerviksa ili uretre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483,80</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L030221</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Streptococcus agalactiae (GBS) kod trudnica od 35–37. gn u vaginalnom i rektalnom brisu</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395,12</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w:t>
            </w:r>
            <w:bookmarkStart w:id="1" w:name="_GoBack"/>
            <w:bookmarkEnd w:id="1"/>
            <w:r w:rsidRPr="00E40922">
              <w:rPr>
                <w:rFonts w:ascii="Arial" w:hAnsi="Arial" w:cs="Arial"/>
                <w:noProof w:val="0"/>
                <w:color w:val="000000"/>
                <w:sz w:val="22"/>
                <w:szCs w:val="22"/>
                <w:lang w:val="en-US"/>
              </w:rPr>
              <w:t>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L020396</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Urinokultura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219,13</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L019380</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uzoraka na Neisseria gonorrhoeae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508,40</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L020289</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vaginalnog brisa na bakterijsku vaginozu pregledom bojenog preparata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200,13</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L019372</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tečnosti ili tkiva iz primarno sterilnih područja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875,18</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L019315</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oka ili konjunktive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543,88</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L030239</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stolice za Escherichia coli O:157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300,01</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L019943</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Biohemijska identifikacija Yersinia enterocolitica/pseudotuberculosis</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997,25</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L019976</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Biotipizacija Yersinia enterocolitica/pseudotuberculosis</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1.276,99</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L019430</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Biohemijska identifikacija enterobakterija testovima pripremljenim u laboratoriji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255,43</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L019471</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Biohemijska identifikacija Streptococcus pneumoniae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241,69</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L019455</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Biohemijska identifikacija Moraxella vrsta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258,35</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50.</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L020156</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Izolacija vankomicin – rezistentnih Enterococcus spp.</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938,28</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L020131</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Izolacija meticilin–rezistentnog Staphylococcus aureus iz kliničkih uzoraka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522,28</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L019554</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IgG klase na Borrelia burgdorferi u serumu/likvoru (pojedinačno) ELISA/CLIA testom</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1.172,31</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L030304</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Određivanje titra antitela na Treponema pallidum u serumu/likvoru (pojedinačno) TPH testom</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2.018,11</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L019273</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Bakteriološki pregled krvi i/ili bioptata na Brucella vrste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1.396,34</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L019604</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na Brucella vrste (IgM i/ili IgG)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801,00</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L019612</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na Brucella melitensis ili Brucella abortus testom aglutinacije (pojedinačno)</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808,93</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L020115</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Izolacija Legionella vrsta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821,16</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L019679</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na Mycoplasma pneumoniae (IgA, IgM ili IgG – pojedinačno)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1.180,01</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L020107</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prisustva i ispitivanje antibiotske osetljivosti U. urealyticum i M. Hominis</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675,21</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L019653</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na Helicobacter pylori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932,02</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L019844</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Brzi kvalitativni test za detekciju Clostridium difficilae toksina A i B u stolici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456,96</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109.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L019687</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Serološka dijagnostika trbušnog tifusa/paratifusa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925,94</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L020354</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Serološka identifikacija Shigella flexneri, Shigella sonnei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411,06</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120.</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L030478</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Serološka identifikacija Yersinia enterocolitica O:3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667,56</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L020008</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Ispitivanje osetljivosti bakterija na antibiotike, disk – difuzionom metodomna prvu liniju</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292,10</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L019992</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Ispitivanje osetljivosti bakterija na antibiotike, disk – difuzionom metodom na drugu i/ili treću liniju</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325,68</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L030486</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Ispitivanje osetljivosti bakterija na antibiotike (pojedinačno) i određivanje vrednosti MIK bujon mikrodilucionom metodom</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1.538,03</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130.</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L030494</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karbapenem rezistentnih gram negativnih bakterija na selektivnoj podlozi/skrining za prijem u bolnicu</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418,65</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133.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L019711</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beta – laktamaza proširenog spektra za Gram negativne bakterije (fenotipska)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600,07</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134.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L019729</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beta – laktamaza za Gram pozitivne bakterije (fenotipska)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305,16</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135.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L020230</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Obrada uzorka (koji nije uzet iz primarno sterilne regije) za zasejavanje na podloge za izolaciju mikobakterija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399,60</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140.</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L019935</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Identifikacija mikobakterija biohemijskim testovima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2.152,93</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144.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L020073</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Ispitivanje osetljivosti mikobakterija na više koncentracije antituberkulotika prve linije u tečnim podlogama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2.815,80</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L030510</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Molekularna metoda za detekciju bakterijskih uzročnika urogenitalnih infekcija – Chlamydia trachomatis i Neisseria gonorrhoeae (jedan test)</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3.043,87</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L030528</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Molekularna metoda za detekciju uzročnika urogenitalnih infekcija – Chlamydia trachomatis</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2.048,87</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L019521</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mecA/C gena rezistencije kod Staphylococcus vrsta – PCR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1.624,32</w:t>
            </w:r>
          </w:p>
        </w:tc>
      </w:tr>
      <w:tr w:rsidR="00E40922" w:rsidRPr="00E40922" w:rsidTr="00D33897">
        <w:trPr>
          <w:trHeight w:val="45"/>
          <w:tblCellSpacing w:w="0" w:type="auto"/>
        </w:trPr>
        <w:tc>
          <w:tcPr>
            <w:tcW w:w="369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usluge iz oblasti bakteriologije</w:t>
            </w:r>
          </w:p>
        </w:tc>
        <w:tc>
          <w:tcPr>
            <w:tcW w:w="102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L019802</w:t>
            </w:r>
          </w:p>
        </w:tc>
        <w:tc>
          <w:tcPr>
            <w:tcW w:w="69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Detekciju genoma Borrelia burgdorferi molekularnom metodom – sensu lato – real time PCR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2.677,35</w:t>
            </w:r>
          </w:p>
        </w:tc>
      </w:tr>
    </w:tbl>
    <w:p w:rsidR="00E40922" w:rsidRPr="00E40922" w:rsidRDefault="00E40922" w:rsidP="00E40922">
      <w:pPr>
        <w:spacing w:after="150" w:line="276" w:lineRule="auto"/>
        <w:contextualSpacing w:val="0"/>
        <w:jc w:val="right"/>
        <w:rPr>
          <w:rFonts w:ascii="Arial" w:hAnsi="Arial" w:cs="Arial"/>
          <w:noProof w:val="0"/>
          <w:sz w:val="22"/>
          <w:szCs w:val="22"/>
          <w:lang w:val="en-US"/>
        </w:rPr>
      </w:pPr>
      <w:r w:rsidRPr="00E40922">
        <w:rPr>
          <w:rFonts w:ascii="Arial" w:hAnsi="Arial" w:cs="Arial"/>
          <w:noProof w:val="0"/>
          <w:color w:val="000000"/>
          <w:sz w:val="22"/>
          <w:szCs w:val="22"/>
          <w:lang w:val="en-US"/>
        </w:rPr>
        <w:t>”</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6.</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У табеларном прилогу, у области „VI mikrobiološke analize mikrobiološke analize iz oblasti parazitologije”, ценe услуга под редним бр. 1, 3, 6, 12, 21, 23–26, 32, 34, 35, 37. и 38. мењају се и гласе:</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70"/>
        <w:gridCol w:w="942"/>
        <w:gridCol w:w="1204"/>
        <w:gridCol w:w="4447"/>
        <w:gridCol w:w="1204"/>
      </w:tblGrid>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OBLAST</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Red. br. u oblasti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Šifra usluge</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Naziv usluge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Cena</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L020867</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Aviditet antitela na Toxoplasma gondii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1.609,22</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L020891</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na Leishmania spp. – imunohromatografski test</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883,17</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L020941</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na parazite – kvantitativno, ELISA (Leishmania, Echinococcus, Toxocara ili drugo – pojedinačno)</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1.125,28</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L021014</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antitela na parazite – test indirektne hemaglutinacije (Echinococcus ili drugi)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1.192,89</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L021097</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Molekularna metoda za dokazivanje genoma parazita (Toxoplasma, Leishmania, Trichinella ili drugo) – PCR</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3.304,10</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L021113</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Parazitološki pregled kliničkog uzorka (osim stolice) – pregled direktnog bojenog preparata ili preparata sa kulture (Leishmania ili drugo)</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1.097,89</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L021121</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Parazitološki pregled kliničkog uzorka (osim stolice) – pregled nativnog preparata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450,37</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L021147</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direktnog preparata krvi na mikrofilarije (Trypanosoma ili drugo)</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1.050,18</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L021162</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krvi na malariju – direktan bojeni preparat</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1.576,67</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L021253</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perianalnog otiska na helminte (Enterobius ili drugo)</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151,71</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L021295</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stolice na larve helminata (Strongyloides ili drugo)</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400,69</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L021303</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stolice na parazite – metodom koncentracije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417,54</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L021329</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stolice na protozoa (bojeni preparat)</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730,61</w:t>
            </w:r>
          </w:p>
        </w:tc>
      </w:tr>
      <w:tr w:rsidR="00E40922" w:rsidRPr="00E40922" w:rsidTr="00D33897">
        <w:trPr>
          <w:trHeight w:val="45"/>
          <w:tblCellSpacing w:w="0" w:type="auto"/>
        </w:trPr>
        <w:tc>
          <w:tcPr>
            <w:tcW w:w="3867"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parazitologije</w:t>
            </w:r>
          </w:p>
        </w:tc>
        <w:tc>
          <w:tcPr>
            <w:tcW w:w="1040"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L021345</w:t>
            </w:r>
          </w:p>
        </w:tc>
        <w:tc>
          <w:tcPr>
            <w:tcW w:w="680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uzoraka na demodikozu, šugu i druge ektoparazitoze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414,46</w:t>
            </w:r>
          </w:p>
        </w:tc>
      </w:tr>
    </w:tbl>
    <w:p w:rsidR="00E40922" w:rsidRPr="00E40922" w:rsidRDefault="00E40922" w:rsidP="00E40922">
      <w:pPr>
        <w:spacing w:after="150" w:line="276" w:lineRule="auto"/>
        <w:contextualSpacing w:val="0"/>
        <w:jc w:val="right"/>
        <w:rPr>
          <w:rFonts w:ascii="Arial" w:hAnsi="Arial" w:cs="Arial"/>
          <w:noProof w:val="0"/>
          <w:sz w:val="22"/>
          <w:szCs w:val="22"/>
          <w:lang w:val="en-US"/>
        </w:rPr>
      </w:pPr>
      <w:r w:rsidRPr="00E40922">
        <w:rPr>
          <w:rFonts w:ascii="Arial" w:hAnsi="Arial" w:cs="Arial"/>
          <w:noProof w:val="0"/>
          <w:color w:val="000000"/>
          <w:sz w:val="22"/>
          <w:szCs w:val="22"/>
          <w:lang w:val="en-US"/>
        </w:rPr>
        <w:t>”</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7.</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У табеларном прилогу, у области „VI mikrobiološke analize mikrobiološke analize iz oblasti mikologije”, ценe услуга под редним бр. 2–4, 6–9, 11, 15, 16, 21, 25, 27, 29, 33. и 35. мењају се и гласе:</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08"/>
        <w:gridCol w:w="1082"/>
        <w:gridCol w:w="1216"/>
        <w:gridCol w:w="3745"/>
        <w:gridCol w:w="1216"/>
      </w:tblGrid>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OBLAST</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Red. br. u oblasti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Šifra usluge</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Naziv usluge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Cena</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L030551</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Antimikogram – komercijalni bujon mikrodilucioni test</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2.792,87</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L021386</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Antimikogram – disk difuzioni metod</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299,44</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4.</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L021394</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Antimikogram sa vrednostima MIK agar dilucionom metodom (po jednom antimikotiku)</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658,50</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L021410</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Antitela na Aspergillus i određivanje vrste uzročnika – metodom imunodifuzije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1.122,50</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L021428</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Bojeni preparat na Pneumocystis jirovecii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685,60</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8.</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L021444</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Aspergillus galactomanan antigena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1.563,78</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L021451</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Detekcija Candida manan antigena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990,47</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L021477</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Direktan nativan preparat na gljive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199,79</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L021519</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Hemokultura na gljive klasičnom metodom</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963,20</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L030569</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Biohemijska identifikacija gljiva komercijalnim testom (do nivoa vrste)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1.272,44</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21.</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L021568</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Izolacija dermatofita i drugih gljiva iz strugotina kože i njenih adneksa (dlake, nokti)</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517,17</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L021600</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Određivanje antitela na bifazne gljive – metodom imunodifuzije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1.183,31</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27.</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L021642</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Otkrivanje metaboličkih i somatskih antigena gljiva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1.636,09</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29.</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L021667</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Identifikacija dermatofita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748,09</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33.</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L021709</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Pregled uzorka iz primarno sterilnih regija na gljive</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539,18</w:t>
            </w:r>
          </w:p>
        </w:tc>
      </w:tr>
      <w:tr w:rsidR="00E40922" w:rsidRPr="00E40922" w:rsidTr="00D33897">
        <w:trPr>
          <w:trHeight w:val="45"/>
          <w:tblCellSpacing w:w="0" w:type="auto"/>
        </w:trPr>
        <w:tc>
          <w:tcPr>
            <w:tcW w:w="4714"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VI mikrobiološke analize mikrobiološke analize iz oblasti mikologije</w:t>
            </w:r>
          </w:p>
        </w:tc>
        <w:tc>
          <w:tcPr>
            <w:tcW w:w="1291"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35.</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L021626</w:t>
            </w:r>
          </w:p>
        </w:tc>
        <w:tc>
          <w:tcPr>
            <w:tcW w:w="5703"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Određivanje titra IgM antitela na gljive (Aspergillus, Candida ili drugo) – ELISA</w:t>
            </w:r>
          </w:p>
        </w:tc>
        <w:tc>
          <w:tcPr>
            <w:tcW w:w="1346" w:type="dxa"/>
            <w:tcBorders>
              <w:top w:val="single" w:sz="8" w:space="0" w:color="000000"/>
              <w:left w:val="single" w:sz="8" w:space="0" w:color="000000"/>
              <w:bottom w:val="single" w:sz="8" w:space="0" w:color="000000"/>
              <w:right w:val="single" w:sz="8" w:space="0" w:color="000000"/>
            </w:tcBorders>
            <w:vAlign w:val="center"/>
          </w:tcPr>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1.004,36</w:t>
            </w:r>
          </w:p>
        </w:tc>
      </w:tr>
    </w:tbl>
    <w:p w:rsidR="00E40922" w:rsidRPr="00E40922" w:rsidRDefault="00E40922" w:rsidP="00E40922">
      <w:pPr>
        <w:spacing w:after="150" w:line="276" w:lineRule="auto"/>
        <w:contextualSpacing w:val="0"/>
        <w:jc w:val="right"/>
        <w:rPr>
          <w:rFonts w:ascii="Arial" w:hAnsi="Arial" w:cs="Arial"/>
          <w:noProof w:val="0"/>
          <w:sz w:val="22"/>
          <w:szCs w:val="22"/>
          <w:lang w:val="en-US"/>
        </w:rPr>
      </w:pPr>
      <w:r w:rsidRPr="00E40922">
        <w:rPr>
          <w:rFonts w:ascii="Arial" w:hAnsi="Arial" w:cs="Arial"/>
          <w:noProof w:val="0"/>
          <w:color w:val="000000"/>
          <w:sz w:val="22"/>
          <w:szCs w:val="22"/>
          <w:lang w:val="en-US"/>
        </w:rPr>
        <w:t>”</w:t>
      </w:r>
    </w:p>
    <w:p w:rsidR="00E40922" w:rsidRPr="00E40922" w:rsidRDefault="00E40922" w:rsidP="00E40922">
      <w:pPr>
        <w:spacing w:after="120" w:line="276" w:lineRule="auto"/>
        <w:contextualSpacing w:val="0"/>
        <w:jc w:val="center"/>
        <w:rPr>
          <w:rFonts w:ascii="Arial" w:hAnsi="Arial" w:cs="Arial"/>
          <w:noProof w:val="0"/>
          <w:sz w:val="22"/>
          <w:szCs w:val="22"/>
          <w:lang w:val="en-US"/>
        </w:rPr>
      </w:pPr>
      <w:r w:rsidRPr="00E40922">
        <w:rPr>
          <w:rFonts w:ascii="Arial" w:hAnsi="Arial" w:cs="Arial"/>
          <w:noProof w:val="0"/>
          <w:color w:val="000000"/>
          <w:sz w:val="22"/>
          <w:szCs w:val="22"/>
          <w:lang w:val="en-US"/>
        </w:rPr>
        <w:t>Члан 8.</w:t>
      </w:r>
    </w:p>
    <w:p w:rsidR="00E40922" w:rsidRPr="00E40922" w:rsidRDefault="00E40922" w:rsidP="00E40922">
      <w:pPr>
        <w:spacing w:after="150" w:line="276" w:lineRule="auto"/>
        <w:contextualSpacing w:val="0"/>
        <w:rPr>
          <w:rFonts w:ascii="Arial" w:hAnsi="Arial" w:cs="Arial"/>
          <w:noProof w:val="0"/>
          <w:sz w:val="22"/>
          <w:szCs w:val="22"/>
          <w:lang w:val="en-US"/>
        </w:rPr>
      </w:pPr>
      <w:r w:rsidRPr="00E40922">
        <w:rPr>
          <w:rFonts w:ascii="Arial" w:hAnsi="Arial" w:cs="Arial"/>
          <w:noProof w:val="0"/>
          <w:color w:val="000000"/>
          <w:sz w:val="22"/>
          <w:szCs w:val="22"/>
          <w:lang w:val="en-US"/>
        </w:rPr>
        <w:t>Овај правилник ступа на снагу осмог дана од дана објављивања у „Службеном гласнику Републике Србије”.</w:t>
      </w:r>
    </w:p>
    <w:p w:rsidR="006F4BC2" w:rsidRPr="00E40922" w:rsidRDefault="006F4BC2" w:rsidP="006F4BC2">
      <w:pPr>
        <w:spacing w:after="150" w:line="276" w:lineRule="auto"/>
        <w:contextualSpacing w:val="0"/>
        <w:rPr>
          <w:rFonts w:ascii="Arial" w:hAnsi="Arial" w:cs="Arial"/>
          <w:noProof w:val="0"/>
          <w:color w:val="000000"/>
          <w:sz w:val="22"/>
          <w:szCs w:val="22"/>
          <w:lang w:val="en-US"/>
        </w:rPr>
      </w:pPr>
    </w:p>
    <w:sectPr w:rsidR="006F4BC2" w:rsidRPr="00E40922"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E40922">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128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3638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D0E0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386C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C06A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1E58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EC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9C16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1C42EA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96632C"/>
    <w:multiLevelType w:val="multilevel"/>
    <w:tmpl w:val="97A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92FAD"/>
    <w:multiLevelType w:val="multilevel"/>
    <w:tmpl w:val="61EA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E1CE0"/>
    <w:multiLevelType w:val="multilevel"/>
    <w:tmpl w:val="D520B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114381"/>
    <w:multiLevelType w:val="multilevel"/>
    <w:tmpl w:val="E3A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16385"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52B5E"/>
    <w:rsid w:val="00192081"/>
    <w:rsid w:val="001C11FA"/>
    <w:rsid w:val="00251BA3"/>
    <w:rsid w:val="002A17CE"/>
    <w:rsid w:val="00380192"/>
    <w:rsid w:val="003960C1"/>
    <w:rsid w:val="003C4BB6"/>
    <w:rsid w:val="003D018B"/>
    <w:rsid w:val="0044547E"/>
    <w:rsid w:val="004F4265"/>
    <w:rsid w:val="005029F7"/>
    <w:rsid w:val="00517A41"/>
    <w:rsid w:val="00596ED1"/>
    <w:rsid w:val="005D6DF1"/>
    <w:rsid w:val="005F6DF4"/>
    <w:rsid w:val="00606197"/>
    <w:rsid w:val="00643E74"/>
    <w:rsid w:val="00665421"/>
    <w:rsid w:val="006C26FD"/>
    <w:rsid w:val="006E10C5"/>
    <w:rsid w:val="006F4BC2"/>
    <w:rsid w:val="007A55AE"/>
    <w:rsid w:val="0081111A"/>
    <w:rsid w:val="00905917"/>
    <w:rsid w:val="00932A9A"/>
    <w:rsid w:val="00944E3C"/>
    <w:rsid w:val="009A1B18"/>
    <w:rsid w:val="009B7D5A"/>
    <w:rsid w:val="00A01E66"/>
    <w:rsid w:val="00A31AF5"/>
    <w:rsid w:val="00A43155"/>
    <w:rsid w:val="00A62947"/>
    <w:rsid w:val="00AB4291"/>
    <w:rsid w:val="00C40AD5"/>
    <w:rsid w:val="00D70371"/>
    <w:rsid w:val="00DA3096"/>
    <w:rsid w:val="00DB1470"/>
    <w:rsid w:val="00DD75D6"/>
    <w:rsid w:val="00E110B2"/>
    <w:rsid w:val="00E25874"/>
    <w:rsid w:val="00E40922"/>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14:docId w14:val="68D2C5CE"/>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rsid w:val="000831BD"/>
    <w:rPr>
      <w:rFonts w:ascii="Arial" w:hAnsi="Arial"/>
      <w:b/>
      <w:szCs w:val="18"/>
      <w:lang w:eastAsia="en-US"/>
    </w:rPr>
  </w:style>
  <w:style w:type="table" w:styleId="TableGrid0">
    <w:name w:val="Table Grid"/>
    <w:basedOn w:val="TableNormal"/>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simboli">
    <w:name w:val="simboli"/>
    <w:basedOn w:val="Normal"/>
    <w:rsid w:val="00AB4291"/>
    <w:pPr>
      <w:spacing w:before="100" w:beforeAutospacing="1" w:after="100" w:afterAutospacing="1"/>
      <w:contextualSpacing w:val="0"/>
    </w:pPr>
    <w:rPr>
      <w:rFonts w:ascii="Symbol" w:eastAsia="Times New Roman" w:hAnsi="Symbol"/>
      <w:noProof w:val="0"/>
      <w:sz w:val="22"/>
      <w:szCs w:val="22"/>
      <w:lang w:eastAsia="sr-Latn-CS"/>
    </w:rPr>
  </w:style>
  <w:style w:type="paragraph" w:customStyle="1" w:styleId="simboliindeks">
    <w:name w:val="simboliindeks"/>
    <w:basedOn w:val="Normal"/>
    <w:rsid w:val="00AB4291"/>
    <w:pPr>
      <w:spacing w:before="100" w:beforeAutospacing="1" w:after="100" w:afterAutospacing="1"/>
      <w:contextualSpacing w:val="0"/>
    </w:pPr>
    <w:rPr>
      <w:rFonts w:ascii="Symbol" w:eastAsia="Times New Roman" w:hAnsi="Symbol"/>
      <w:noProof w:val="0"/>
      <w:sz w:val="24"/>
      <w:szCs w:val="24"/>
      <w:vertAlign w:val="subscript"/>
      <w:lang w:eastAsia="sr-Latn-CS"/>
    </w:rPr>
  </w:style>
  <w:style w:type="paragraph" w:customStyle="1" w:styleId="Normal2">
    <w:name w:val="Normal2"/>
    <w:basedOn w:val="Normal"/>
    <w:rsid w:val="00AB429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td">
    <w:name w:val="normaltd"/>
    <w:basedOn w:val="Normal"/>
    <w:rsid w:val="00AB4291"/>
    <w:pPr>
      <w:spacing w:before="100" w:beforeAutospacing="1" w:after="100" w:afterAutospacing="1"/>
      <w:contextualSpacing w:val="0"/>
      <w:jc w:val="right"/>
    </w:pPr>
    <w:rPr>
      <w:rFonts w:ascii="Arial" w:eastAsia="Times New Roman" w:hAnsi="Arial" w:cs="Arial"/>
      <w:noProof w:val="0"/>
      <w:sz w:val="22"/>
      <w:szCs w:val="22"/>
      <w:lang w:eastAsia="sr-Latn-CS"/>
    </w:rPr>
  </w:style>
  <w:style w:type="paragraph" w:customStyle="1" w:styleId="normaltdb">
    <w:name w:val="normaltdb"/>
    <w:basedOn w:val="Normal"/>
    <w:rsid w:val="00AB4291"/>
    <w:pPr>
      <w:spacing w:before="100" w:beforeAutospacing="1" w:after="100" w:afterAutospacing="1"/>
      <w:contextualSpacing w:val="0"/>
      <w:jc w:val="right"/>
    </w:pPr>
    <w:rPr>
      <w:rFonts w:ascii="Arial" w:eastAsia="Times New Roman" w:hAnsi="Arial" w:cs="Arial"/>
      <w:b/>
      <w:bCs/>
      <w:noProof w:val="0"/>
      <w:sz w:val="22"/>
      <w:szCs w:val="22"/>
      <w:lang w:eastAsia="sr-Latn-CS"/>
    </w:rPr>
  </w:style>
  <w:style w:type="paragraph" w:customStyle="1" w:styleId="samostalni">
    <w:name w:val="samostalni"/>
    <w:basedOn w:val="Normal"/>
    <w:rsid w:val="00AB4291"/>
    <w:pPr>
      <w:spacing w:before="100" w:beforeAutospacing="1" w:after="100" w:afterAutospacing="1"/>
      <w:contextualSpacing w:val="0"/>
      <w:jc w:val="center"/>
    </w:pPr>
    <w:rPr>
      <w:rFonts w:ascii="Arial" w:eastAsia="Times New Roman" w:hAnsi="Arial" w:cs="Arial"/>
      <w:b/>
      <w:bCs/>
      <w:i/>
      <w:iCs/>
      <w:noProof w:val="0"/>
      <w:sz w:val="24"/>
      <w:szCs w:val="24"/>
      <w:lang w:eastAsia="sr-Latn-CS"/>
    </w:rPr>
  </w:style>
  <w:style w:type="paragraph" w:customStyle="1" w:styleId="samostalni1">
    <w:name w:val="samostalni1"/>
    <w:basedOn w:val="Normal"/>
    <w:rsid w:val="00AB4291"/>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tabelanaslov">
    <w:name w:val="tabelanaslov"/>
    <w:basedOn w:val="Normal"/>
    <w:rsid w:val="00AB429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m">
    <w:name w:val="tabela_sm"/>
    <w:basedOn w:val="Normal"/>
    <w:rsid w:val="00AB429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sp">
    <w:name w:val="tabela_sp"/>
    <w:basedOn w:val="Normal"/>
    <w:rsid w:val="00AB429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tabelact">
    <w:name w:val="tabela_ct"/>
    <w:basedOn w:val="Normal"/>
    <w:rsid w:val="00AB429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noProof w:val="0"/>
      <w:sz w:val="24"/>
      <w:szCs w:val="24"/>
      <w:lang w:eastAsia="sr-Latn-CS"/>
    </w:rPr>
  </w:style>
  <w:style w:type="paragraph" w:customStyle="1" w:styleId="naslov1">
    <w:name w:val="naslov1"/>
    <w:basedOn w:val="Normal"/>
    <w:rsid w:val="00AB4291"/>
    <w:pPr>
      <w:spacing w:before="100" w:beforeAutospacing="1" w:after="100" w:afterAutospacing="1"/>
      <w:contextualSpacing w:val="0"/>
      <w:jc w:val="center"/>
    </w:pPr>
    <w:rPr>
      <w:rFonts w:ascii="Arial" w:eastAsia="Times New Roman" w:hAnsi="Arial" w:cs="Arial"/>
      <w:b/>
      <w:bCs/>
      <w:noProof w:val="0"/>
      <w:sz w:val="24"/>
      <w:szCs w:val="24"/>
      <w:lang w:eastAsia="sr-Latn-CS"/>
    </w:rPr>
  </w:style>
  <w:style w:type="paragraph" w:customStyle="1" w:styleId="naslov2">
    <w:name w:val="naslov2"/>
    <w:basedOn w:val="Normal"/>
    <w:rsid w:val="00AB4291"/>
    <w:pPr>
      <w:spacing w:before="100" w:beforeAutospacing="1" w:after="100" w:afterAutospacing="1"/>
      <w:contextualSpacing w:val="0"/>
      <w:jc w:val="center"/>
    </w:pPr>
    <w:rPr>
      <w:rFonts w:ascii="Arial" w:eastAsia="Times New Roman" w:hAnsi="Arial" w:cs="Arial"/>
      <w:b/>
      <w:bCs/>
      <w:noProof w:val="0"/>
      <w:sz w:val="29"/>
      <w:szCs w:val="29"/>
      <w:lang w:eastAsia="sr-Latn-CS"/>
    </w:rPr>
  </w:style>
  <w:style w:type="paragraph" w:customStyle="1" w:styleId="naslov3">
    <w:name w:val="naslov3"/>
    <w:basedOn w:val="Normal"/>
    <w:rsid w:val="00AB4291"/>
    <w:pPr>
      <w:spacing w:before="100" w:beforeAutospacing="1" w:after="100" w:afterAutospacing="1"/>
      <w:contextualSpacing w:val="0"/>
      <w:jc w:val="center"/>
    </w:pPr>
    <w:rPr>
      <w:rFonts w:ascii="Arial" w:eastAsia="Times New Roman" w:hAnsi="Arial" w:cs="Arial"/>
      <w:b/>
      <w:bCs/>
      <w:noProof w:val="0"/>
      <w:sz w:val="23"/>
      <w:szCs w:val="23"/>
      <w:lang w:eastAsia="sr-Latn-CS"/>
    </w:rPr>
  </w:style>
  <w:style w:type="paragraph" w:customStyle="1" w:styleId="normaluvuceni">
    <w:name w:val="normal_uvuceni"/>
    <w:basedOn w:val="Normal"/>
    <w:rsid w:val="00AB4291"/>
    <w:pPr>
      <w:spacing w:before="100" w:beforeAutospacing="1" w:after="100" w:afterAutospacing="1"/>
      <w:ind w:left="1134" w:hanging="142"/>
      <w:contextualSpacing w:val="0"/>
    </w:pPr>
    <w:rPr>
      <w:rFonts w:ascii="Arial" w:eastAsia="Times New Roman" w:hAnsi="Arial" w:cs="Arial"/>
      <w:noProof w:val="0"/>
      <w:sz w:val="22"/>
      <w:szCs w:val="22"/>
      <w:lang w:eastAsia="sr-Latn-CS"/>
    </w:rPr>
  </w:style>
  <w:style w:type="paragraph" w:customStyle="1" w:styleId="normaluvuceni2">
    <w:name w:val="normal_uvuceni2"/>
    <w:basedOn w:val="Normal"/>
    <w:rsid w:val="00AB4291"/>
    <w:pPr>
      <w:spacing w:before="100" w:beforeAutospacing="1" w:after="100" w:afterAutospacing="1"/>
      <w:ind w:left="1701" w:hanging="227"/>
      <w:contextualSpacing w:val="0"/>
    </w:pPr>
    <w:rPr>
      <w:rFonts w:ascii="Arial" w:eastAsia="Times New Roman" w:hAnsi="Arial" w:cs="Arial"/>
      <w:noProof w:val="0"/>
      <w:sz w:val="22"/>
      <w:szCs w:val="22"/>
      <w:lang w:eastAsia="sr-Latn-CS"/>
    </w:rPr>
  </w:style>
  <w:style w:type="paragraph" w:customStyle="1" w:styleId="normaluvuceni3">
    <w:name w:val="normal_uvuceni3"/>
    <w:basedOn w:val="Normal"/>
    <w:rsid w:val="00AB4291"/>
    <w:pPr>
      <w:spacing w:before="100" w:beforeAutospacing="1" w:after="100" w:afterAutospacing="1"/>
      <w:ind w:left="992"/>
      <w:contextualSpacing w:val="0"/>
    </w:pPr>
    <w:rPr>
      <w:rFonts w:ascii="Arial" w:eastAsia="Times New Roman" w:hAnsi="Arial" w:cs="Arial"/>
      <w:noProof w:val="0"/>
      <w:sz w:val="22"/>
      <w:szCs w:val="22"/>
      <w:lang w:eastAsia="sr-Latn-CS"/>
    </w:rPr>
  </w:style>
  <w:style w:type="paragraph" w:customStyle="1" w:styleId="naslovpropisa1">
    <w:name w:val="naslovpropisa1"/>
    <w:basedOn w:val="Normal"/>
    <w:rsid w:val="00AB4291"/>
    <w:pPr>
      <w:spacing w:before="100" w:beforeAutospacing="1" w:after="100" w:afterAutospacing="1"/>
      <w:contextualSpacing w:val="0"/>
      <w:jc w:val="center"/>
    </w:pPr>
    <w:rPr>
      <w:rFonts w:ascii="Arial" w:eastAsia="Times New Roman" w:hAnsi="Arial" w:cs="Arial"/>
      <w:b/>
      <w:bCs/>
      <w:noProof w:val="0"/>
      <w:color w:val="FFE8BF"/>
      <w:sz w:val="36"/>
      <w:szCs w:val="36"/>
      <w:lang w:eastAsia="sr-Latn-CS"/>
    </w:rPr>
  </w:style>
  <w:style w:type="paragraph" w:customStyle="1" w:styleId="naslovpropisa1a">
    <w:name w:val="naslovpropisa1a"/>
    <w:basedOn w:val="Normal"/>
    <w:rsid w:val="00AB4291"/>
    <w:pPr>
      <w:spacing w:before="100" w:beforeAutospacing="1" w:after="100" w:afterAutospacing="1"/>
      <w:contextualSpacing w:val="0"/>
      <w:jc w:val="center"/>
    </w:pPr>
    <w:rPr>
      <w:rFonts w:ascii="Arial" w:eastAsia="Times New Roman" w:hAnsi="Arial" w:cs="Arial"/>
      <w:b/>
      <w:bCs/>
      <w:noProof w:val="0"/>
      <w:color w:val="FFFFFF"/>
      <w:sz w:val="34"/>
      <w:szCs w:val="34"/>
      <w:lang w:eastAsia="sr-Latn-CS"/>
    </w:rPr>
  </w:style>
  <w:style w:type="paragraph" w:customStyle="1" w:styleId="naslov4">
    <w:name w:val="naslov4"/>
    <w:basedOn w:val="Normal"/>
    <w:rsid w:val="00AB429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aslov5">
    <w:name w:val="naslov5"/>
    <w:basedOn w:val="Normal"/>
    <w:rsid w:val="00AB429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normalbold">
    <w:name w:val="normalbold"/>
    <w:basedOn w:val="Normal"/>
    <w:rsid w:val="00AB4291"/>
    <w:pPr>
      <w:spacing w:before="100" w:beforeAutospacing="1" w:after="100" w:afterAutospacing="1"/>
      <w:contextualSpacing w:val="0"/>
    </w:pPr>
    <w:rPr>
      <w:rFonts w:ascii="Arial" w:eastAsia="Times New Roman" w:hAnsi="Arial" w:cs="Arial"/>
      <w:b/>
      <w:bCs/>
      <w:noProof w:val="0"/>
      <w:sz w:val="22"/>
      <w:szCs w:val="22"/>
      <w:lang w:eastAsia="sr-Latn-CS"/>
    </w:rPr>
  </w:style>
  <w:style w:type="paragraph" w:customStyle="1" w:styleId="normalbolditalic">
    <w:name w:val="normalbolditalic"/>
    <w:basedOn w:val="Normal"/>
    <w:rsid w:val="00AB4291"/>
    <w:pPr>
      <w:spacing w:before="100" w:beforeAutospacing="1" w:after="100" w:afterAutospacing="1"/>
      <w:contextualSpacing w:val="0"/>
    </w:pPr>
    <w:rPr>
      <w:rFonts w:ascii="Arial" w:eastAsia="Times New Roman" w:hAnsi="Arial" w:cs="Arial"/>
      <w:b/>
      <w:bCs/>
      <w:i/>
      <w:iCs/>
      <w:noProof w:val="0"/>
      <w:sz w:val="22"/>
      <w:szCs w:val="22"/>
      <w:lang w:eastAsia="sr-Latn-CS"/>
    </w:rPr>
  </w:style>
  <w:style w:type="paragraph" w:customStyle="1" w:styleId="normalboldcentar">
    <w:name w:val="normalboldcentar"/>
    <w:basedOn w:val="Normal"/>
    <w:rsid w:val="00AB429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paragraph" w:customStyle="1" w:styleId="stepen">
    <w:name w:val="stepen"/>
    <w:basedOn w:val="Normal"/>
    <w:rsid w:val="00AB4291"/>
    <w:pPr>
      <w:spacing w:before="100" w:beforeAutospacing="1" w:after="100" w:afterAutospacing="1"/>
      <w:contextualSpacing w:val="0"/>
    </w:pPr>
    <w:rPr>
      <w:rFonts w:eastAsia="Times New Roman"/>
      <w:noProof w:val="0"/>
      <w:sz w:val="15"/>
      <w:szCs w:val="15"/>
      <w:vertAlign w:val="superscript"/>
      <w:lang w:eastAsia="sr-Latn-CS"/>
    </w:rPr>
  </w:style>
  <w:style w:type="paragraph" w:customStyle="1" w:styleId="indeks">
    <w:name w:val="indeks"/>
    <w:basedOn w:val="Normal"/>
    <w:rsid w:val="00AB4291"/>
    <w:pPr>
      <w:spacing w:before="100" w:beforeAutospacing="1" w:after="100" w:afterAutospacing="1"/>
      <w:contextualSpacing w:val="0"/>
    </w:pPr>
    <w:rPr>
      <w:rFonts w:eastAsia="Times New Roman"/>
      <w:noProof w:val="0"/>
      <w:sz w:val="16"/>
      <w:szCs w:val="15"/>
      <w:vertAlign w:val="subscript"/>
      <w:lang w:eastAsia="sr-Latn-CS"/>
    </w:rPr>
  </w:style>
  <w:style w:type="paragraph" w:customStyle="1" w:styleId="tbezokvira">
    <w:name w:val="tbezokvira"/>
    <w:basedOn w:val="Normal"/>
    <w:rsid w:val="00AB4291"/>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eastAsia="Times New Roman"/>
      <w:noProof w:val="0"/>
      <w:sz w:val="24"/>
      <w:szCs w:val="24"/>
      <w:lang w:eastAsia="sr-Latn-CS"/>
    </w:rPr>
  </w:style>
  <w:style w:type="paragraph" w:customStyle="1" w:styleId="naslovlevo">
    <w:name w:val="naslovlevo"/>
    <w:basedOn w:val="Normal"/>
    <w:rsid w:val="00AB4291"/>
    <w:pPr>
      <w:spacing w:before="100" w:beforeAutospacing="1" w:after="100" w:afterAutospacing="1"/>
      <w:contextualSpacing w:val="0"/>
    </w:pPr>
    <w:rPr>
      <w:rFonts w:ascii="Arial" w:eastAsia="Times New Roman" w:hAnsi="Arial" w:cs="Arial"/>
      <w:b/>
      <w:bCs/>
      <w:noProof w:val="0"/>
      <w:sz w:val="26"/>
      <w:szCs w:val="26"/>
      <w:lang w:eastAsia="sr-Latn-CS"/>
    </w:rPr>
  </w:style>
  <w:style w:type="paragraph" w:customStyle="1" w:styleId="bulletedni">
    <w:name w:val="bulletedni"/>
    <w:basedOn w:val="Normal"/>
    <w:rsid w:val="00AB429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praksa">
    <w:name w:val="normalpraksa"/>
    <w:basedOn w:val="Normal"/>
    <w:rsid w:val="00AB4291"/>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normalctzaglavlje">
    <w:name w:val="normalctzaglavlje"/>
    <w:basedOn w:val="Normal"/>
    <w:rsid w:val="00AB4291"/>
    <w:pPr>
      <w:spacing w:before="100" w:beforeAutospacing="1" w:after="100" w:afterAutospacing="1"/>
      <w:contextualSpacing w:val="0"/>
    </w:pPr>
    <w:rPr>
      <w:rFonts w:ascii="Arial" w:eastAsia="Times New Roman" w:hAnsi="Arial" w:cs="Arial"/>
      <w:b/>
      <w:bCs/>
      <w:noProof w:val="0"/>
      <w:sz w:val="16"/>
      <w:szCs w:val="16"/>
      <w:lang w:eastAsia="sr-Latn-CS"/>
    </w:rPr>
  </w:style>
  <w:style w:type="paragraph" w:customStyle="1" w:styleId="windings">
    <w:name w:val="windings"/>
    <w:basedOn w:val="Normal"/>
    <w:rsid w:val="00AB4291"/>
    <w:pPr>
      <w:spacing w:before="100" w:beforeAutospacing="1" w:after="100" w:afterAutospacing="1"/>
      <w:contextualSpacing w:val="0"/>
    </w:pPr>
    <w:rPr>
      <w:rFonts w:ascii="Wingdings" w:eastAsia="Times New Roman" w:hAnsi="Wingdings"/>
      <w:noProof w:val="0"/>
      <w:lang w:eastAsia="sr-Latn-CS"/>
    </w:rPr>
  </w:style>
  <w:style w:type="paragraph" w:customStyle="1" w:styleId="webdings">
    <w:name w:val="webdings"/>
    <w:basedOn w:val="Normal"/>
    <w:rsid w:val="00AB4291"/>
    <w:pPr>
      <w:spacing w:before="100" w:beforeAutospacing="1" w:after="100" w:afterAutospacing="1"/>
      <w:contextualSpacing w:val="0"/>
    </w:pPr>
    <w:rPr>
      <w:rFonts w:ascii="Webdings" w:eastAsia="Times New Roman" w:hAnsi="Webdings"/>
      <w:noProof w:val="0"/>
      <w:lang w:eastAsia="sr-Latn-CS"/>
    </w:rPr>
  </w:style>
  <w:style w:type="paragraph" w:customStyle="1" w:styleId="tabelamala">
    <w:name w:val="tabela_mala"/>
    <w:basedOn w:val="Normal"/>
    <w:rsid w:val="00AB4291"/>
    <w:pPr>
      <w:spacing w:before="100" w:beforeAutospacing="1" w:after="100" w:afterAutospacing="1"/>
      <w:contextualSpacing w:val="0"/>
    </w:pPr>
    <w:rPr>
      <w:rFonts w:eastAsia="Times New Roman"/>
      <w:noProof w:val="0"/>
      <w:sz w:val="24"/>
      <w:szCs w:val="24"/>
      <w:lang w:eastAsia="sr-Latn-CS"/>
    </w:rPr>
  </w:style>
  <w:style w:type="paragraph" w:customStyle="1" w:styleId="izmenanaslov">
    <w:name w:val="izmena_naslov"/>
    <w:basedOn w:val="Normal"/>
    <w:rsid w:val="00AB4291"/>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podnaslov">
    <w:name w:val="izmena_podnaslov"/>
    <w:basedOn w:val="Normal"/>
    <w:rsid w:val="00AB4291"/>
    <w:pPr>
      <w:spacing w:before="100" w:beforeAutospacing="1" w:after="100" w:afterAutospacing="1"/>
      <w:contextualSpacing w:val="0"/>
      <w:jc w:val="center"/>
    </w:pPr>
    <w:rPr>
      <w:rFonts w:eastAsia="Times New Roman"/>
      <w:noProof w:val="0"/>
      <w:sz w:val="24"/>
      <w:szCs w:val="24"/>
      <w:lang w:eastAsia="sr-Latn-CS"/>
    </w:rPr>
  </w:style>
  <w:style w:type="paragraph" w:customStyle="1" w:styleId="izmenaclan">
    <w:name w:val="izmena_clan"/>
    <w:basedOn w:val="Normal"/>
    <w:rsid w:val="00AB4291"/>
    <w:pPr>
      <w:spacing w:before="100" w:beforeAutospacing="1" w:after="100" w:afterAutospacing="1"/>
      <w:contextualSpacing w:val="0"/>
      <w:jc w:val="center"/>
    </w:pPr>
    <w:rPr>
      <w:rFonts w:eastAsia="Times New Roman"/>
      <w:b/>
      <w:bCs/>
      <w:noProof w:val="0"/>
      <w:sz w:val="24"/>
      <w:szCs w:val="24"/>
      <w:lang w:eastAsia="sr-Latn-CS"/>
    </w:rPr>
  </w:style>
  <w:style w:type="paragraph" w:customStyle="1" w:styleId="izmenatekst">
    <w:name w:val="izmena_tekst"/>
    <w:basedOn w:val="Normal"/>
    <w:rsid w:val="00AB4291"/>
    <w:pPr>
      <w:spacing w:before="100" w:beforeAutospacing="1" w:after="100" w:afterAutospacing="1"/>
      <w:contextualSpacing w:val="0"/>
    </w:pPr>
    <w:rPr>
      <w:rFonts w:eastAsia="Times New Roman"/>
      <w:noProof w:val="0"/>
      <w:sz w:val="24"/>
      <w:szCs w:val="24"/>
      <w:lang w:eastAsia="sr-Latn-CS"/>
    </w:rPr>
  </w:style>
  <w:style w:type="paragraph" w:customStyle="1" w:styleId="normalcentar">
    <w:name w:val="normalcentar"/>
    <w:basedOn w:val="Normal"/>
    <w:rsid w:val="00AB4291"/>
    <w:pPr>
      <w:spacing w:before="100" w:beforeAutospacing="1" w:after="100" w:afterAutospacing="1"/>
      <w:contextualSpacing w:val="0"/>
      <w:jc w:val="center"/>
    </w:pPr>
    <w:rPr>
      <w:rFonts w:ascii="Arial" w:eastAsia="Times New Roman" w:hAnsi="Arial" w:cs="Arial"/>
      <w:noProof w:val="0"/>
      <w:sz w:val="22"/>
      <w:szCs w:val="22"/>
      <w:lang w:eastAsia="sr-Latn-CS"/>
    </w:rPr>
  </w:style>
  <w:style w:type="paragraph" w:customStyle="1" w:styleId="normalcentaritalic">
    <w:name w:val="normalcentaritalic"/>
    <w:basedOn w:val="Normal"/>
    <w:rsid w:val="00AB4291"/>
    <w:pPr>
      <w:spacing w:before="100" w:beforeAutospacing="1" w:after="100" w:afterAutospacing="1"/>
      <w:contextualSpacing w:val="0"/>
      <w:jc w:val="center"/>
    </w:pPr>
    <w:rPr>
      <w:rFonts w:ascii="Arial" w:eastAsia="Times New Roman" w:hAnsi="Arial" w:cs="Arial"/>
      <w:i/>
      <w:iCs/>
      <w:noProof w:val="0"/>
      <w:sz w:val="22"/>
      <w:szCs w:val="22"/>
      <w:lang w:eastAsia="sr-Latn-CS"/>
    </w:rPr>
  </w:style>
  <w:style w:type="paragraph" w:customStyle="1" w:styleId="normalitalic">
    <w:name w:val="normalitalic"/>
    <w:basedOn w:val="Normal"/>
    <w:rsid w:val="00AB4291"/>
    <w:pPr>
      <w:spacing w:before="100" w:beforeAutospacing="1" w:after="100" w:afterAutospacing="1"/>
      <w:contextualSpacing w:val="0"/>
    </w:pPr>
    <w:rPr>
      <w:rFonts w:ascii="Arial" w:eastAsia="Times New Roman" w:hAnsi="Arial" w:cs="Arial"/>
      <w:i/>
      <w:iCs/>
      <w:noProof w:val="0"/>
      <w:sz w:val="22"/>
      <w:szCs w:val="22"/>
      <w:lang w:eastAsia="sr-Latn-CS"/>
    </w:rPr>
  </w:style>
  <w:style w:type="paragraph" w:customStyle="1" w:styleId="tsaokvirom">
    <w:name w:val="tsaokvirom"/>
    <w:basedOn w:val="Normal"/>
    <w:rsid w:val="00AB4291"/>
    <w:pPr>
      <w:pBdr>
        <w:top w:val="inset" w:sz="4" w:space="0" w:color="000000"/>
        <w:left w:val="inset" w:sz="4" w:space="0" w:color="000000"/>
        <w:bottom w:val="inset" w:sz="4" w:space="0" w:color="000000"/>
        <w:right w:val="inset" w:sz="4" w:space="0" w:color="000000"/>
      </w:pBdr>
      <w:spacing w:before="100" w:beforeAutospacing="1" w:after="100" w:afterAutospacing="1"/>
      <w:contextualSpacing w:val="0"/>
    </w:pPr>
    <w:rPr>
      <w:rFonts w:eastAsia="Times New Roman"/>
      <w:noProof w:val="0"/>
      <w:sz w:val="24"/>
      <w:szCs w:val="24"/>
      <w:lang w:eastAsia="sr-Latn-CS"/>
    </w:rPr>
  </w:style>
  <w:style w:type="paragraph" w:customStyle="1" w:styleId="wyq010---deo">
    <w:name w:val="wyq010---deo"/>
    <w:basedOn w:val="Normal"/>
    <w:next w:val="Normal2"/>
    <w:rsid w:val="00AB4291"/>
    <w:pPr>
      <w:contextualSpacing w:val="0"/>
      <w:jc w:val="center"/>
    </w:pPr>
    <w:rPr>
      <w:rFonts w:ascii="Arial" w:eastAsia="Times New Roman" w:hAnsi="Arial" w:cs="Arial"/>
      <w:b/>
      <w:bCs/>
      <w:noProof w:val="0"/>
      <w:sz w:val="36"/>
      <w:szCs w:val="36"/>
      <w:lang w:eastAsia="sr-Latn-CS"/>
    </w:rPr>
  </w:style>
  <w:style w:type="paragraph" w:customStyle="1" w:styleId="wyq020---poddeo">
    <w:name w:val="wyq020---poddeo"/>
    <w:basedOn w:val="Normal"/>
    <w:next w:val="Normal2"/>
    <w:rsid w:val="00AB4291"/>
    <w:pPr>
      <w:contextualSpacing w:val="0"/>
      <w:jc w:val="center"/>
    </w:pPr>
    <w:rPr>
      <w:rFonts w:ascii="Arial" w:eastAsia="Times New Roman" w:hAnsi="Arial" w:cs="Arial"/>
      <w:noProof w:val="0"/>
      <w:sz w:val="36"/>
      <w:szCs w:val="36"/>
      <w:lang w:eastAsia="sr-Latn-CS"/>
    </w:rPr>
  </w:style>
  <w:style w:type="paragraph" w:customStyle="1" w:styleId="wyq030---glava">
    <w:name w:val="wyq030---glava"/>
    <w:basedOn w:val="Normal"/>
    <w:next w:val="Normal2"/>
    <w:rsid w:val="00AB4291"/>
    <w:pPr>
      <w:contextualSpacing w:val="0"/>
      <w:jc w:val="center"/>
    </w:pPr>
    <w:rPr>
      <w:rFonts w:ascii="Arial" w:eastAsia="Times New Roman" w:hAnsi="Arial" w:cs="Arial"/>
      <w:b/>
      <w:bCs/>
      <w:noProof w:val="0"/>
      <w:sz w:val="34"/>
      <w:szCs w:val="34"/>
      <w:lang w:eastAsia="sr-Latn-CS"/>
    </w:rPr>
  </w:style>
  <w:style w:type="paragraph" w:customStyle="1" w:styleId="wyq040---podglava-kurziv-bold">
    <w:name w:val="wyq040---podglava-kurziv-bold"/>
    <w:basedOn w:val="Normal"/>
    <w:next w:val="Normal2"/>
    <w:rsid w:val="00AB4291"/>
    <w:pPr>
      <w:contextualSpacing w:val="0"/>
      <w:jc w:val="center"/>
    </w:pPr>
    <w:rPr>
      <w:rFonts w:ascii="Arial" w:eastAsia="Times New Roman" w:hAnsi="Arial" w:cs="Arial"/>
      <w:b/>
      <w:bCs/>
      <w:i/>
      <w:iCs/>
      <w:noProof w:val="0"/>
      <w:sz w:val="34"/>
      <w:szCs w:val="34"/>
      <w:lang w:eastAsia="sr-Latn-CS"/>
    </w:rPr>
  </w:style>
  <w:style w:type="paragraph" w:customStyle="1" w:styleId="wyq045---podglava-kurziv">
    <w:name w:val="wyq045---podglava-kurziv"/>
    <w:basedOn w:val="Normal"/>
    <w:next w:val="Normal2"/>
    <w:rsid w:val="00AB4291"/>
    <w:pPr>
      <w:contextualSpacing w:val="0"/>
      <w:jc w:val="center"/>
    </w:pPr>
    <w:rPr>
      <w:rFonts w:ascii="Arial" w:eastAsia="Times New Roman" w:hAnsi="Arial" w:cs="Arial"/>
      <w:i/>
      <w:iCs/>
      <w:noProof w:val="0"/>
      <w:sz w:val="34"/>
      <w:szCs w:val="34"/>
      <w:lang w:eastAsia="sr-Latn-CS"/>
    </w:rPr>
  </w:style>
  <w:style w:type="paragraph" w:customStyle="1" w:styleId="wyq050---odeljak">
    <w:name w:val="wyq050---odeljak"/>
    <w:basedOn w:val="Normal"/>
    <w:next w:val="Normal2"/>
    <w:rsid w:val="00AB4291"/>
    <w:pPr>
      <w:contextualSpacing w:val="0"/>
      <w:jc w:val="center"/>
    </w:pPr>
    <w:rPr>
      <w:rFonts w:ascii="Arial" w:eastAsia="Times New Roman" w:hAnsi="Arial" w:cs="Arial"/>
      <w:b/>
      <w:bCs/>
      <w:noProof w:val="0"/>
      <w:sz w:val="31"/>
      <w:szCs w:val="31"/>
      <w:lang w:eastAsia="sr-Latn-CS"/>
    </w:rPr>
  </w:style>
  <w:style w:type="paragraph" w:customStyle="1" w:styleId="wyq070---podpododeljak-kurziv">
    <w:name w:val="wyq070---podpododeljak-kurziv"/>
    <w:basedOn w:val="Normal"/>
    <w:next w:val="Normal2"/>
    <w:rsid w:val="00AB4291"/>
    <w:pPr>
      <w:contextualSpacing w:val="0"/>
      <w:jc w:val="center"/>
    </w:pPr>
    <w:rPr>
      <w:rFonts w:ascii="Arial" w:eastAsia="Times New Roman" w:hAnsi="Arial" w:cs="Arial"/>
      <w:i/>
      <w:iCs/>
      <w:noProof w:val="0"/>
      <w:sz w:val="30"/>
      <w:szCs w:val="30"/>
      <w:lang w:eastAsia="sr-Latn-CS"/>
    </w:rPr>
  </w:style>
  <w:style w:type="paragraph" w:customStyle="1" w:styleId="wyq080---odsek">
    <w:name w:val="wyq080---odsek"/>
    <w:basedOn w:val="Normal"/>
    <w:next w:val="Normal2"/>
    <w:rsid w:val="00AB4291"/>
    <w:pPr>
      <w:contextualSpacing w:val="0"/>
      <w:jc w:val="center"/>
    </w:pPr>
    <w:rPr>
      <w:rFonts w:ascii="Arial" w:eastAsia="Times New Roman" w:hAnsi="Arial" w:cs="Arial"/>
      <w:b/>
      <w:bCs/>
      <w:noProof w:val="0"/>
      <w:sz w:val="29"/>
      <w:szCs w:val="29"/>
      <w:lang w:eastAsia="sr-Latn-CS"/>
    </w:rPr>
  </w:style>
  <w:style w:type="paragraph" w:customStyle="1" w:styleId="wyq090---pododsek">
    <w:name w:val="wyq090---pododsek"/>
    <w:basedOn w:val="Normal2"/>
    <w:next w:val="Normal2"/>
    <w:rsid w:val="00AB4291"/>
    <w:pPr>
      <w:jc w:val="center"/>
    </w:pPr>
    <w:rPr>
      <w:sz w:val="28"/>
      <w:szCs w:val="28"/>
    </w:rPr>
  </w:style>
  <w:style w:type="paragraph" w:customStyle="1" w:styleId="wyq100---naslov-grupe-clanova-kurziv">
    <w:name w:val="wyq100---naslov-grupe-clanova-kurziv"/>
    <w:basedOn w:val="Normal"/>
    <w:next w:val="Normal2"/>
    <w:rsid w:val="00AB4291"/>
    <w:pPr>
      <w:spacing w:before="240" w:after="240"/>
      <w:contextualSpacing w:val="0"/>
      <w:jc w:val="center"/>
    </w:pPr>
    <w:rPr>
      <w:rFonts w:ascii="Arial" w:eastAsia="Times New Roman" w:hAnsi="Arial" w:cs="Arial"/>
      <w:b/>
      <w:bCs/>
      <w:i/>
      <w:iCs/>
      <w:noProof w:val="0"/>
      <w:sz w:val="24"/>
      <w:szCs w:val="24"/>
      <w:lang w:eastAsia="sr-Latn-CS"/>
    </w:rPr>
  </w:style>
  <w:style w:type="paragraph" w:customStyle="1" w:styleId="wyq110---naslov-clana">
    <w:name w:val="wyq110---naslov-clana"/>
    <w:basedOn w:val="Normal"/>
    <w:next w:val="Normal2"/>
    <w:rsid w:val="00AB4291"/>
    <w:pPr>
      <w:spacing w:before="240" w:after="240"/>
      <w:contextualSpacing w:val="0"/>
      <w:jc w:val="center"/>
    </w:pPr>
    <w:rPr>
      <w:rFonts w:ascii="Arial" w:eastAsia="Times New Roman" w:hAnsi="Arial" w:cs="Arial"/>
      <w:b/>
      <w:bCs/>
      <w:noProof w:val="0"/>
      <w:sz w:val="24"/>
      <w:szCs w:val="24"/>
      <w:lang w:eastAsia="sr-Latn-CS"/>
    </w:rPr>
  </w:style>
  <w:style w:type="paragraph" w:customStyle="1" w:styleId="wyq120---podnaslov-clana">
    <w:name w:val="wyq120---podnaslov-clana"/>
    <w:basedOn w:val="Normal"/>
    <w:next w:val="Normal2"/>
    <w:rsid w:val="00AB4291"/>
    <w:pPr>
      <w:spacing w:before="240" w:after="240"/>
      <w:contextualSpacing w:val="0"/>
      <w:jc w:val="center"/>
    </w:pPr>
    <w:rPr>
      <w:rFonts w:ascii="Arial" w:eastAsia="Times New Roman" w:hAnsi="Arial" w:cs="Arial"/>
      <w:i/>
      <w:iCs/>
      <w:noProof w:val="0"/>
      <w:sz w:val="24"/>
      <w:szCs w:val="24"/>
      <w:lang w:eastAsia="sr-Latn-CS"/>
    </w:rPr>
  </w:style>
  <w:style w:type="paragraph" w:customStyle="1" w:styleId="uvuceni">
    <w:name w:val="uvuceni"/>
    <w:basedOn w:val="Normal"/>
    <w:rsid w:val="00AB4291"/>
    <w:pPr>
      <w:spacing w:after="24"/>
      <w:ind w:left="720" w:hanging="288"/>
      <w:contextualSpacing w:val="0"/>
    </w:pPr>
    <w:rPr>
      <w:rFonts w:ascii="Arial" w:eastAsia="Times New Roman" w:hAnsi="Arial" w:cs="Arial"/>
      <w:noProof w:val="0"/>
      <w:sz w:val="22"/>
      <w:szCs w:val="22"/>
      <w:lang w:eastAsia="sr-Latn-CS"/>
    </w:rPr>
  </w:style>
  <w:style w:type="paragraph" w:customStyle="1" w:styleId="uvuceni2">
    <w:name w:val="uvuceni2"/>
    <w:basedOn w:val="Normal"/>
    <w:rsid w:val="00AB4291"/>
    <w:pPr>
      <w:spacing w:after="24"/>
      <w:ind w:left="720" w:hanging="408"/>
      <w:contextualSpacing w:val="0"/>
    </w:pPr>
    <w:rPr>
      <w:rFonts w:ascii="Arial" w:eastAsia="Times New Roman" w:hAnsi="Arial" w:cs="Arial"/>
      <w:noProof w:val="0"/>
      <w:sz w:val="22"/>
      <w:szCs w:val="22"/>
      <w:lang w:eastAsia="sr-Latn-CS"/>
    </w:rPr>
  </w:style>
  <w:style w:type="paragraph" w:customStyle="1" w:styleId="tabelaepress">
    <w:name w:val="tabela_epress"/>
    <w:basedOn w:val="Normal"/>
    <w:rsid w:val="00AB429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4"/>
      <w:szCs w:val="24"/>
      <w:lang w:eastAsia="sr-Latn-CS"/>
    </w:rPr>
  </w:style>
  <w:style w:type="character" w:styleId="PageNumber">
    <w:name w:val="page number"/>
    <w:rsid w:val="00AB4291"/>
  </w:style>
  <w:style w:type="character" w:customStyle="1" w:styleId="unicode">
    <w:name w:val="unicode"/>
    <w:rsid w:val="00AB4291"/>
  </w:style>
  <w:style w:type="character" w:styleId="Strong">
    <w:name w:val="Strong"/>
    <w:qFormat/>
    <w:rsid w:val="00AB4291"/>
    <w:rPr>
      <w:b/>
      <w:bCs/>
    </w:rPr>
  </w:style>
  <w:style w:type="paragraph" w:styleId="NormalWeb">
    <w:name w:val="Normal (Web)"/>
    <w:basedOn w:val="Normal"/>
    <w:rsid w:val="00AB4291"/>
    <w:pPr>
      <w:spacing w:before="100" w:beforeAutospacing="1" w:after="100" w:afterAutospacing="1"/>
      <w:contextualSpacing w:val="0"/>
    </w:pPr>
    <w:rPr>
      <w:rFonts w:eastAsia="Times New Roman"/>
      <w:noProof w:val="0"/>
      <w:sz w:val="24"/>
      <w:szCs w:val="24"/>
      <w:lang w:val="en-US"/>
    </w:rPr>
  </w:style>
  <w:style w:type="numbering" w:customStyle="1" w:styleId="NoList4">
    <w:name w:val="No List4"/>
    <w:next w:val="NoList"/>
    <w:uiPriority w:val="99"/>
    <w:semiHidden/>
    <w:unhideWhenUsed/>
    <w:rsid w:val="00DB1470"/>
  </w:style>
  <w:style w:type="table" w:customStyle="1" w:styleId="TableGrid4">
    <w:name w:val="Table Grid4"/>
    <w:basedOn w:val="TableNormal"/>
    <w:next w:val="TableGrid0"/>
    <w:uiPriority w:val="59"/>
    <w:rsid w:val="00DB147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0</TotalTime>
  <Pages>11</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2</cp:revision>
  <dcterms:created xsi:type="dcterms:W3CDTF">2023-11-03T10:49:00Z</dcterms:created>
  <dcterms:modified xsi:type="dcterms:W3CDTF">2023-11-03T10:49:00Z</dcterms:modified>
</cp:coreProperties>
</file>