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151"/>
        <w:gridCol w:w="10456"/>
      </w:tblGrid>
      <w:tr w:rsidR="00E621AF" w:rsidRPr="00B34C0C" w:rsidTr="00AC0B2C">
        <w:trPr>
          <w:tblCellSpacing w:w="15" w:type="dxa"/>
        </w:trPr>
        <w:tc>
          <w:tcPr>
            <w:tcW w:w="477"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7E512247" wp14:editId="099D05DE">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92" w:type="pct"/>
            <w:shd w:val="clear" w:color="auto" w:fill="A41E1C"/>
            <w:vAlign w:val="center"/>
            <w:hideMark/>
          </w:tcPr>
          <w:p w:rsidR="00F16E29" w:rsidRPr="00F16E29" w:rsidRDefault="00B8211B" w:rsidP="00F16E29">
            <w:pPr>
              <w:pStyle w:val="NASLOVBELO"/>
              <w:spacing w:line="480" w:lineRule="auto"/>
              <w:rPr>
                <w:sz w:val="22"/>
                <w:szCs w:val="22"/>
                <w:lang w:val="en-US"/>
              </w:rPr>
            </w:pPr>
            <w:r>
              <w:rPr>
                <w:color w:val="FFE599"/>
                <w:sz w:val="22"/>
                <w:szCs w:val="22"/>
                <w:lang w:val="sr-Cyrl-RS"/>
              </w:rPr>
              <w:t>ПРАВИЛНИК</w:t>
            </w:r>
          </w:p>
          <w:p w:rsidR="00E621AF" w:rsidRPr="00B34C0C" w:rsidRDefault="00B8211B" w:rsidP="00F16E29">
            <w:pPr>
              <w:pStyle w:val="NASLOVBELO"/>
              <w:rPr>
                <w:sz w:val="22"/>
                <w:szCs w:val="22"/>
              </w:rPr>
            </w:pPr>
            <w:r w:rsidRPr="00B8211B">
              <w:rPr>
                <w:sz w:val="22"/>
                <w:szCs w:val="22"/>
                <w:lang w:val="sr-Cyrl-RS"/>
              </w:rPr>
              <w:t>О ИЗМЕНАМА И ДОПУНАМА ПРАВИЛНИКА О ТЕХНИЧКИМ ПРАВИЛИМА ЗА ЧАМЦЕ, ПЛОВЕЋА ТЕЛА И ПЛУТАЈУЋЕ ОБЈЕКТЕ</w:t>
            </w:r>
          </w:p>
          <w:p w:rsidR="00E621AF" w:rsidRPr="00B34C0C" w:rsidRDefault="003750F5" w:rsidP="00B8211B">
            <w:pPr>
              <w:pStyle w:val="podnaslovpropisa"/>
              <w:rPr>
                <w:sz w:val="22"/>
                <w:szCs w:val="22"/>
              </w:rPr>
            </w:pPr>
            <w:r w:rsidRPr="00B34C0C">
              <w:rPr>
                <w:sz w:val="22"/>
                <w:szCs w:val="22"/>
              </w:rPr>
              <w:t xml:space="preserve">("Сл. гласник РС", бр. </w:t>
            </w:r>
            <w:r w:rsidR="003F67DB">
              <w:rPr>
                <w:sz w:val="22"/>
                <w:szCs w:val="22"/>
              </w:rPr>
              <w:t>10</w:t>
            </w:r>
            <w:r w:rsidR="00B8211B">
              <w:rPr>
                <w:sz w:val="22"/>
                <w:szCs w:val="22"/>
                <w:lang w:val="sr-Cyrl-RS"/>
              </w:rPr>
              <w:t>3</w:t>
            </w:r>
            <w:r w:rsidRPr="00B34C0C">
              <w:rPr>
                <w:sz w:val="22"/>
                <w:szCs w:val="22"/>
              </w:rPr>
              <w:t>/202</w:t>
            </w:r>
            <w:r w:rsidR="003B6DA6">
              <w:rPr>
                <w:sz w:val="22"/>
                <w:szCs w:val="22"/>
              </w:rPr>
              <w:t>5</w:t>
            </w:r>
            <w:r w:rsidRPr="00B34C0C">
              <w:rPr>
                <w:sz w:val="22"/>
                <w:szCs w:val="22"/>
              </w:rPr>
              <w:t>)</w:t>
            </w:r>
          </w:p>
        </w:tc>
      </w:tr>
    </w:tbl>
    <w:p w:rsidR="00A5533B" w:rsidRPr="00A5533B" w:rsidRDefault="00A5533B" w:rsidP="00357408">
      <w:pPr>
        <w:widowControl/>
        <w:autoSpaceDE/>
        <w:autoSpaceDN/>
        <w:spacing w:before="330"/>
        <w:ind w:firstLine="480"/>
        <w:jc w:val="center"/>
        <w:rPr>
          <w:rFonts w:ascii="Arial" w:hAnsi="Arial" w:cs="Arial"/>
          <w:color w:val="000000"/>
        </w:rPr>
      </w:pPr>
      <w:bookmarkStart w:id="0" w:name="str_1"/>
      <w:bookmarkStart w:id="1" w:name="_GoBack"/>
      <w:bookmarkEnd w:id="0"/>
      <w:bookmarkEnd w:id="1"/>
      <w:proofErr w:type="gramStart"/>
      <w:r w:rsidRPr="00A5533B">
        <w:rPr>
          <w:rFonts w:ascii="Arial" w:hAnsi="Arial" w:cs="Arial"/>
          <w:color w:val="000000"/>
        </w:rPr>
        <w:t>Члaн 1.</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Правилнику о техничким правилима за чамце, пловећа тела и плутајуће објекте („Службени гласник РС”, бр. 35/18 и 65/23), у Прилогу 1.</w:t>
      </w:r>
      <w:proofErr w:type="gramEnd"/>
      <w:r w:rsidRPr="00A5533B">
        <w:rPr>
          <w:rFonts w:ascii="Arial" w:hAnsi="Arial" w:cs="Arial"/>
          <w:color w:val="000000"/>
        </w:rPr>
        <w:t xml:space="preserve"> – ТЕХНИЧКА ПРАВИЛА ЗА ЧАМЦЕ ЗА СПОРТ И РАЗОНОДУ који је одштампан уз Правилник о техничким правилима за чамце, пловећа тела и плутајуће објекте („Службени гласник РС”, бр. 35/18 и 65/23) и чини његов саставни део, у Делу I. ЗОНА ПЛОВИДБЕ – ПРОЈЕКТНА КАТЕГОРИЈА, НАДЗОР у одељку 1.02 у тачки 14. </w:t>
      </w:r>
      <w:proofErr w:type="gramStart"/>
      <w:r w:rsidRPr="00A5533B">
        <w:rPr>
          <w:rFonts w:ascii="Arial" w:hAnsi="Arial" w:cs="Arial"/>
          <w:color w:val="000000"/>
        </w:rPr>
        <w:t>после</w:t>
      </w:r>
      <w:proofErr w:type="gramEnd"/>
      <w:r w:rsidRPr="00A5533B">
        <w:rPr>
          <w:rFonts w:ascii="Arial" w:hAnsi="Arial" w:cs="Arial"/>
          <w:color w:val="000000"/>
        </w:rPr>
        <w:t xml:space="preserve"> речи: „потискивање скеле” додаје се запета и речи: „за кошење воденог растиња и чишћење речног приобаља и каналске мреже”.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1.04 Надзор над градњом после тачке 4.</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5.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„5. Приликом израде техничке документације дозвољава се употреба техничких правила међународно одобрених класификационих друштава, уз претходну сагласност Управе.</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Чамци који поседују сертификат о усаглашености (CE знак) третирају се као да су типски одобрени објекти произведени у Републици Србији.</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VI.</w:t>
      </w:r>
      <w:proofErr w:type="gramEnd"/>
      <w:r w:rsidRPr="00A5533B">
        <w:rPr>
          <w:rFonts w:ascii="Arial" w:hAnsi="Arial" w:cs="Arial"/>
          <w:color w:val="000000"/>
        </w:rPr>
        <w:t xml:space="preserve"> </w:t>
      </w:r>
      <w:proofErr w:type="gramStart"/>
      <w:r w:rsidRPr="00A5533B">
        <w:rPr>
          <w:rFonts w:ascii="Arial" w:hAnsi="Arial" w:cs="Arial"/>
          <w:color w:val="000000"/>
        </w:rPr>
        <w:t>СПОСОБНОСТ ОДРЖАВАЊА НА ПОВРШИНИ, у одељку 6.02 Стабилитет у наплављеном стању тачка 4.</w:t>
      </w:r>
      <w:proofErr w:type="gramEnd"/>
      <w:r w:rsidRPr="00A5533B">
        <w:rPr>
          <w:rFonts w:ascii="Arial" w:hAnsi="Arial" w:cs="Arial"/>
          <w:color w:val="000000"/>
        </w:rPr>
        <w:t xml:space="preserve"> </w:t>
      </w:r>
      <w:proofErr w:type="gramStart"/>
      <w:r w:rsidRPr="00A5533B">
        <w:rPr>
          <w:rFonts w:ascii="Arial" w:hAnsi="Arial" w:cs="Arial"/>
          <w:color w:val="000000"/>
        </w:rPr>
        <w:t>мења</w:t>
      </w:r>
      <w:proofErr w:type="gramEnd"/>
      <w:r w:rsidRPr="00A5533B">
        <w:rPr>
          <w:rFonts w:ascii="Arial" w:hAnsi="Arial" w:cs="Arial"/>
          <w:color w:val="000000"/>
        </w:rPr>
        <w:t xml:space="preserve">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„4. Узгонски елементи су постављени тако да наплављени чамац има позитиван стабилитет до нагиба од 60 степени (не примењује се за пловила са више трупова).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330"/>
        <w:ind w:firstLine="480"/>
        <w:jc w:val="center"/>
        <w:rPr>
          <w:rFonts w:ascii="Arial" w:hAnsi="Arial" w:cs="Arial"/>
          <w:color w:val="000000"/>
        </w:rPr>
      </w:pPr>
      <w:proofErr w:type="gramStart"/>
      <w:r w:rsidRPr="00A5533B">
        <w:rPr>
          <w:rFonts w:ascii="Arial" w:hAnsi="Arial" w:cs="Arial"/>
          <w:color w:val="000000"/>
        </w:rPr>
        <w:t>Члaн 2.</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Прилогу 2.</w:t>
      </w:r>
      <w:proofErr w:type="gramEnd"/>
      <w:r w:rsidRPr="00A5533B">
        <w:rPr>
          <w:rFonts w:ascii="Arial" w:hAnsi="Arial" w:cs="Arial"/>
          <w:color w:val="000000"/>
        </w:rPr>
        <w:t xml:space="preserve"> – ТЕХНИЧКА ПРАВИЛА ЗА ЧАМЦЕ ЗА ПРИВРЕДНЕ И ЈАВНЕ СВРХЕ који је одштампан уз Правилник о техничким правилима за чамце, пловећа тела и плутајуће објекте („Службени гласник РС”, бр. 35/18 и 65/23) и чини његов саставни део у Делу II. </w:t>
      </w:r>
      <w:proofErr w:type="gramStart"/>
      <w:r w:rsidRPr="00A5533B">
        <w:rPr>
          <w:rFonts w:ascii="Arial" w:hAnsi="Arial" w:cs="Arial"/>
          <w:color w:val="000000"/>
        </w:rPr>
        <w:t>ПОСЕБНИ ТЕХНИЧКИ ЗАХТЕВИ ЗА ЧАМЦЕ ЗА ПРИВРЕДНЕ И ЈАВНЕ СВРХЕ у одељку 2.05 Електрични уређаји, у пододељку 1.</w:t>
      </w:r>
      <w:proofErr w:type="gramEnd"/>
      <w:r w:rsidRPr="00A5533B">
        <w:rPr>
          <w:rFonts w:ascii="Arial" w:hAnsi="Arial" w:cs="Arial"/>
          <w:color w:val="000000"/>
        </w:rPr>
        <w:t xml:space="preserve"> Општи захтеви, тачка 1) мења се и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„1) Овај део правила се односи на електричне инсталације номиналног напона до 50V.</w:t>
      </w:r>
      <w:proofErr w:type="gramEnd"/>
      <w:r w:rsidRPr="00A5533B">
        <w:rPr>
          <w:rFonts w:ascii="Arial" w:hAnsi="Arial" w:cs="Arial"/>
          <w:color w:val="000000"/>
        </w:rPr>
        <w:t xml:space="preserve"> </w:t>
      </w:r>
      <w:proofErr w:type="gramStart"/>
      <w:r w:rsidRPr="00A5533B">
        <w:rPr>
          <w:rFonts w:ascii="Arial" w:hAnsi="Arial" w:cs="Arial"/>
          <w:color w:val="000000"/>
        </w:rPr>
        <w:t>Ако се користе виши напони тада електрична инсталација испуњава захтеве из ES-TRIN стандарда поглавље 10.</w:t>
      </w:r>
      <w:proofErr w:type="gramEnd"/>
      <w:r w:rsidRPr="00A5533B">
        <w:rPr>
          <w:rFonts w:ascii="Arial" w:hAnsi="Arial" w:cs="Arial"/>
          <w:color w:val="000000"/>
        </w:rPr>
        <w:t xml:space="preserve"> Електрична опрема и инсталације.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2.05 Електрични уређаји, у пододељку 1.</w:t>
      </w:r>
      <w:proofErr w:type="gramEnd"/>
      <w:r w:rsidRPr="00A5533B">
        <w:rPr>
          <w:rFonts w:ascii="Arial" w:hAnsi="Arial" w:cs="Arial"/>
          <w:color w:val="000000"/>
        </w:rPr>
        <w:t xml:space="preserve"> </w:t>
      </w:r>
      <w:proofErr w:type="gramStart"/>
      <w:r w:rsidRPr="00A5533B">
        <w:rPr>
          <w:rFonts w:ascii="Arial" w:hAnsi="Arial" w:cs="Arial"/>
          <w:color w:val="000000"/>
        </w:rPr>
        <w:t>Општи захтеви у тач.</w:t>
      </w:r>
      <w:proofErr w:type="gramEnd"/>
      <w:r w:rsidRPr="00A5533B">
        <w:rPr>
          <w:rFonts w:ascii="Arial" w:hAnsi="Arial" w:cs="Arial"/>
          <w:color w:val="000000"/>
        </w:rPr>
        <w:t xml:space="preserve"> 6) </w:t>
      </w:r>
      <w:proofErr w:type="gramStart"/>
      <w:r w:rsidRPr="00A5533B">
        <w:rPr>
          <w:rFonts w:ascii="Arial" w:hAnsi="Arial" w:cs="Arial"/>
          <w:color w:val="000000"/>
        </w:rPr>
        <w:t>и</w:t>
      </w:r>
      <w:proofErr w:type="gramEnd"/>
      <w:r w:rsidRPr="00A5533B">
        <w:rPr>
          <w:rFonts w:ascii="Arial" w:hAnsi="Arial" w:cs="Arial"/>
          <w:color w:val="000000"/>
        </w:rPr>
        <w:t xml:space="preserve"> 7) и у пододељку 2. Развод електричне енергије у тачки 6) речи: „Делом IX. Правилника о техничким правилима за статутарну сертификацију бродова унутрашње пловидбе („Службени гласник РС”, број 30/15)” мењају се речима: „ES-TRIN стандард поглавље 10. </w:t>
      </w:r>
      <w:proofErr w:type="gramStart"/>
      <w:r w:rsidRPr="00A5533B">
        <w:rPr>
          <w:rFonts w:ascii="Arial" w:hAnsi="Arial" w:cs="Arial"/>
          <w:color w:val="000000"/>
        </w:rPr>
        <w:t>Електрична опрема и инсталације”.</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2.05 Електрични уређаји, у пододељку 5.</w:t>
      </w:r>
      <w:proofErr w:type="gramEnd"/>
      <w:r w:rsidRPr="00A5533B">
        <w:rPr>
          <w:rFonts w:ascii="Arial" w:hAnsi="Arial" w:cs="Arial"/>
          <w:color w:val="000000"/>
        </w:rPr>
        <w:t xml:space="preserve"> </w:t>
      </w:r>
      <w:proofErr w:type="gramStart"/>
      <w:r w:rsidRPr="00A5533B">
        <w:rPr>
          <w:rFonts w:ascii="Arial" w:hAnsi="Arial" w:cs="Arial"/>
          <w:color w:val="000000"/>
        </w:rPr>
        <w:t>Кабловска мрежа у тачки 1.</w:t>
      </w:r>
      <w:proofErr w:type="gramEnd"/>
      <w:r w:rsidRPr="00A5533B">
        <w:rPr>
          <w:rFonts w:ascii="Arial" w:hAnsi="Arial" w:cs="Arial"/>
          <w:color w:val="000000"/>
        </w:rPr>
        <w:t xml:space="preserve"> </w:t>
      </w:r>
      <w:proofErr w:type="gramStart"/>
      <w:r w:rsidRPr="00A5533B">
        <w:rPr>
          <w:rFonts w:ascii="Arial" w:hAnsi="Arial" w:cs="Arial"/>
          <w:color w:val="000000"/>
        </w:rPr>
        <w:t>речи</w:t>
      </w:r>
      <w:proofErr w:type="gramEnd"/>
      <w:r w:rsidRPr="00A5533B">
        <w:rPr>
          <w:rFonts w:ascii="Arial" w:hAnsi="Arial" w:cs="Arial"/>
          <w:color w:val="000000"/>
        </w:rPr>
        <w:t xml:space="preserve">: „Делу IX. Правилника о техничким правилима за статутарну сертификацију бродова унутрашње пловидбе („Службени гласник РС”, број 30/15)” мењају се речима: „ES-TRIN стандард поглавље 10. </w:t>
      </w:r>
      <w:proofErr w:type="gramStart"/>
      <w:r w:rsidRPr="00A5533B">
        <w:rPr>
          <w:rFonts w:ascii="Arial" w:hAnsi="Arial" w:cs="Arial"/>
          <w:color w:val="000000"/>
        </w:rPr>
        <w:t>Електрична опрема и инсталације”.</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После Дела IIа.</w:t>
      </w:r>
      <w:proofErr w:type="gramEnd"/>
      <w:r w:rsidRPr="00A5533B">
        <w:rPr>
          <w:rFonts w:ascii="Arial" w:hAnsi="Arial" w:cs="Arial"/>
          <w:color w:val="000000"/>
        </w:rPr>
        <w:t xml:space="preserve"> </w:t>
      </w:r>
      <w:proofErr w:type="gramStart"/>
      <w:r w:rsidRPr="00A5533B">
        <w:rPr>
          <w:rFonts w:ascii="Arial" w:hAnsi="Arial" w:cs="Arial"/>
          <w:color w:val="000000"/>
        </w:rPr>
        <w:t>ПОСЕБНИ ТЕХНИЧКИ ЗАХТЕВИ ЗА ЧАМЦЕ ЗА ПРИВРЕДНИ РИБОЛОВ додаје се Део IIб.</w:t>
      </w:r>
      <w:proofErr w:type="gramEnd"/>
      <w:r w:rsidRPr="00A5533B">
        <w:rPr>
          <w:rFonts w:ascii="Arial" w:hAnsi="Arial" w:cs="Arial"/>
          <w:color w:val="000000"/>
        </w:rPr>
        <w:t xml:space="preserve"> </w:t>
      </w:r>
      <w:proofErr w:type="gramStart"/>
      <w:r w:rsidRPr="00A5533B">
        <w:rPr>
          <w:rFonts w:ascii="Arial" w:hAnsi="Arial" w:cs="Arial"/>
          <w:color w:val="000000"/>
        </w:rPr>
        <w:t>који</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„IIб.</w:t>
      </w:r>
      <w:proofErr w:type="gramEnd"/>
      <w:r w:rsidRPr="00A5533B">
        <w:rPr>
          <w:rFonts w:ascii="Arial" w:hAnsi="Arial" w:cs="Arial"/>
          <w:color w:val="000000"/>
        </w:rPr>
        <w:t xml:space="preserve"> ПОСЕБНИ ТЕХНИЧКИ ЗАХТЕВИ ЗА ЧАМЦЕ ЗА КОШЕЊЕ ВОДЕНОГ РАСТИЊА И ЧИШЋЕЊЕ ПРИОБАЉА И КАНАЛСКЕ МРЕЖЕ</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 Општи захтеви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lastRenderedPageBreak/>
        <w:t xml:space="preserve">1) Чамци за кошење воденог растиња и чишћење приобаља и каналске мреже осим захтева из Прилога 1. </w:t>
      </w:r>
      <w:proofErr w:type="gramStart"/>
      <w:r w:rsidRPr="00A5533B">
        <w:rPr>
          <w:rFonts w:ascii="Arial" w:hAnsi="Arial" w:cs="Arial"/>
          <w:color w:val="000000"/>
        </w:rPr>
        <w:t>овог</w:t>
      </w:r>
      <w:proofErr w:type="gramEnd"/>
      <w:r w:rsidRPr="00A5533B">
        <w:rPr>
          <w:rFonts w:ascii="Arial" w:hAnsi="Arial" w:cs="Arial"/>
          <w:color w:val="000000"/>
        </w:rPr>
        <w:t xml:space="preserve"> правилника испуњавају, према условима рада, захтеве Управе у погледу прорачуна стабилитета и наплављености.”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Део III.</w:t>
      </w:r>
      <w:proofErr w:type="gramEnd"/>
      <w:r w:rsidRPr="00A5533B">
        <w:rPr>
          <w:rFonts w:ascii="Arial" w:hAnsi="Arial" w:cs="Arial"/>
          <w:color w:val="000000"/>
        </w:rPr>
        <w:t xml:space="preserve"> РОКОВИ ЗА ПРИМЕНУ ТЕХНИЧКИХ ЗАХТЕВА мења се и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„На постојеће чамце за привредне и јавне сврхе, чамце за привредне и јавне сврхе који се граде и који никада нису били уписани у домаћи уписник примењују се одредбе ових техничких правила.”</w:t>
      </w:r>
      <w:proofErr w:type="gramEnd"/>
    </w:p>
    <w:p w:rsidR="00A5533B" w:rsidRPr="00A5533B" w:rsidRDefault="00A5533B" w:rsidP="00357408">
      <w:pPr>
        <w:widowControl/>
        <w:autoSpaceDE/>
        <w:autoSpaceDN/>
        <w:spacing w:before="330"/>
        <w:ind w:firstLine="480"/>
        <w:jc w:val="center"/>
        <w:rPr>
          <w:rFonts w:ascii="Arial" w:hAnsi="Arial" w:cs="Arial"/>
          <w:color w:val="000000"/>
        </w:rPr>
      </w:pPr>
      <w:proofErr w:type="gramStart"/>
      <w:r w:rsidRPr="00A5533B">
        <w:rPr>
          <w:rFonts w:ascii="Arial" w:hAnsi="Arial" w:cs="Arial"/>
          <w:color w:val="000000"/>
        </w:rPr>
        <w:t>Члaн 3.</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Прилогу 3.</w:t>
      </w:r>
      <w:proofErr w:type="gramEnd"/>
      <w:r w:rsidRPr="00A5533B">
        <w:rPr>
          <w:rFonts w:ascii="Arial" w:hAnsi="Arial" w:cs="Arial"/>
          <w:color w:val="000000"/>
        </w:rPr>
        <w:t xml:space="preserve"> – ТЕХНИЧКА ПРАВИЛА ЗА ПЛУТАЈУЋЕ ОБЈЕКТЕ ЗА СПОРТ И РАЗОНОДУ који је одштампан уз Правилник о техничким правилима за чамце, пловећа тела и плутајуће објекте („Службени гласник РС”, бр. 35/18 и 65/23) и чини његов саставни део у делу I. ЗОНА ПЛУТАЊА – ОДОБРЕЊЕ И НАДЗОР НАД ГРАДЊОМ, у одељку 1.03 Надзор над градњом, пододељак 2. </w:t>
      </w:r>
      <w:proofErr w:type="gramStart"/>
      <w:r w:rsidRPr="00A5533B">
        <w:rPr>
          <w:rFonts w:ascii="Arial" w:hAnsi="Arial" w:cs="Arial"/>
          <w:color w:val="000000"/>
        </w:rPr>
        <w:t>Одобрење техничке документације, после тачке 3.</w:t>
      </w:r>
      <w:proofErr w:type="gramEnd"/>
      <w:r w:rsidRPr="00A5533B">
        <w:rPr>
          <w:rFonts w:ascii="Arial" w:hAnsi="Arial" w:cs="Arial"/>
          <w:color w:val="000000"/>
        </w:rPr>
        <w:t xml:space="preserve"> </w:t>
      </w:r>
      <w:proofErr w:type="gramStart"/>
      <w:r w:rsidRPr="00A5533B">
        <w:rPr>
          <w:rFonts w:ascii="Arial" w:hAnsi="Arial" w:cs="Arial"/>
          <w:color w:val="000000"/>
        </w:rPr>
        <w:t>додају</w:t>
      </w:r>
      <w:proofErr w:type="gramEnd"/>
      <w:r w:rsidRPr="00A5533B">
        <w:rPr>
          <w:rFonts w:ascii="Arial" w:hAnsi="Arial" w:cs="Arial"/>
          <w:color w:val="000000"/>
        </w:rPr>
        <w:t xml:space="preserve"> се тач. 4) </w:t>
      </w:r>
      <w:proofErr w:type="gramStart"/>
      <w:r w:rsidRPr="00A5533B">
        <w:rPr>
          <w:rFonts w:ascii="Arial" w:hAnsi="Arial" w:cs="Arial"/>
          <w:color w:val="000000"/>
        </w:rPr>
        <w:t>и</w:t>
      </w:r>
      <w:proofErr w:type="gramEnd"/>
      <w:r w:rsidRPr="00A5533B">
        <w:rPr>
          <w:rFonts w:ascii="Arial" w:hAnsi="Arial" w:cs="Arial"/>
          <w:color w:val="000000"/>
        </w:rPr>
        <w:t xml:space="preserve"> 5) које гласе: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„4. О стабилитету и наплављивости привеза за чамце надлежни орган у сваком случају разматра и одлучује посебно.</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5. Одобрено услужно привредно друштво које израђује техничку документацију има право на једну ревизију техничке документације.</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Ревизијом техничке документације сматра се исправка, односно допуна техничке документације према захтевима надлежног органа.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330"/>
        <w:ind w:firstLine="480"/>
        <w:jc w:val="center"/>
        <w:rPr>
          <w:rFonts w:ascii="Arial" w:hAnsi="Arial" w:cs="Arial"/>
          <w:color w:val="000000"/>
        </w:rPr>
      </w:pPr>
      <w:proofErr w:type="gramStart"/>
      <w:r w:rsidRPr="00A5533B">
        <w:rPr>
          <w:rFonts w:ascii="Arial" w:hAnsi="Arial" w:cs="Arial"/>
          <w:color w:val="000000"/>
        </w:rPr>
        <w:t>Члaн 4.</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Прилогу 4.</w:t>
      </w:r>
      <w:proofErr w:type="gramEnd"/>
      <w:r w:rsidRPr="00A5533B">
        <w:rPr>
          <w:rFonts w:ascii="Arial" w:hAnsi="Arial" w:cs="Arial"/>
          <w:color w:val="000000"/>
        </w:rPr>
        <w:t xml:space="preserve"> – ТЕХНИЧКА ПРАВИЛА ЗА ПЛУТАЈУЋЕ ОБЈЕКТЕ ЗА ПРИВРЕДНЕ И ЈАВНЕ СВРХЕ, који је одштампан уз Правилник о техничким правилима за чамце, пловећа тела и плутајуће објекте („Службени гласник РС”, бр. 35/18 и 65/23) и чини његов саставни део у Делу I. ЗОНА ПЛУТАЊА – ОДОБРЕЊЕ И НАДЗОР НАД ГРАДЊОМ, у одељку 1.01. </w:t>
      </w:r>
      <w:proofErr w:type="gramStart"/>
      <w:r w:rsidRPr="00A5533B">
        <w:rPr>
          <w:rFonts w:ascii="Arial" w:hAnsi="Arial" w:cs="Arial"/>
          <w:color w:val="000000"/>
        </w:rPr>
        <w:t>Општи захтеви, тачка 11.</w:t>
      </w:r>
      <w:proofErr w:type="gramEnd"/>
      <w:r w:rsidRPr="00A5533B">
        <w:rPr>
          <w:rFonts w:ascii="Arial" w:hAnsi="Arial" w:cs="Arial"/>
          <w:color w:val="000000"/>
        </w:rPr>
        <w:t xml:space="preserve"> </w:t>
      </w:r>
      <w:proofErr w:type="gramStart"/>
      <w:r w:rsidRPr="00A5533B">
        <w:rPr>
          <w:rFonts w:ascii="Arial" w:hAnsi="Arial" w:cs="Arial"/>
          <w:color w:val="000000"/>
        </w:rPr>
        <w:t>брише</w:t>
      </w:r>
      <w:proofErr w:type="gramEnd"/>
      <w:r w:rsidRPr="00A5533B">
        <w:rPr>
          <w:rFonts w:ascii="Arial" w:hAnsi="Arial" w:cs="Arial"/>
          <w:color w:val="000000"/>
        </w:rPr>
        <w:t xml:space="preserve"> се, а после тачке 12.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13.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„13. Управа може према пројектној техничкој документацији одобрити смањење броја узгонских елемената (понтона), за објекте који поседују важећу плутајућу дозволу, а немају сведочанство о градњи са циљем повећања безбедности објекта.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1.04.</w:t>
      </w:r>
      <w:proofErr w:type="gramEnd"/>
      <w:r w:rsidRPr="00A5533B">
        <w:rPr>
          <w:rFonts w:ascii="Arial" w:hAnsi="Arial" w:cs="Arial"/>
          <w:color w:val="000000"/>
        </w:rPr>
        <w:t xml:space="preserve"> </w:t>
      </w:r>
      <w:proofErr w:type="gramStart"/>
      <w:r w:rsidRPr="00A5533B">
        <w:rPr>
          <w:rFonts w:ascii="Arial" w:hAnsi="Arial" w:cs="Arial"/>
          <w:color w:val="000000"/>
        </w:rPr>
        <w:t>Надзор над градњом, после тачке 1.</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1а која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„1а. Техничка документација угоститељских плутајућих објеката садржи: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1) </w:t>
      </w:r>
      <w:proofErr w:type="gramStart"/>
      <w:r w:rsidRPr="00A5533B">
        <w:rPr>
          <w:rFonts w:ascii="Arial" w:hAnsi="Arial" w:cs="Arial"/>
          <w:color w:val="000000"/>
        </w:rPr>
        <w:t>техничку</w:t>
      </w:r>
      <w:proofErr w:type="gramEnd"/>
      <w:r w:rsidRPr="00A5533B">
        <w:rPr>
          <w:rFonts w:ascii="Arial" w:hAnsi="Arial" w:cs="Arial"/>
          <w:color w:val="000000"/>
        </w:rPr>
        <w:t xml:space="preserve"> и рачунску документацију бродограђевинског дела прописану овим правилником;</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2) грађевинско-архитектонски пројекат надводног дела ако угоститељски плутајући објекат није изведен по бродограђевним стандардима;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3) </w:t>
      </w:r>
      <w:proofErr w:type="gramStart"/>
      <w:r w:rsidRPr="00A5533B">
        <w:rPr>
          <w:rFonts w:ascii="Arial" w:hAnsi="Arial" w:cs="Arial"/>
          <w:color w:val="000000"/>
        </w:rPr>
        <w:t>пројекат</w:t>
      </w:r>
      <w:proofErr w:type="gramEnd"/>
      <w:r w:rsidRPr="00A5533B">
        <w:rPr>
          <w:rFonts w:ascii="Arial" w:hAnsi="Arial" w:cs="Arial"/>
          <w:color w:val="000000"/>
        </w:rPr>
        <w:t xml:space="preserve"> заштите од пожара.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Управа оверава техничку документацију бродограђевинског дела.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и</w:t>
      </w:r>
      <w:proofErr w:type="gramEnd"/>
      <w:r w:rsidRPr="00A5533B">
        <w:rPr>
          <w:rFonts w:ascii="Arial" w:hAnsi="Arial" w:cs="Arial"/>
          <w:color w:val="000000"/>
        </w:rPr>
        <w:t xml:space="preserve"> после тачке 6.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7.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„7. Приликом израде техничке докуметације дозвољава се употреба техничких правила међународно одобрених класификационих друштава, уз претходну сагласност Управе.</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Плутајући објекти који поседују сертификат о усаглашености (CE знак) третирају се као да су типски одобрени објекти произведени у Републици Србији.</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II.</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ГРАДЊУ ПЛУТАЈУЋИХ ОБЈЕКАТА, у одељку 2.3 Челик и челични производи, после тачке 2.</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2а.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lastRenderedPageBreak/>
        <w:t>„2а. Дозвољава се употреба хладно обликованих отворених профила за стазе привезишта за чамце, као и друге мање оптерећене објекте (узгонски елементи мањих запремина који служе за привезишта за чамце и др.), за које Управа утврди да су безбедни са аспекта чврстоће.</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Хемијске и механичке особине одговарају стандардима SRPS EN 10025 за топловаљане лимове.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VI.</w:t>
      </w:r>
      <w:proofErr w:type="gramEnd"/>
      <w:r w:rsidRPr="00A5533B">
        <w:rPr>
          <w:rFonts w:ascii="Arial" w:hAnsi="Arial" w:cs="Arial"/>
          <w:color w:val="000000"/>
        </w:rPr>
        <w:t xml:space="preserve"> </w:t>
      </w:r>
      <w:proofErr w:type="gramStart"/>
      <w:r w:rsidRPr="00A5533B">
        <w:rPr>
          <w:rFonts w:ascii="Arial" w:hAnsi="Arial" w:cs="Arial"/>
          <w:color w:val="000000"/>
        </w:rPr>
        <w:t>СПОСОБНОСТ ОДРЖАВАЊА НА ПОВРШИНИ, у одељку 6.01 Узгон и стабилитет у наплављеном стању, после тачке 3.</w:t>
      </w:r>
      <w:proofErr w:type="gramEnd"/>
      <w:r w:rsidRPr="00A5533B">
        <w:rPr>
          <w:rFonts w:ascii="Arial" w:hAnsi="Arial" w:cs="Arial"/>
          <w:color w:val="000000"/>
        </w:rPr>
        <w:t xml:space="preserve"> </w:t>
      </w:r>
      <w:proofErr w:type="gramStart"/>
      <w:r w:rsidRPr="00A5533B">
        <w:rPr>
          <w:rFonts w:ascii="Arial" w:hAnsi="Arial" w:cs="Arial"/>
          <w:color w:val="000000"/>
        </w:rPr>
        <w:t>додају</w:t>
      </w:r>
      <w:proofErr w:type="gramEnd"/>
      <w:r w:rsidRPr="00A5533B">
        <w:rPr>
          <w:rFonts w:ascii="Arial" w:hAnsi="Arial" w:cs="Arial"/>
          <w:color w:val="000000"/>
        </w:rPr>
        <w:t xml:space="preserve"> се тач. </w:t>
      </w:r>
      <w:proofErr w:type="gramStart"/>
      <w:r w:rsidRPr="00A5533B">
        <w:rPr>
          <w:rFonts w:ascii="Arial" w:hAnsi="Arial" w:cs="Arial"/>
          <w:color w:val="000000"/>
        </w:rPr>
        <w:t>3а. и 3б.</w:t>
      </w:r>
      <w:proofErr w:type="gramEnd"/>
      <w:r w:rsidRPr="00A5533B">
        <w:rPr>
          <w:rFonts w:ascii="Arial" w:hAnsi="Arial" w:cs="Arial"/>
          <w:color w:val="000000"/>
        </w:rPr>
        <w:t xml:space="preserve"> </w:t>
      </w:r>
      <w:proofErr w:type="gramStart"/>
      <w:r w:rsidRPr="00A5533B">
        <w:rPr>
          <w:rFonts w:ascii="Arial" w:hAnsi="Arial" w:cs="Arial"/>
          <w:color w:val="000000"/>
        </w:rPr>
        <w:t>које</w:t>
      </w:r>
      <w:proofErr w:type="gramEnd"/>
      <w:r w:rsidRPr="00A5533B">
        <w:rPr>
          <w:rFonts w:ascii="Arial" w:hAnsi="Arial" w:cs="Arial"/>
          <w:color w:val="000000"/>
        </w:rPr>
        <w:t xml:space="preserve"> гласе: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„3а. Поред тога, одступајући од тачке 3.</w:t>
      </w:r>
      <w:proofErr w:type="gramEnd"/>
      <w:r w:rsidRPr="00A5533B">
        <w:rPr>
          <w:rFonts w:ascii="Arial" w:hAnsi="Arial" w:cs="Arial"/>
          <w:color w:val="000000"/>
        </w:rPr>
        <w:t xml:space="preserve"> овог одељка, плутајући угоститељски објекти, плутајуће сале и стамбене лађе чија дужина LWL не прелази 25 метара и служе за смештај до 100 лица, задовољавају услов наплављивања једног одељења са следећим димензијама бочног оштећења и оштећења дна: 0,10 LWL али не мање од два метра.</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3б. Поред тога, одступајући од тачке 3.</w:t>
      </w:r>
      <w:proofErr w:type="gramEnd"/>
      <w:r w:rsidRPr="00A5533B">
        <w:rPr>
          <w:rFonts w:ascii="Arial" w:hAnsi="Arial" w:cs="Arial"/>
          <w:color w:val="000000"/>
        </w:rPr>
        <w:t xml:space="preserve"> овог одељка, плутајући објекти који нису угоститељски објекти и који служе за смештај до 12 лица, задовољавају услов наплављивања једног одељења у најкритичнијем случају, занемарујући претпоставке о простирању оштећења приказаних у табели тачке 3. </w:t>
      </w:r>
      <w:proofErr w:type="gramStart"/>
      <w:r w:rsidRPr="00A5533B">
        <w:rPr>
          <w:rFonts w:ascii="Arial" w:hAnsi="Arial" w:cs="Arial"/>
          <w:color w:val="000000"/>
        </w:rPr>
        <w:t>овог</w:t>
      </w:r>
      <w:proofErr w:type="gramEnd"/>
      <w:r w:rsidRPr="00A5533B">
        <w:rPr>
          <w:rFonts w:ascii="Arial" w:hAnsi="Arial" w:cs="Arial"/>
          <w:color w:val="000000"/>
        </w:rPr>
        <w:t xml:space="preserve"> одељка. За све специфичне случајеве Управа ће утврдити захтеве за стабилитет плутајућих објеката у оштећеном стању (као што су привезишта за чамце састављена од сегмената спојених зглобном везом, плутајући објекти за спуштање веслачких чамаца у воду и др.).</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тачки 5.</w:t>
      </w:r>
      <w:proofErr w:type="gramEnd"/>
      <w:r w:rsidRPr="00A5533B">
        <w:rPr>
          <w:rFonts w:ascii="Arial" w:hAnsi="Arial" w:cs="Arial"/>
          <w:color w:val="000000"/>
        </w:rPr>
        <w:t xml:space="preserve"> </w:t>
      </w:r>
      <w:proofErr w:type="gramStart"/>
      <w:r w:rsidRPr="00A5533B">
        <w:rPr>
          <w:rFonts w:ascii="Arial" w:hAnsi="Arial" w:cs="Arial"/>
          <w:color w:val="000000"/>
        </w:rPr>
        <w:t>реч</w:t>
      </w:r>
      <w:proofErr w:type="gramEnd"/>
      <w:r w:rsidRPr="00A5533B">
        <w:rPr>
          <w:rFonts w:ascii="Arial" w:hAnsi="Arial" w:cs="Arial"/>
          <w:color w:val="000000"/>
        </w:rPr>
        <w:t>: „A≥0,025m*rad” замења се речју: „A≥0,0025m*rad”.</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VII.</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ТРУП ОД ЧЕЛИКА, у одељку 7.03 Одређивање димензија елемената трупа плутајућег објекта, у пододељку 2.</w:t>
      </w:r>
      <w:proofErr w:type="gramEnd"/>
      <w:r w:rsidRPr="00A5533B">
        <w:rPr>
          <w:rFonts w:ascii="Arial" w:hAnsi="Arial" w:cs="Arial"/>
          <w:color w:val="000000"/>
        </w:rPr>
        <w:t xml:space="preserve"> Структура дна, у тачки 6) Уздужњаци дна формула 7.03.2.6-1 мења се и гласи:</w:t>
      </w:r>
    </w:p>
    <w:p w:rsidR="00A5533B" w:rsidRPr="00A5533B" w:rsidRDefault="00A5533B" w:rsidP="00357408">
      <w:pPr>
        <w:widowControl/>
        <w:autoSpaceDE/>
        <w:autoSpaceDN/>
        <w:spacing w:before="0" w:after="0"/>
        <w:rPr>
          <w:rFonts w:ascii="Arial" w:hAnsi="Arial" w:cs="Arial"/>
          <w:color w:val="000000"/>
        </w:rPr>
      </w:pPr>
      <w:r w:rsidRPr="00A5533B">
        <w:rPr>
          <w:rFonts w:ascii="Arial" w:hAnsi="Arial" w:cs="Arial"/>
          <w:noProof/>
          <w:color w:val="000000"/>
        </w:rPr>
        <w:drawing>
          <wp:inline distT="0" distB="0" distL="0" distR="0" wp14:anchorId="12FC0BF0" wp14:editId="6A62B37A">
            <wp:extent cx="5063490" cy="368300"/>
            <wp:effectExtent l="0" t="0" r="3810" b="0"/>
            <wp:docPr id="16" name="Picture 16" descr="https://slgl.pravno-informacioni-sistem.rs/api/LawAdActAttachment/slike/1045407/Camci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gl.pravno-informacioni-sistem.rs/api/LawAdActAttachment/slike/1045407/Camci_Page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3490" cy="368300"/>
                    </a:xfrm>
                    <a:prstGeom prst="rect">
                      <a:avLst/>
                    </a:prstGeom>
                    <a:noFill/>
                    <a:ln>
                      <a:noFill/>
                    </a:ln>
                  </pic:spPr>
                </pic:pic>
              </a:graphicData>
            </a:graphic>
          </wp:inline>
        </w:drawing>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а</w:t>
      </w:r>
      <w:proofErr w:type="gramEnd"/>
      <w:r w:rsidRPr="00A5533B">
        <w:rPr>
          <w:rFonts w:ascii="Arial" w:hAnsi="Arial" w:cs="Arial"/>
          <w:color w:val="000000"/>
        </w:rPr>
        <w:t xml:space="preserve"> формула 7.03.2.6-2 се мења и гласи:</w:t>
      </w:r>
    </w:p>
    <w:p w:rsidR="00A5533B" w:rsidRPr="00A5533B" w:rsidRDefault="00A5533B" w:rsidP="00357408">
      <w:pPr>
        <w:widowControl/>
        <w:autoSpaceDE/>
        <w:autoSpaceDN/>
        <w:spacing w:before="0" w:after="0"/>
        <w:rPr>
          <w:rFonts w:ascii="Arial" w:hAnsi="Arial" w:cs="Arial"/>
          <w:color w:val="000000"/>
        </w:rPr>
      </w:pPr>
      <w:r w:rsidRPr="00A5533B">
        <w:rPr>
          <w:rFonts w:ascii="Arial" w:hAnsi="Arial" w:cs="Arial"/>
          <w:noProof/>
          <w:color w:val="000000"/>
        </w:rPr>
        <w:drawing>
          <wp:inline distT="0" distB="0" distL="0" distR="0" wp14:anchorId="678C3F7C" wp14:editId="0A6C7508">
            <wp:extent cx="5063490" cy="695960"/>
            <wp:effectExtent l="0" t="0" r="0" b="8890"/>
            <wp:docPr id="15" name="Picture 15" descr="https://slgl.pravno-informacioni-sistem.rs/api/LawAdActAttachment/slike/1045407/Camci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lgl.pravno-informacioni-sistem.rs/api/LawAdActAttachment/slike/1045407/Camci_Page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3490" cy="695960"/>
                    </a:xfrm>
                    <a:prstGeom prst="rect">
                      <a:avLst/>
                    </a:prstGeom>
                    <a:noFill/>
                    <a:ln>
                      <a:noFill/>
                    </a:ln>
                  </pic:spPr>
                </pic:pic>
              </a:graphicData>
            </a:graphic>
          </wp:inline>
        </w:drawing>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пододељку 4.</w:t>
      </w:r>
      <w:proofErr w:type="gramEnd"/>
      <w:r w:rsidRPr="00A5533B">
        <w:rPr>
          <w:rFonts w:ascii="Arial" w:hAnsi="Arial" w:cs="Arial"/>
          <w:color w:val="000000"/>
        </w:rPr>
        <w:t xml:space="preserve"> Структура палубе, у тачки 5) Уздужне споне палубе формула 7.03.4.5-1 мења се и гласи:</w:t>
      </w:r>
    </w:p>
    <w:p w:rsidR="00A5533B" w:rsidRPr="00A5533B" w:rsidRDefault="00A5533B" w:rsidP="00357408">
      <w:pPr>
        <w:widowControl/>
        <w:autoSpaceDE/>
        <w:autoSpaceDN/>
        <w:spacing w:before="0" w:after="0"/>
        <w:rPr>
          <w:rFonts w:ascii="Arial" w:hAnsi="Arial" w:cs="Arial"/>
          <w:color w:val="000000"/>
        </w:rPr>
      </w:pPr>
      <w:r w:rsidRPr="00A5533B">
        <w:rPr>
          <w:rFonts w:ascii="Arial" w:hAnsi="Arial" w:cs="Arial"/>
          <w:noProof/>
          <w:color w:val="000000"/>
        </w:rPr>
        <w:drawing>
          <wp:inline distT="0" distB="0" distL="0" distR="0" wp14:anchorId="7DD2667B" wp14:editId="0BB26DD4">
            <wp:extent cx="5063490" cy="409575"/>
            <wp:effectExtent l="0" t="0" r="3810" b="0"/>
            <wp:docPr id="14" name="Picture 14" descr="https://slgl.pravno-informacioni-sistem.rs/api/LawAdActAttachment/slike/1045407/Camci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lgl.pravno-informacioni-sistem.rs/api/LawAdActAttachment/slike/1045407/Camci_Page_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3490" cy="409575"/>
                    </a:xfrm>
                    <a:prstGeom prst="rect">
                      <a:avLst/>
                    </a:prstGeom>
                    <a:noFill/>
                    <a:ln>
                      <a:noFill/>
                    </a:ln>
                  </pic:spPr>
                </pic:pic>
              </a:graphicData>
            </a:graphic>
          </wp:inline>
        </w:drawing>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формула</w:t>
      </w:r>
      <w:proofErr w:type="gramEnd"/>
      <w:r w:rsidRPr="00A5533B">
        <w:rPr>
          <w:rFonts w:ascii="Arial" w:hAnsi="Arial" w:cs="Arial"/>
          <w:color w:val="000000"/>
        </w:rPr>
        <w:t xml:space="preserve"> после алинеје: „–гипкост уздужних спона није већа од 70 тј:” мења се и гласи:</w:t>
      </w:r>
    </w:p>
    <w:p w:rsidR="00A5533B" w:rsidRPr="00A5533B" w:rsidRDefault="00A5533B" w:rsidP="00357408">
      <w:pPr>
        <w:widowControl/>
        <w:autoSpaceDE/>
        <w:autoSpaceDN/>
        <w:spacing w:before="0" w:after="0"/>
        <w:rPr>
          <w:rFonts w:ascii="Arial" w:hAnsi="Arial" w:cs="Arial"/>
          <w:color w:val="000000"/>
        </w:rPr>
      </w:pPr>
      <w:r w:rsidRPr="00A5533B">
        <w:rPr>
          <w:rFonts w:ascii="Arial" w:hAnsi="Arial" w:cs="Arial"/>
          <w:noProof/>
          <w:color w:val="000000"/>
        </w:rPr>
        <w:drawing>
          <wp:inline distT="0" distB="0" distL="0" distR="0" wp14:anchorId="572C1C48" wp14:editId="5245CDD2">
            <wp:extent cx="5063490" cy="641350"/>
            <wp:effectExtent l="0" t="0" r="0" b="6350"/>
            <wp:docPr id="13" name="Picture 13" descr="https://slgl.pravno-informacioni-sistem.rs/api/LawAdActAttachment/slike/1045407/Camci_Pag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gl.pravno-informacioni-sistem.rs/api/LawAdActAttachment/slike/1045407/Camci_Page_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3490" cy="641350"/>
                    </a:xfrm>
                    <a:prstGeom prst="rect">
                      <a:avLst/>
                    </a:prstGeom>
                    <a:noFill/>
                    <a:ln>
                      <a:noFill/>
                    </a:ln>
                  </pic:spPr>
                </pic:pic>
              </a:graphicData>
            </a:graphic>
          </wp:inline>
        </w:drawing>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w:t>
      </w:r>
      <w:proofErr w:type="gramEnd"/>
      <w:r w:rsidRPr="00A5533B">
        <w:rPr>
          <w:rFonts w:ascii="Arial" w:hAnsi="Arial" w:cs="Arial"/>
          <w:color w:val="000000"/>
        </w:rPr>
        <w:t xml:space="preserve"> тачки 6) Оквирне споне и полуспоне формула 7.03.4.6-1 мења се и гласи:</w:t>
      </w:r>
    </w:p>
    <w:p w:rsidR="00A5533B" w:rsidRPr="00A5533B" w:rsidRDefault="00A5533B" w:rsidP="00357408">
      <w:pPr>
        <w:widowControl/>
        <w:autoSpaceDE/>
        <w:autoSpaceDN/>
        <w:spacing w:before="0" w:after="0"/>
        <w:rPr>
          <w:rFonts w:ascii="Arial" w:hAnsi="Arial" w:cs="Arial"/>
          <w:color w:val="000000"/>
        </w:rPr>
      </w:pPr>
      <w:r w:rsidRPr="00A5533B">
        <w:rPr>
          <w:rFonts w:ascii="Arial" w:hAnsi="Arial" w:cs="Arial"/>
          <w:noProof/>
          <w:color w:val="000000"/>
        </w:rPr>
        <w:drawing>
          <wp:inline distT="0" distB="0" distL="0" distR="0" wp14:anchorId="5AF5DF0F" wp14:editId="257B2043">
            <wp:extent cx="5063490" cy="395605"/>
            <wp:effectExtent l="0" t="0" r="3810" b="4445"/>
            <wp:docPr id="12" name="Picture 12" descr="https://slgl.pravno-informacioni-sistem.rs/api/LawAdActAttachment/slike/1045407/Camci_Pag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lgl.pravno-informacioni-sistem.rs/api/LawAdActAttachment/slike/1045407/Camci_Page_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3490" cy="395605"/>
                    </a:xfrm>
                    <a:prstGeom prst="rect">
                      <a:avLst/>
                    </a:prstGeom>
                    <a:noFill/>
                    <a:ln>
                      <a:noFill/>
                    </a:ln>
                  </pic:spPr>
                </pic:pic>
              </a:graphicData>
            </a:graphic>
          </wp:inline>
        </w:drawing>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и</w:t>
      </w:r>
      <w:proofErr w:type="gramEnd"/>
      <w:r w:rsidRPr="00A5533B">
        <w:rPr>
          <w:rFonts w:ascii="Arial" w:hAnsi="Arial" w:cs="Arial"/>
          <w:color w:val="000000"/>
        </w:rPr>
        <w:t xml:space="preserve"> у тачки 7) Палубне подвезе у објашњењу формуле 7.03.4.7 реч: „р-074” мења се речју: „к-074”.</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пододељку 6.</w:t>
      </w:r>
      <w:proofErr w:type="gramEnd"/>
      <w:r w:rsidRPr="00A5533B">
        <w:rPr>
          <w:rFonts w:ascii="Arial" w:hAnsi="Arial" w:cs="Arial"/>
          <w:color w:val="000000"/>
        </w:rPr>
        <w:t xml:space="preserve"> </w:t>
      </w:r>
      <w:proofErr w:type="gramStart"/>
      <w:r w:rsidRPr="00A5533B">
        <w:rPr>
          <w:rFonts w:ascii="Arial" w:hAnsi="Arial" w:cs="Arial"/>
          <w:color w:val="000000"/>
        </w:rPr>
        <w:t>Спољна оплата, у тачки 3.</w:t>
      </w:r>
      <w:proofErr w:type="gramEnd"/>
      <w:r w:rsidRPr="00A5533B">
        <w:rPr>
          <w:rFonts w:ascii="Arial" w:hAnsi="Arial" w:cs="Arial"/>
          <w:color w:val="000000"/>
        </w:rPr>
        <w:t xml:space="preserve"> </w:t>
      </w:r>
      <w:proofErr w:type="gramStart"/>
      <w:r w:rsidRPr="00A5533B">
        <w:rPr>
          <w:rFonts w:ascii="Arial" w:hAnsi="Arial" w:cs="Arial"/>
          <w:color w:val="000000"/>
        </w:rPr>
        <w:t>Узвојни лим после става 7.</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став 8. </w:t>
      </w:r>
      <w:proofErr w:type="gramStart"/>
      <w:r w:rsidRPr="00A5533B">
        <w:rPr>
          <w:rFonts w:ascii="Arial" w:hAnsi="Arial" w:cs="Arial"/>
          <w:color w:val="000000"/>
        </w:rPr>
        <w:t>који</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„На плутајућим објектима чији су узгонски елементи једноставног облика, дужине до осам метара и запремине до 12 метара квадратних, уместо заобљеног узвоја, дозвољава се савијање лимова да би се образовао кник без уградње дуплих плоча или пуних округлих профила или извођење оштрог узвоја без уградње угаоника или пуних профила при чему лимови дна задовољавају формуле 7.03.6.1-1, 7.03.6.1-2 и 7.03.6.1-3 овог одељка, али не мање од четири милиметара за попречну градњу.”.</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7.05 Одржавање трупа током експлоатације, тачка 5.</w:t>
      </w:r>
      <w:proofErr w:type="gramEnd"/>
      <w:r w:rsidRPr="00A5533B">
        <w:rPr>
          <w:rFonts w:ascii="Arial" w:hAnsi="Arial" w:cs="Arial"/>
          <w:color w:val="000000"/>
        </w:rPr>
        <w:t xml:space="preserve"> </w:t>
      </w:r>
      <w:proofErr w:type="gramStart"/>
      <w:r w:rsidRPr="00A5533B">
        <w:rPr>
          <w:rFonts w:ascii="Arial" w:hAnsi="Arial" w:cs="Arial"/>
          <w:color w:val="000000"/>
        </w:rPr>
        <w:t>мења</w:t>
      </w:r>
      <w:proofErr w:type="gramEnd"/>
      <w:r w:rsidRPr="00A5533B">
        <w:rPr>
          <w:rFonts w:ascii="Arial" w:hAnsi="Arial" w:cs="Arial"/>
          <w:color w:val="000000"/>
        </w:rPr>
        <w:t xml:space="preserve"> се и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lastRenderedPageBreak/>
        <w:t>„5. Мерење дебљине лима конструкције и оплате плутајућег објекта врши услужно привредно друштво на захтев Управе или на сваких седам година.</w:t>
      </w:r>
      <w:proofErr w:type="gramEnd"/>
      <w:r w:rsidRPr="00A5533B">
        <w:rPr>
          <w:rFonts w:ascii="Arial" w:hAnsi="Arial" w:cs="Arial"/>
          <w:color w:val="000000"/>
        </w:rPr>
        <w:t xml:space="preserve"> </w:t>
      </w:r>
      <w:proofErr w:type="gramStart"/>
      <w:r w:rsidRPr="00A5533B">
        <w:rPr>
          <w:rFonts w:ascii="Arial" w:hAnsi="Arial" w:cs="Arial"/>
          <w:color w:val="000000"/>
        </w:rPr>
        <w:t>Приликом мерења дебљине лимова неопходно је доставити податке о измереним вредностима за сваку таблу оплате у пет тачака или другачије уз сагласност Управе, а за конструкцију узгонских елемената у два критична пресека, у две тачке по елементу уписаних у извештај са мерења дебљине лимова.</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Мерење дебљине лимова и конструкције спојног моста или попречних носача постављених преко трупова уместо спојног моста врши се у најмање пет карактеристичних и критичних попречних пресека у што је могуће више тачака по елементу.</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Управа може захтевати прорачун уздужне чврстоће постојеће челичне конструкције сплава (попречних носача постављених преко трупова), а према измереним дебљинама лимова конструкције.</w:t>
      </w:r>
      <w:proofErr w:type="gramEnd"/>
      <w:r w:rsidRPr="00A5533B">
        <w:rPr>
          <w:rFonts w:ascii="Arial" w:hAnsi="Arial" w:cs="Arial"/>
          <w:color w:val="000000"/>
        </w:rPr>
        <w:t xml:space="preserve"> Профили који се мењају услед дотрајалости морају бити замењени сертификованим у складу са овереном пројектном документацијом.</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IХ.</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ОПРЕМУ, одељак 9.13 Ограда, после тачке 1.</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1а.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„1а. На плутајућим објектима као што су привезишта за чамце, плутајући објекти за спуштање веслачких чамаца у воду и други објекти за које надлежни орган утврди да би ограда сметала у нормалном функционисању људи који користе објекат, дозвољава се да се иста не угради.</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9.14 Приступни мост, тачка 7.</w:t>
      </w:r>
      <w:proofErr w:type="gramEnd"/>
      <w:r w:rsidRPr="00A5533B">
        <w:rPr>
          <w:rFonts w:ascii="Arial" w:hAnsi="Arial" w:cs="Arial"/>
          <w:color w:val="000000"/>
        </w:rPr>
        <w:t xml:space="preserve"> </w:t>
      </w:r>
      <w:proofErr w:type="gramStart"/>
      <w:r w:rsidRPr="00A5533B">
        <w:rPr>
          <w:rFonts w:ascii="Arial" w:hAnsi="Arial" w:cs="Arial"/>
          <w:color w:val="000000"/>
        </w:rPr>
        <w:t>мења</w:t>
      </w:r>
      <w:proofErr w:type="gramEnd"/>
      <w:r w:rsidRPr="00A5533B">
        <w:rPr>
          <w:rFonts w:ascii="Arial" w:hAnsi="Arial" w:cs="Arial"/>
          <w:color w:val="000000"/>
        </w:rPr>
        <w:t xml:space="preserve">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„7. Ослонци приступног моста се дефинишу према пројектној документацији која обавезно садржи прорачун уздужне чврстоће.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ХII.</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ЗАШТИТУ ОД ПОЖАРА, у одељку 12.2.</w:t>
      </w:r>
      <w:proofErr w:type="gramEnd"/>
      <w:r w:rsidRPr="00A5533B">
        <w:rPr>
          <w:rFonts w:ascii="Arial" w:hAnsi="Arial" w:cs="Arial"/>
          <w:color w:val="000000"/>
        </w:rPr>
        <w:t xml:space="preserve"> </w:t>
      </w:r>
      <w:proofErr w:type="gramStart"/>
      <w:r w:rsidRPr="00A5533B">
        <w:rPr>
          <w:rFonts w:ascii="Arial" w:hAnsi="Arial" w:cs="Arial"/>
          <w:color w:val="000000"/>
        </w:rPr>
        <w:t>Дефиниције, после тачке 25.</w:t>
      </w:r>
      <w:proofErr w:type="gramEnd"/>
      <w:r w:rsidRPr="00A5533B">
        <w:rPr>
          <w:rFonts w:ascii="Arial" w:hAnsi="Arial" w:cs="Arial"/>
          <w:color w:val="000000"/>
        </w:rPr>
        <w:t xml:space="preserve"> </w:t>
      </w:r>
      <w:proofErr w:type="gramStart"/>
      <w:r w:rsidRPr="00A5533B">
        <w:rPr>
          <w:rFonts w:ascii="Arial" w:hAnsi="Arial" w:cs="Arial"/>
          <w:color w:val="000000"/>
        </w:rPr>
        <w:t>додају</w:t>
      </w:r>
      <w:proofErr w:type="gramEnd"/>
      <w:r w:rsidRPr="00A5533B">
        <w:rPr>
          <w:rFonts w:ascii="Arial" w:hAnsi="Arial" w:cs="Arial"/>
          <w:color w:val="000000"/>
        </w:rPr>
        <w:t xml:space="preserve"> се тач. 26. </w:t>
      </w:r>
      <w:proofErr w:type="gramStart"/>
      <w:r w:rsidRPr="00A5533B">
        <w:rPr>
          <w:rFonts w:ascii="Arial" w:hAnsi="Arial" w:cs="Arial"/>
          <w:color w:val="000000"/>
        </w:rPr>
        <w:t>и</w:t>
      </w:r>
      <w:proofErr w:type="gramEnd"/>
      <w:r w:rsidRPr="00A5533B">
        <w:rPr>
          <w:rFonts w:ascii="Arial" w:hAnsi="Arial" w:cs="Arial"/>
          <w:color w:val="000000"/>
        </w:rPr>
        <w:t xml:space="preserve"> 27. </w:t>
      </w:r>
      <w:proofErr w:type="gramStart"/>
      <w:r w:rsidRPr="00A5533B">
        <w:rPr>
          <w:rFonts w:ascii="Arial" w:hAnsi="Arial" w:cs="Arial"/>
          <w:color w:val="000000"/>
        </w:rPr>
        <w:t>које</w:t>
      </w:r>
      <w:proofErr w:type="gramEnd"/>
      <w:r w:rsidRPr="00A5533B">
        <w:rPr>
          <w:rFonts w:ascii="Arial" w:hAnsi="Arial" w:cs="Arial"/>
          <w:color w:val="000000"/>
        </w:rPr>
        <w:t xml:space="preserve"> гласе: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„26. Сигурносна расвета је вештачко осветљење објекта или простора или његовог дела, додата општој расвети ради испуњења сигурносних услова евакуације или безбедног завршетка неке радне активности и аутоматски се укључује у случају квара у напајању електричном енергијом опште расвете.</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27. Одговорно лице угоститељског објекта је лице које руководи радом угоститељског објекта и које је посебним актом именовано као одговорно лице угоститељског објекта, а уколико није именовано такво лице одговорним лицем се сматра власник.</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Одељак 12.3 мења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„12.3 Категоризација према угрожености од пожара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Категоризација заштите од пожара врши се према угрожености од пожара угоститељских објеката на основу закона којим се уређује заштита од пожара.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Одељак 12.6.</w:t>
      </w:r>
      <w:proofErr w:type="gramEnd"/>
      <w:r w:rsidRPr="00A5533B">
        <w:rPr>
          <w:rFonts w:ascii="Arial" w:hAnsi="Arial" w:cs="Arial"/>
          <w:color w:val="000000"/>
        </w:rPr>
        <w:t xml:space="preserve"> </w:t>
      </w:r>
      <w:proofErr w:type="gramStart"/>
      <w:r w:rsidRPr="00A5533B">
        <w:rPr>
          <w:rFonts w:ascii="Arial" w:hAnsi="Arial" w:cs="Arial"/>
          <w:color w:val="000000"/>
        </w:rPr>
        <w:t>мења</w:t>
      </w:r>
      <w:proofErr w:type="gramEnd"/>
      <w:r w:rsidRPr="00A5533B">
        <w:rPr>
          <w:rFonts w:ascii="Arial" w:hAnsi="Arial" w:cs="Arial"/>
          <w:color w:val="000000"/>
        </w:rPr>
        <w:t xml:space="preserve">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„12.6. Пројектна документација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 План евакуације и упутства за поступање у случају од пожара морају бити истакнути на видљивом месту на плутајућем објекту.</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2. Израду правила заштите од пожара плутајућих објеката израђује привредно друштво, односно друго правно лице које испуњава прописане услове и има овлашћење од Министарства унутрашњих послова за обављање ових послова.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3. Управи се доставља пројекат заштите од пожара израђен од стране привредног друштва, односно другог правног лица које испуњава прописане услове и има овлашћење од Министарства унутрашњих послова за обављање ових послова као саставни део пројектне документације.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Управа не оверава пројекат заштите од пожара.</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Одговорно лице, власник или корисник објекта одговорно је за спровођење мера заштите од пожара на угоститељском плутајућем објекту.</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lastRenderedPageBreak/>
        <w:t>У одељку 12.8 Надзор над градњом и прегледи током експлоатације објекта, после става 1.</w:t>
      </w:r>
      <w:proofErr w:type="gramEnd"/>
      <w:r w:rsidRPr="00A5533B">
        <w:rPr>
          <w:rFonts w:ascii="Arial" w:hAnsi="Arial" w:cs="Arial"/>
          <w:color w:val="000000"/>
        </w:rPr>
        <w:t xml:space="preserve"> </w:t>
      </w:r>
      <w:proofErr w:type="gramStart"/>
      <w:r w:rsidRPr="00A5533B">
        <w:rPr>
          <w:rFonts w:ascii="Arial" w:hAnsi="Arial" w:cs="Arial"/>
          <w:color w:val="000000"/>
        </w:rPr>
        <w:t>додају</w:t>
      </w:r>
      <w:proofErr w:type="gramEnd"/>
      <w:r w:rsidRPr="00A5533B">
        <w:rPr>
          <w:rFonts w:ascii="Arial" w:hAnsi="Arial" w:cs="Arial"/>
          <w:color w:val="000000"/>
        </w:rPr>
        <w:t xml:space="preserve"> се ст. 2. </w:t>
      </w:r>
      <w:proofErr w:type="gramStart"/>
      <w:r w:rsidRPr="00A5533B">
        <w:rPr>
          <w:rFonts w:ascii="Arial" w:hAnsi="Arial" w:cs="Arial"/>
          <w:color w:val="000000"/>
        </w:rPr>
        <w:t>и</w:t>
      </w:r>
      <w:proofErr w:type="gramEnd"/>
      <w:r w:rsidRPr="00A5533B">
        <w:rPr>
          <w:rFonts w:ascii="Arial" w:hAnsi="Arial" w:cs="Arial"/>
          <w:color w:val="000000"/>
        </w:rPr>
        <w:t xml:space="preserve"> 3. </w:t>
      </w:r>
      <w:proofErr w:type="gramStart"/>
      <w:r w:rsidRPr="00A5533B">
        <w:rPr>
          <w:rFonts w:ascii="Arial" w:hAnsi="Arial" w:cs="Arial"/>
          <w:color w:val="000000"/>
        </w:rPr>
        <w:t>који</w:t>
      </w:r>
      <w:proofErr w:type="gramEnd"/>
      <w:r w:rsidRPr="00A5533B">
        <w:rPr>
          <w:rFonts w:ascii="Arial" w:hAnsi="Arial" w:cs="Arial"/>
          <w:color w:val="000000"/>
        </w:rPr>
        <w:t xml:space="preserve"> гласе: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„За време градње и преправке плутајућег објекта противпожарни надзор врши привредно друштво, односно друго правно лице које испуњава прописане услове и има овлашћење од Министарства унутрашњих послова за обављање ових послова.</w:t>
      </w:r>
      <w:proofErr w:type="gramEnd"/>
      <w:r w:rsidRPr="00A5533B">
        <w:rPr>
          <w:rFonts w:ascii="Arial" w:hAnsi="Arial" w:cs="Arial"/>
          <w:color w:val="000000"/>
        </w:rPr>
        <w:t xml:space="preserve"> </w:t>
      </w:r>
      <w:proofErr w:type="gramStart"/>
      <w:r w:rsidRPr="00A5533B">
        <w:rPr>
          <w:rFonts w:ascii="Arial" w:hAnsi="Arial" w:cs="Arial"/>
          <w:color w:val="000000"/>
        </w:rPr>
        <w:t>Овом делу надзора подлежу опште конструкцијске мере у циљу противпожарне заштите, материјал који се поставља са унутрашње стране простора, са гледишта њихових својстава у вези са опасношћу од пожара доказаним исправама о усаглашености, те системи за сигнализацију и гашење пожара прописаним овим правилником.</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Противпожарна опрема се проверава у смислу њене комплетности и исправности према одредбама Дела ХII.</w:t>
      </w:r>
      <w:proofErr w:type="gramEnd"/>
      <w:r w:rsidRPr="00A5533B">
        <w:rPr>
          <w:rFonts w:ascii="Arial" w:hAnsi="Arial" w:cs="Arial"/>
          <w:color w:val="000000"/>
        </w:rPr>
        <w:t xml:space="preserve"> ТЕХНИЧКИ ЗАХТЕВИ ЗА ЗАШТИТУ ОД ПОЖАРА овог прилога.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Одељци 12.9 и 12.10 бришу се.</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12.11 Општи план објекта, после става 2.</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став 3. </w:t>
      </w:r>
      <w:proofErr w:type="gramStart"/>
      <w:r w:rsidRPr="00A5533B">
        <w:rPr>
          <w:rFonts w:ascii="Arial" w:hAnsi="Arial" w:cs="Arial"/>
          <w:color w:val="000000"/>
        </w:rPr>
        <w:t>који</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„Све измене у противпожарној заштити плутајућих објеката одмах се уносе у техничку документацију наведеној у тачки 12.6 и 12.8.”</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12.14 Захтеви за материјал, после тачке 1.</w:t>
      </w:r>
      <w:proofErr w:type="gramEnd"/>
      <w:r w:rsidRPr="00A5533B">
        <w:rPr>
          <w:rFonts w:ascii="Arial" w:hAnsi="Arial" w:cs="Arial"/>
          <w:color w:val="000000"/>
        </w:rPr>
        <w:t xml:space="preserve">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1а која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„1а Конструкција степеништа на евакуационом путу мора имати отпорност према пожару као конструкција коридора евакуације.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и</w:t>
      </w:r>
      <w:proofErr w:type="gramEnd"/>
      <w:r w:rsidRPr="00A5533B">
        <w:rPr>
          <w:rFonts w:ascii="Arial" w:hAnsi="Arial" w:cs="Arial"/>
          <w:color w:val="000000"/>
        </w:rPr>
        <w:t xml:space="preserve"> после тачке 7.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7а.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„7а. Тканине и премази који се користе при изради завеса, ролетни и других сличних висећих предмета, испитују се према методама испитивања запаљивости висећих тканина и деле се на тешко запаљиве и лако запаљиве.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и</w:t>
      </w:r>
      <w:proofErr w:type="gramEnd"/>
      <w:r w:rsidRPr="00A5533B">
        <w:rPr>
          <w:rFonts w:ascii="Arial" w:hAnsi="Arial" w:cs="Arial"/>
          <w:color w:val="000000"/>
        </w:rPr>
        <w:t xml:space="preserve"> после тачке 8. </w:t>
      </w:r>
      <w:proofErr w:type="gramStart"/>
      <w:r w:rsidRPr="00A5533B">
        <w:rPr>
          <w:rFonts w:ascii="Arial" w:hAnsi="Arial" w:cs="Arial"/>
          <w:color w:val="000000"/>
        </w:rPr>
        <w:t>додаје</w:t>
      </w:r>
      <w:proofErr w:type="gramEnd"/>
      <w:r w:rsidRPr="00A5533B">
        <w:rPr>
          <w:rFonts w:ascii="Arial" w:hAnsi="Arial" w:cs="Arial"/>
          <w:color w:val="000000"/>
        </w:rPr>
        <w:t xml:space="preserve"> се тачка 9. </w:t>
      </w:r>
      <w:proofErr w:type="gramStart"/>
      <w:r w:rsidRPr="00A5533B">
        <w:rPr>
          <w:rFonts w:ascii="Arial" w:hAnsi="Arial" w:cs="Arial"/>
          <w:color w:val="000000"/>
        </w:rPr>
        <w:t>која</w:t>
      </w:r>
      <w:proofErr w:type="gramEnd"/>
      <w:r w:rsidRPr="00A5533B">
        <w:rPr>
          <w:rFonts w:ascii="Arial" w:hAnsi="Arial" w:cs="Arial"/>
          <w:color w:val="000000"/>
        </w:rPr>
        <w:t xml:space="preserve">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„9. Непокретне палубне облоге дебљине пет милиметара и више деле се на: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 Незапаљиве палубне облоге – непокретне палубне облоге дебљине пет милиметара и више, које у току испитивања не стварају запаљиве гасове у количини довољној да одржавање пламена у трајању од преко 10 секунди.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2. Запаљиве палубне облоге – непокретне палубне облоге дебљине пет милиметара и више, које у току испитивања одржавају горење у трајању од преко 10 секунди.</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12.19 Осветљење, тачка 2.</w:t>
      </w:r>
      <w:proofErr w:type="gramEnd"/>
      <w:r w:rsidRPr="00A5533B">
        <w:rPr>
          <w:rFonts w:ascii="Arial" w:hAnsi="Arial" w:cs="Arial"/>
          <w:color w:val="000000"/>
        </w:rPr>
        <w:t xml:space="preserve"> </w:t>
      </w:r>
      <w:proofErr w:type="gramStart"/>
      <w:r w:rsidRPr="00A5533B">
        <w:rPr>
          <w:rFonts w:ascii="Arial" w:hAnsi="Arial" w:cs="Arial"/>
          <w:color w:val="000000"/>
        </w:rPr>
        <w:t>мења</w:t>
      </w:r>
      <w:proofErr w:type="gramEnd"/>
      <w:r w:rsidRPr="00A5533B">
        <w:rPr>
          <w:rFonts w:ascii="Arial" w:hAnsi="Arial" w:cs="Arial"/>
          <w:color w:val="000000"/>
        </w:rPr>
        <w:t xml:space="preserve">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„2. Осим редовног напајања електричном енергијом из дистрибутивне мреже у угоститељским плутајућим објектима се мора обезбедити резервни извор снабдевања електричном енергијом следећих уређаја и система: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1. </w:t>
      </w:r>
      <w:proofErr w:type="gramStart"/>
      <w:r w:rsidRPr="00A5533B">
        <w:rPr>
          <w:rFonts w:ascii="Arial" w:hAnsi="Arial" w:cs="Arial"/>
          <w:color w:val="000000"/>
        </w:rPr>
        <w:t>сигурносне</w:t>
      </w:r>
      <w:proofErr w:type="gramEnd"/>
      <w:r w:rsidRPr="00A5533B">
        <w:rPr>
          <w:rFonts w:ascii="Arial" w:hAnsi="Arial" w:cs="Arial"/>
          <w:color w:val="000000"/>
        </w:rPr>
        <w:t xml:space="preserve"> расвете евакуационих путева (степеништа, ходници, натписи за бржу евакуацију и сл.);</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2. </w:t>
      </w:r>
      <w:proofErr w:type="gramStart"/>
      <w:r w:rsidRPr="00A5533B">
        <w:rPr>
          <w:rFonts w:ascii="Arial" w:hAnsi="Arial" w:cs="Arial"/>
          <w:color w:val="000000"/>
        </w:rPr>
        <w:t>уређаја</w:t>
      </w:r>
      <w:proofErr w:type="gramEnd"/>
      <w:r w:rsidRPr="00A5533B">
        <w:rPr>
          <w:rFonts w:ascii="Arial" w:hAnsi="Arial" w:cs="Arial"/>
          <w:color w:val="000000"/>
        </w:rPr>
        <w:t xml:space="preserve"> за подизање притиска у хидрантској мрежи, уколико посебним прописом није другачије уређено;</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3. </w:t>
      </w:r>
      <w:proofErr w:type="gramStart"/>
      <w:r w:rsidRPr="00A5533B">
        <w:rPr>
          <w:rFonts w:ascii="Arial" w:hAnsi="Arial" w:cs="Arial"/>
          <w:color w:val="000000"/>
        </w:rPr>
        <w:t>инсталација</w:t>
      </w:r>
      <w:proofErr w:type="gramEnd"/>
      <w:r w:rsidRPr="00A5533B">
        <w:rPr>
          <w:rFonts w:ascii="Arial" w:hAnsi="Arial" w:cs="Arial"/>
          <w:color w:val="000000"/>
        </w:rPr>
        <w:t xml:space="preserve"> и уређаја за аутоматско откривање и дојаву пожара;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 xml:space="preserve">4. </w:t>
      </w:r>
      <w:proofErr w:type="gramStart"/>
      <w:r w:rsidRPr="00A5533B">
        <w:rPr>
          <w:rFonts w:ascii="Arial" w:hAnsi="Arial" w:cs="Arial"/>
          <w:color w:val="000000"/>
        </w:rPr>
        <w:t>инсталација</w:t>
      </w:r>
      <w:proofErr w:type="gramEnd"/>
      <w:r w:rsidRPr="00A5533B">
        <w:rPr>
          <w:rFonts w:ascii="Arial" w:hAnsi="Arial" w:cs="Arial"/>
          <w:color w:val="000000"/>
        </w:rPr>
        <w:t xml:space="preserve"> и уређаја за гашење пожара.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За сваки угоститељски објекат за који се прорачуном докаже да је неопходна инсталација за заштиту од атмосферског пражњења иста мора бити пројектована и изведена у складу са одредбама прописа којима је уређена област пројектовања и извођења ових инсталација.</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одељку 12.22 Додатни захтеви за угоститељске плутајуће објекте, после тачка 1.</w:t>
      </w:r>
      <w:proofErr w:type="gramEnd"/>
      <w:r w:rsidRPr="00A5533B">
        <w:rPr>
          <w:rFonts w:ascii="Arial" w:hAnsi="Arial" w:cs="Arial"/>
          <w:color w:val="000000"/>
        </w:rPr>
        <w:t xml:space="preserve"> </w:t>
      </w:r>
      <w:proofErr w:type="gramStart"/>
      <w:r w:rsidRPr="00A5533B">
        <w:rPr>
          <w:rFonts w:ascii="Arial" w:hAnsi="Arial" w:cs="Arial"/>
          <w:color w:val="000000"/>
        </w:rPr>
        <w:t>додају</w:t>
      </w:r>
      <w:proofErr w:type="gramEnd"/>
      <w:r w:rsidRPr="00A5533B">
        <w:rPr>
          <w:rFonts w:ascii="Arial" w:hAnsi="Arial" w:cs="Arial"/>
          <w:color w:val="000000"/>
        </w:rPr>
        <w:t xml:space="preserve"> се тач. 2. </w:t>
      </w:r>
      <w:proofErr w:type="gramStart"/>
      <w:r w:rsidRPr="00A5533B">
        <w:rPr>
          <w:rFonts w:ascii="Arial" w:hAnsi="Arial" w:cs="Arial"/>
          <w:color w:val="000000"/>
        </w:rPr>
        <w:t>и</w:t>
      </w:r>
      <w:proofErr w:type="gramEnd"/>
      <w:r w:rsidRPr="00A5533B">
        <w:rPr>
          <w:rFonts w:ascii="Arial" w:hAnsi="Arial" w:cs="Arial"/>
          <w:color w:val="000000"/>
        </w:rPr>
        <w:t xml:space="preserve"> 3. </w:t>
      </w:r>
      <w:proofErr w:type="gramStart"/>
      <w:r w:rsidRPr="00A5533B">
        <w:rPr>
          <w:rFonts w:ascii="Arial" w:hAnsi="Arial" w:cs="Arial"/>
          <w:color w:val="000000"/>
        </w:rPr>
        <w:t>које</w:t>
      </w:r>
      <w:proofErr w:type="gramEnd"/>
      <w:r w:rsidRPr="00A5533B">
        <w:rPr>
          <w:rFonts w:ascii="Arial" w:hAnsi="Arial" w:cs="Arial"/>
          <w:color w:val="000000"/>
        </w:rPr>
        <w:t xml:space="preserve"> гласе: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„2. Угоститељски плутајући објекти морају имати два независна излаза.</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lastRenderedPageBreak/>
        <w:t xml:space="preserve">3. У угоститељском плутајућем објекту мора се обезбедити стална контрола броја лица у простору који не сме ни у ком тренутку бити већа од максимално дозвољеног броја лица. </w:t>
      </w:r>
      <w:proofErr w:type="gramStart"/>
      <w:r w:rsidRPr="00A5533B">
        <w:rPr>
          <w:rFonts w:ascii="Arial" w:hAnsi="Arial" w:cs="Arial"/>
          <w:color w:val="000000"/>
        </w:rPr>
        <w:t>Максимално дозвољен број лица који може бити у плутајућем угоститељском објекту мора бити истакнут на видном месту у близини главног улаза.”</w:t>
      </w:r>
      <w:proofErr w:type="gramEnd"/>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Одељак 12.44 мења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„12.44 Систем за гласовно обавештавање и узбуњивање</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Плутајући објекти капацитета више од 150 лица као и стамбене лађе капацитета више од 12 лица, осим система из одељка 11.42.</w:t>
      </w:r>
      <w:proofErr w:type="gramEnd"/>
      <w:r w:rsidRPr="00A5533B">
        <w:rPr>
          <w:rFonts w:ascii="Arial" w:hAnsi="Arial" w:cs="Arial"/>
          <w:color w:val="000000"/>
        </w:rPr>
        <w:t xml:space="preserve"> </w:t>
      </w:r>
      <w:proofErr w:type="gramStart"/>
      <w:r w:rsidRPr="00A5533B">
        <w:rPr>
          <w:rFonts w:ascii="Arial" w:hAnsi="Arial" w:cs="Arial"/>
          <w:color w:val="000000"/>
        </w:rPr>
        <w:t>овог</w:t>
      </w:r>
      <w:proofErr w:type="gramEnd"/>
      <w:r w:rsidRPr="00A5533B">
        <w:rPr>
          <w:rFonts w:ascii="Arial" w:hAnsi="Arial" w:cs="Arial"/>
          <w:color w:val="000000"/>
        </w:rPr>
        <w:t xml:space="preserve"> прилога, имају и систем за гласовно обавештавање и узбуњивање, које се активира аутоматски на импулс централе за дојаву пожара.”</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Одељак 12.45 мења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„12.45 Стабилни систем за гашење пожара</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Плутајући објекти укупне површине за смештај људи и опреме веће од 800 метара квадратних опремају са стабилним системом за гашење пожара.”</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У Делу XV.</w:t>
      </w:r>
      <w:proofErr w:type="gramEnd"/>
      <w:r w:rsidRPr="00A5533B">
        <w:rPr>
          <w:rFonts w:ascii="Arial" w:hAnsi="Arial" w:cs="Arial"/>
          <w:color w:val="000000"/>
        </w:rPr>
        <w:t xml:space="preserve"> РОКОВИ ЗА ПРИМЕНУ ТЕХНИЧКИХ ЗАХТЕВА, одељак 15.01 Примена, мења се и гласи:</w:t>
      </w:r>
    </w:p>
    <w:p w:rsidR="00A5533B" w:rsidRPr="00A5533B" w:rsidRDefault="00A5533B" w:rsidP="00357408">
      <w:pPr>
        <w:widowControl/>
        <w:autoSpaceDE/>
        <w:autoSpaceDN/>
        <w:spacing w:before="0" w:after="150"/>
        <w:ind w:firstLine="480"/>
        <w:rPr>
          <w:rFonts w:ascii="Arial" w:hAnsi="Arial" w:cs="Arial"/>
          <w:color w:val="000000"/>
        </w:rPr>
      </w:pPr>
      <w:r w:rsidRPr="00A5533B">
        <w:rPr>
          <w:rFonts w:ascii="Arial" w:hAnsi="Arial" w:cs="Arial"/>
          <w:color w:val="000000"/>
        </w:rPr>
        <w:t>„15.01 Примена</w:t>
      </w:r>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На постојеће плутајуће објекте за привредне и јавне сврхе, плутајуће објекте који се граде и на плутајуће објекте који никад нису били уписани у домаће уписнике примењују се одредбе ових техничких правила.</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На постојеће плутајуће објекте за привредне и јавне сврхе са трупом од челика, који имају важећу плутајућу дозволу, а немају Сведочанство о градњи, примењују се до 31.</w:t>
      </w:r>
      <w:proofErr w:type="gramEnd"/>
      <w:r w:rsidRPr="00A5533B">
        <w:rPr>
          <w:rFonts w:ascii="Arial" w:hAnsi="Arial" w:cs="Arial"/>
          <w:color w:val="000000"/>
        </w:rPr>
        <w:t xml:space="preserve"> </w:t>
      </w:r>
      <w:proofErr w:type="gramStart"/>
      <w:r w:rsidRPr="00A5533B">
        <w:rPr>
          <w:rFonts w:ascii="Arial" w:hAnsi="Arial" w:cs="Arial"/>
          <w:color w:val="000000"/>
        </w:rPr>
        <w:t>децембра</w:t>
      </w:r>
      <w:proofErr w:type="gramEnd"/>
      <w:r w:rsidRPr="00A5533B">
        <w:rPr>
          <w:rFonts w:ascii="Arial" w:hAnsi="Arial" w:cs="Arial"/>
          <w:color w:val="000000"/>
        </w:rPr>
        <w:t xml:space="preserve"> 2028. </w:t>
      </w:r>
      <w:proofErr w:type="gramStart"/>
      <w:r w:rsidRPr="00A5533B">
        <w:rPr>
          <w:rFonts w:ascii="Arial" w:hAnsi="Arial" w:cs="Arial"/>
          <w:color w:val="000000"/>
        </w:rPr>
        <w:t>године</w:t>
      </w:r>
      <w:proofErr w:type="gramEnd"/>
      <w:r w:rsidRPr="00A5533B">
        <w:rPr>
          <w:rFonts w:ascii="Arial" w:hAnsi="Arial" w:cs="Arial"/>
          <w:color w:val="000000"/>
        </w:rPr>
        <w:t xml:space="preserve"> одредбе овог правилника, осим тачке 2.03 Челик и челични производи Део II. </w:t>
      </w:r>
      <w:proofErr w:type="gramStart"/>
      <w:r w:rsidRPr="00A5533B">
        <w:rPr>
          <w:rFonts w:ascii="Arial" w:hAnsi="Arial" w:cs="Arial"/>
          <w:color w:val="000000"/>
        </w:rPr>
        <w:t>Технички захтеви за градњу плутајућих објеката и Део VII.</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труп од челика.</w:t>
      </w:r>
      <w:proofErr w:type="gramEnd"/>
      <w:r w:rsidRPr="00A5533B">
        <w:rPr>
          <w:rFonts w:ascii="Arial" w:hAnsi="Arial" w:cs="Arial"/>
          <w:color w:val="000000"/>
        </w:rPr>
        <w:t xml:space="preserve"> </w:t>
      </w:r>
      <w:proofErr w:type="gramStart"/>
      <w:r w:rsidRPr="00A5533B">
        <w:rPr>
          <w:rFonts w:ascii="Arial" w:hAnsi="Arial" w:cs="Arial"/>
          <w:color w:val="000000"/>
        </w:rPr>
        <w:t>Из Дела VII.</w:t>
      </w:r>
      <w:proofErr w:type="gramEnd"/>
      <w:r w:rsidRPr="00A5533B">
        <w:rPr>
          <w:rFonts w:ascii="Arial" w:hAnsi="Arial" w:cs="Arial"/>
          <w:color w:val="000000"/>
        </w:rPr>
        <w:t xml:space="preserve"> </w:t>
      </w:r>
      <w:proofErr w:type="gramStart"/>
      <w:r w:rsidRPr="00A5533B">
        <w:rPr>
          <w:rFonts w:ascii="Arial" w:hAnsi="Arial" w:cs="Arial"/>
          <w:color w:val="000000"/>
        </w:rPr>
        <w:t>Технички захтеви за труп од челика примењује се само тачка 7.05 Одржавање трупа током експлоатације.</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Технички захтеви за спречавање загађења за све плутајуће објекте примењују се од 31.</w:t>
      </w:r>
      <w:proofErr w:type="gramEnd"/>
      <w:r w:rsidRPr="00A5533B">
        <w:rPr>
          <w:rFonts w:ascii="Arial" w:hAnsi="Arial" w:cs="Arial"/>
          <w:color w:val="000000"/>
        </w:rPr>
        <w:t xml:space="preserve"> </w:t>
      </w:r>
      <w:proofErr w:type="gramStart"/>
      <w:r w:rsidRPr="00A5533B">
        <w:rPr>
          <w:rFonts w:ascii="Arial" w:hAnsi="Arial" w:cs="Arial"/>
          <w:color w:val="000000"/>
        </w:rPr>
        <w:t>децембра</w:t>
      </w:r>
      <w:proofErr w:type="gramEnd"/>
      <w:r w:rsidRPr="00A5533B">
        <w:rPr>
          <w:rFonts w:ascii="Arial" w:hAnsi="Arial" w:cs="Arial"/>
          <w:color w:val="000000"/>
        </w:rPr>
        <w:t xml:space="preserve"> 2029. године.</w:t>
      </w:r>
      <w:proofErr w:type="gramStart"/>
      <w:r w:rsidRPr="00A5533B">
        <w:rPr>
          <w:rFonts w:ascii="Arial" w:hAnsi="Arial" w:cs="Arial"/>
          <w:color w:val="000000"/>
        </w:rPr>
        <w:t>”.</w:t>
      </w:r>
      <w:proofErr w:type="gramEnd"/>
    </w:p>
    <w:p w:rsidR="00A5533B" w:rsidRPr="00A5533B" w:rsidRDefault="00A5533B" w:rsidP="00357408">
      <w:pPr>
        <w:widowControl/>
        <w:autoSpaceDE/>
        <w:autoSpaceDN/>
        <w:spacing w:before="330"/>
        <w:ind w:firstLine="480"/>
        <w:jc w:val="center"/>
        <w:rPr>
          <w:rFonts w:ascii="Arial" w:hAnsi="Arial" w:cs="Arial"/>
          <w:color w:val="000000"/>
        </w:rPr>
      </w:pPr>
      <w:proofErr w:type="gramStart"/>
      <w:r w:rsidRPr="00A5533B">
        <w:rPr>
          <w:rFonts w:ascii="Arial" w:hAnsi="Arial" w:cs="Arial"/>
          <w:color w:val="000000"/>
        </w:rPr>
        <w:t>Члaн 5.</w:t>
      </w:r>
      <w:proofErr w:type="gramEnd"/>
    </w:p>
    <w:p w:rsidR="00A5533B" w:rsidRPr="00A5533B" w:rsidRDefault="00A5533B" w:rsidP="00357408">
      <w:pPr>
        <w:widowControl/>
        <w:autoSpaceDE/>
        <w:autoSpaceDN/>
        <w:spacing w:before="0" w:after="150"/>
        <w:ind w:firstLine="480"/>
        <w:rPr>
          <w:rFonts w:ascii="Arial" w:hAnsi="Arial" w:cs="Arial"/>
          <w:color w:val="000000"/>
        </w:rPr>
      </w:pPr>
      <w:proofErr w:type="gramStart"/>
      <w:r w:rsidRPr="00A5533B">
        <w:rPr>
          <w:rFonts w:ascii="Arial" w:hAnsi="Arial" w:cs="Arial"/>
          <w:color w:val="000000"/>
        </w:rPr>
        <w:t>Овај правилник ступа на снагу осмог дана од дана објављивања у „Службеном гласнику Републике Србије”.</w:t>
      </w:r>
      <w:proofErr w:type="gramEnd"/>
    </w:p>
    <w:p w:rsidR="00A5533B" w:rsidRPr="00A5533B" w:rsidRDefault="00A5533B" w:rsidP="00357408">
      <w:pPr>
        <w:widowControl/>
        <w:autoSpaceDE/>
        <w:autoSpaceDN/>
        <w:spacing w:before="0" w:after="150"/>
        <w:ind w:firstLine="480"/>
        <w:jc w:val="right"/>
        <w:rPr>
          <w:rFonts w:ascii="Arial" w:hAnsi="Arial" w:cs="Arial"/>
          <w:color w:val="000000"/>
        </w:rPr>
      </w:pPr>
      <w:r w:rsidRPr="00A5533B">
        <w:rPr>
          <w:rFonts w:ascii="Arial" w:hAnsi="Arial" w:cs="Arial"/>
          <w:color w:val="000000"/>
        </w:rPr>
        <w:t>Број 003472470 2025 14810 004 003 000 001</w:t>
      </w:r>
    </w:p>
    <w:p w:rsidR="00A5533B" w:rsidRPr="00A5533B" w:rsidRDefault="00A5533B" w:rsidP="00357408">
      <w:pPr>
        <w:widowControl/>
        <w:autoSpaceDE/>
        <w:autoSpaceDN/>
        <w:spacing w:before="0" w:after="150"/>
        <w:ind w:firstLine="480"/>
        <w:jc w:val="right"/>
        <w:rPr>
          <w:rFonts w:ascii="Arial" w:hAnsi="Arial" w:cs="Arial"/>
          <w:color w:val="000000"/>
        </w:rPr>
      </w:pPr>
      <w:proofErr w:type="gramStart"/>
      <w:r w:rsidRPr="00A5533B">
        <w:rPr>
          <w:rFonts w:ascii="Arial" w:hAnsi="Arial" w:cs="Arial"/>
          <w:color w:val="000000"/>
        </w:rPr>
        <w:t>У Београду, 7.</w:t>
      </w:r>
      <w:proofErr w:type="gramEnd"/>
      <w:r w:rsidRPr="00A5533B">
        <w:rPr>
          <w:rFonts w:ascii="Arial" w:hAnsi="Arial" w:cs="Arial"/>
          <w:color w:val="000000"/>
        </w:rPr>
        <w:t xml:space="preserve"> </w:t>
      </w:r>
      <w:proofErr w:type="gramStart"/>
      <w:r w:rsidRPr="00A5533B">
        <w:rPr>
          <w:rFonts w:ascii="Arial" w:hAnsi="Arial" w:cs="Arial"/>
          <w:color w:val="000000"/>
        </w:rPr>
        <w:t>новембра</w:t>
      </w:r>
      <w:proofErr w:type="gramEnd"/>
      <w:r w:rsidRPr="00A5533B">
        <w:rPr>
          <w:rFonts w:ascii="Arial" w:hAnsi="Arial" w:cs="Arial"/>
          <w:color w:val="000000"/>
        </w:rPr>
        <w:t xml:space="preserve"> 2025. </w:t>
      </w:r>
      <w:proofErr w:type="gramStart"/>
      <w:r w:rsidRPr="00A5533B">
        <w:rPr>
          <w:rFonts w:ascii="Arial" w:hAnsi="Arial" w:cs="Arial"/>
          <w:color w:val="000000"/>
        </w:rPr>
        <w:t>године</w:t>
      </w:r>
      <w:proofErr w:type="gramEnd"/>
    </w:p>
    <w:p w:rsidR="00A5533B" w:rsidRPr="00A5533B" w:rsidRDefault="00A5533B" w:rsidP="00357408">
      <w:pPr>
        <w:widowControl/>
        <w:autoSpaceDE/>
        <w:autoSpaceDN/>
        <w:spacing w:before="0" w:after="150"/>
        <w:ind w:firstLine="480"/>
        <w:jc w:val="right"/>
        <w:rPr>
          <w:rFonts w:ascii="Arial" w:hAnsi="Arial" w:cs="Arial"/>
          <w:color w:val="000000"/>
        </w:rPr>
      </w:pPr>
      <w:r w:rsidRPr="00A5533B">
        <w:rPr>
          <w:rFonts w:ascii="Arial" w:hAnsi="Arial" w:cs="Arial"/>
          <w:color w:val="000000"/>
        </w:rPr>
        <w:t>Министар,</w:t>
      </w:r>
    </w:p>
    <w:p w:rsidR="00A5533B" w:rsidRPr="00A5533B" w:rsidRDefault="00A5533B" w:rsidP="00357408">
      <w:pPr>
        <w:widowControl/>
        <w:autoSpaceDE/>
        <w:autoSpaceDN/>
        <w:spacing w:before="0" w:after="0"/>
        <w:ind w:firstLine="480"/>
        <w:jc w:val="right"/>
        <w:rPr>
          <w:rFonts w:ascii="Arial" w:hAnsi="Arial" w:cs="Arial"/>
          <w:color w:val="000000"/>
        </w:rPr>
      </w:pPr>
      <w:proofErr w:type="gramStart"/>
      <w:r w:rsidRPr="00A5533B">
        <w:rPr>
          <w:rFonts w:ascii="Arial" w:hAnsi="Arial" w:cs="Arial"/>
          <w:b/>
          <w:bCs/>
          <w:color w:val="000000"/>
        </w:rPr>
        <w:t>Александра Софронијевић, </w:t>
      </w:r>
      <w:r w:rsidRPr="00A5533B">
        <w:rPr>
          <w:rFonts w:ascii="Arial" w:hAnsi="Arial" w:cs="Arial"/>
          <w:color w:val="000000"/>
        </w:rPr>
        <w:t>с.р.</w:t>
      </w:r>
      <w:proofErr w:type="gramEnd"/>
    </w:p>
    <w:p w:rsidR="00A5533B" w:rsidRPr="00A5533B" w:rsidRDefault="00A5533B" w:rsidP="00357408">
      <w:pPr>
        <w:spacing w:line="210" w:lineRule="atLeast"/>
        <w:rPr>
          <w:rFonts w:ascii="Arial" w:hAnsi="Arial" w:cs="Arial"/>
          <w:bCs/>
          <w:color w:val="000000"/>
        </w:rPr>
      </w:pPr>
    </w:p>
    <w:sectPr w:rsidR="00A5533B" w:rsidRPr="00A5533B" w:rsidSect="00AC0B2C">
      <w:type w:val="continuous"/>
      <w:pgSz w:w="12480" w:h="15690"/>
      <w:pgMar w:top="700" w:right="567" w:bottom="568" w:left="4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8367F"/>
    <w:rsid w:val="001F7F4E"/>
    <w:rsid w:val="002B25F1"/>
    <w:rsid w:val="00357408"/>
    <w:rsid w:val="003750F5"/>
    <w:rsid w:val="003905EF"/>
    <w:rsid w:val="003B6DA6"/>
    <w:rsid w:val="003F20A9"/>
    <w:rsid w:val="003F67DB"/>
    <w:rsid w:val="00407EAF"/>
    <w:rsid w:val="00596F24"/>
    <w:rsid w:val="005E045E"/>
    <w:rsid w:val="00606F5D"/>
    <w:rsid w:val="006150AB"/>
    <w:rsid w:val="006626C5"/>
    <w:rsid w:val="0067634C"/>
    <w:rsid w:val="00715A39"/>
    <w:rsid w:val="00750E64"/>
    <w:rsid w:val="007579E6"/>
    <w:rsid w:val="00783FCA"/>
    <w:rsid w:val="007A21F2"/>
    <w:rsid w:val="007E0789"/>
    <w:rsid w:val="007E52B2"/>
    <w:rsid w:val="007F655C"/>
    <w:rsid w:val="008035DA"/>
    <w:rsid w:val="00855F57"/>
    <w:rsid w:val="0089676B"/>
    <w:rsid w:val="008A5468"/>
    <w:rsid w:val="008F43F5"/>
    <w:rsid w:val="009A1F17"/>
    <w:rsid w:val="009E17AD"/>
    <w:rsid w:val="00A303D8"/>
    <w:rsid w:val="00A3252E"/>
    <w:rsid w:val="00A5533B"/>
    <w:rsid w:val="00AB0755"/>
    <w:rsid w:val="00AC0B2C"/>
    <w:rsid w:val="00AF5B6B"/>
    <w:rsid w:val="00B003AF"/>
    <w:rsid w:val="00B26C59"/>
    <w:rsid w:val="00B34C0C"/>
    <w:rsid w:val="00B37DB8"/>
    <w:rsid w:val="00B67C96"/>
    <w:rsid w:val="00B77BDD"/>
    <w:rsid w:val="00B8211B"/>
    <w:rsid w:val="00B86859"/>
    <w:rsid w:val="00BB2E57"/>
    <w:rsid w:val="00BC5B96"/>
    <w:rsid w:val="00D23D60"/>
    <w:rsid w:val="00D35612"/>
    <w:rsid w:val="00D41C33"/>
    <w:rsid w:val="00D54DDD"/>
    <w:rsid w:val="00DF0304"/>
    <w:rsid w:val="00E621AF"/>
    <w:rsid w:val="00F01995"/>
    <w:rsid w:val="00F16E29"/>
    <w:rsid w:val="00F578C4"/>
    <w:rsid w:val="00F65DDB"/>
    <w:rsid w:val="00F83656"/>
    <w:rsid w:val="00F943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F62E-F21E-494C-BB4C-E2C981AD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6</cp:revision>
  <dcterms:created xsi:type="dcterms:W3CDTF">2025-11-24T08:20:00Z</dcterms:created>
  <dcterms:modified xsi:type="dcterms:W3CDTF">2025-11-24T08:22:00Z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