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9564"/>
      </w:tblGrid>
      <w:tr w:rsidR="00932A9A" w:rsidRPr="00424E7B" w:rsidTr="005D6D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424E7B" w:rsidRDefault="004E34F3" w:rsidP="00692ADB">
            <w:pPr>
              <w:pStyle w:val="NASLOVZLATO"/>
              <w:spacing w:after="120"/>
            </w:pPr>
            <w:r>
              <w:rPr>
                <w:lang w:val="en-US" w:eastAsia="en-US"/>
              </w:rPr>
              <w:drawing>
                <wp:inline distT="0" distB="0" distL="0" distR="0">
                  <wp:extent cx="523875" cy="561975"/>
                  <wp:effectExtent l="0" t="0" r="9525" b="9525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791F69" w:rsidRPr="00791F69" w:rsidRDefault="00791F69" w:rsidP="00791F69">
            <w:pPr>
              <w:pStyle w:val="NASLOVBELO"/>
              <w:spacing w:after="0"/>
              <w:contextualSpacing/>
              <w:rPr>
                <w:color w:val="FFE599"/>
                <w:lang w:val="sr-Cyrl-RS"/>
              </w:rPr>
            </w:pPr>
            <w:r>
              <w:rPr>
                <w:color w:val="FFE599"/>
              </w:rPr>
              <w:t>МЕТОДОЛОГИЈ</w:t>
            </w:r>
            <w:r w:rsidR="00B86BFF" w:rsidRPr="00424E7B">
              <w:rPr>
                <w:color w:val="FFE599"/>
              </w:rPr>
              <w:t>А</w:t>
            </w:r>
          </w:p>
          <w:p w:rsidR="00932A9A" w:rsidRPr="00424E7B" w:rsidRDefault="00791F69" w:rsidP="00791F69">
            <w:pPr>
              <w:pStyle w:val="NASLOVBELO"/>
              <w:spacing w:after="0"/>
            </w:pPr>
            <w:r>
              <w:t>ЗА ИСПОРУКЕ ПОДАТАКА У ЕЛЕКТРОНСКОЈ ФОРМИ ПО ПОСЕБНОМ ЗАХТЕВУ КОРИСНИКА</w:t>
            </w:r>
            <w:bookmarkStart w:id="0" w:name="_GoBack"/>
            <w:bookmarkEnd w:id="0"/>
          </w:p>
          <w:p w:rsidR="00932A9A" w:rsidRPr="00424E7B" w:rsidRDefault="00520BC5" w:rsidP="00791F69">
            <w:pPr>
              <w:pStyle w:val="podnaslovpropisa"/>
              <w:spacing w:after="0" w:afterAutospacing="0"/>
            </w:pPr>
            <w:r w:rsidRPr="00424E7B">
              <w:t xml:space="preserve">("Сл. гласник РС", бр. </w:t>
            </w:r>
            <w:r w:rsidR="00E83EBA" w:rsidRPr="00424E7B">
              <w:t>10</w:t>
            </w:r>
            <w:r w:rsidR="00791F69">
              <w:rPr>
                <w:lang w:val="sr-Cyrl-RS"/>
              </w:rPr>
              <w:t>7</w:t>
            </w:r>
            <w:r w:rsidR="00E83EBA" w:rsidRPr="00424E7B">
              <w:t>/2024</w:t>
            </w:r>
            <w:r w:rsidRPr="00424E7B">
              <w:t>)</w:t>
            </w:r>
          </w:p>
        </w:tc>
      </w:tr>
    </w:tbl>
    <w:p w:rsidR="00424E7B" w:rsidRDefault="00424E7B" w:rsidP="00791F69">
      <w:pPr>
        <w:ind w:left="625"/>
        <w:jc w:val="center"/>
        <w:rPr>
          <w:rFonts w:ascii="Arial" w:hAnsi="Arial" w:cs="Arial"/>
          <w:sz w:val="20"/>
          <w:lang w:val="sr-Cyrl-RS"/>
        </w:rPr>
      </w:pPr>
      <w:bookmarkStart w:id="1" w:name="str_1"/>
      <w:bookmarkEnd w:id="1"/>
    </w:p>
    <w:p w:rsidR="00791F69" w:rsidRPr="00791F69" w:rsidRDefault="00791F69" w:rsidP="00791F69">
      <w:pPr>
        <w:spacing w:before="0" w:after="150"/>
        <w:ind w:firstLine="480"/>
        <w:jc w:val="right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Прилог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1</w:t>
      </w:r>
    </w:p>
    <w:p w:rsidR="00791F69" w:rsidRPr="00791F69" w:rsidRDefault="00791F69" w:rsidP="00791F69">
      <w:pPr>
        <w:spacing w:before="330"/>
        <w:ind w:firstLine="480"/>
        <w:jc w:val="center"/>
        <w:rPr>
          <w:rFonts w:ascii="Verdana" w:eastAsia="Times New Roman" w:hAnsi="Verdana"/>
          <w:b/>
          <w:bCs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Методологије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испоруке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у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електронској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форми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по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посебном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захтеву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корисника</w:t>
      </w:r>
      <w:proofErr w:type="spellEnd"/>
    </w:p>
    <w:p w:rsidR="00791F69" w:rsidRPr="00791F69" w:rsidRDefault="00791F69" w:rsidP="00791F69">
      <w:pPr>
        <w:spacing w:before="330"/>
        <w:ind w:firstLine="480"/>
        <w:jc w:val="center"/>
        <w:rPr>
          <w:rFonts w:ascii="Verdana" w:eastAsia="Times New Roman" w:hAnsi="Verdana"/>
          <w:b/>
          <w:bCs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Регистар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привредних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субјеката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‒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привредна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друштва</w:t>
      </w:r>
      <w:proofErr w:type="spell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2756"/>
        <w:gridCol w:w="3892"/>
      </w:tblGrid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пoдaтaкa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Oснoвни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(СП1)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Проширени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оснoвни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(СП2)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Maтични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брoj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Стaтус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Скрaћeнo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Нaзив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Дaтум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oснивaњa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Датум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брисања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Услoви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крaja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рaдa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Прaвнa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фoрмa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jeзику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Скрaћeнo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jeзику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Прeтeжнa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дeлaтнoст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ПИБ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Oснoвни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кaпитaл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друштвa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кaпитaлу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друштвa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Рaзврстaвaњe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прeмa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вeличини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прaвнoг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лицa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15,00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20,00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Напомене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(СП1)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;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у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комбинацији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пакетима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(СП3, СП4, СП5, СП6);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2066"/>
        <w:gridCol w:w="2066"/>
        <w:gridCol w:w="2066"/>
        <w:gridCol w:w="2063"/>
      </w:tblGrid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пoдaтaкa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3 (СП3)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4 (СП4)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5 (СП5)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lastRenderedPageBreak/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6 (СП6)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lastRenderedPageBreak/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мeсту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Aдрeсни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Aдрeсни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приjeм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пoштe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Адреса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пријем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електронске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поште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Зaкoнски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зaступници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Oстaли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зaступници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Oдбoр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дирeктoрa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Нaдзoрни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oдбoр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Извршни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одбор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Прoкуристи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Групнa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прoкурa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Упрaвни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oдбoр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Oбaвeзa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oвeрe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oснивaчкoг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aктa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Рeгистрaциja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стaтутa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друштвa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Рeгистрaциja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oснивaчкoг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aктa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Члaнoви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oснивaчи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Зaступници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сувлaсничкoг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удeлa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удeлу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сувлaсништву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члaнa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Укупaн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кaпитaл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сувлaсничкoг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удeлa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Кaпитaл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сувлaсничкoг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удeлa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Oгрaнци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Зaступници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oгрaнaкa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Прoкуристи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oгрaнaкa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Зaбeлeжбe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Oглaси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lastRenderedPageBreak/>
        <w:t>Напоменe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(СП3, СП4, СП5, СП6)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уз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(СП2).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обавезно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садржи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један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/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више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додатних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(СП3, СП4, СП5, СП6)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избору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корисника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,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односно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било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коју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комбинацију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/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сва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четири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.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комбиновани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утврђује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сабирањем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СП2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одабране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може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износити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најмање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25</w:t>
      </w:r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,00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динара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,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односно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највише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40,00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динара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регистрованом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субјекту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.</w:t>
      </w:r>
    </w:p>
    <w:p w:rsidR="00791F69" w:rsidRPr="00791F69" w:rsidRDefault="00791F69" w:rsidP="00791F69">
      <w:pPr>
        <w:spacing w:before="330"/>
        <w:ind w:firstLine="480"/>
        <w:jc w:val="center"/>
        <w:rPr>
          <w:rFonts w:ascii="Verdana" w:eastAsia="Times New Roman" w:hAnsi="Verdana"/>
          <w:b/>
          <w:bCs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Регистар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привредних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субјеката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‒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предузетници</w:t>
      </w:r>
      <w:proofErr w:type="spell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Напомене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(СП1)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;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у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комбинацији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сетовима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(СП3, СП4, СП5, СП6).</w:t>
      </w:r>
      <w:proofErr w:type="gram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2756"/>
        <w:gridCol w:w="3892"/>
      </w:tblGrid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пoдaтaкa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Oснoвни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(СП1)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Проширени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оснoвни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(СП2)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Maтични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брoj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Статус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Скрaћeнo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Дaтум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oснивaњa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Датум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брисања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jeзику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Скрaћeнo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jeзику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Прeтeжнa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дeлaтнoст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ПИБ</w:t>
            </w: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Рaзврстaвaњe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прeмa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вeличини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прaвнoг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лицa</w:t>
            </w:r>
            <w:proofErr w:type="spellEnd"/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15,00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20,00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0"/>
        <w:rPr>
          <w:rFonts w:eastAsia="Times New Roman"/>
          <w:noProof w:val="0"/>
          <w:vanish/>
          <w:sz w:val="24"/>
          <w:szCs w:val="24"/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2066"/>
        <w:gridCol w:w="2066"/>
        <w:gridCol w:w="2066"/>
        <w:gridCol w:w="2063"/>
      </w:tblGrid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пoдaтaкa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3 (СП3)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4 (СП4)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5 (СП5)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6 (СП6)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мeсту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Aдрeсни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сeдишту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Aдрeсни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приjeм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пoштe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Адреса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пријем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електронске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поште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oснивaчу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lastRenderedPageBreak/>
              <w:t>Зaступници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Прoкуристи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Зajeдничкa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прoкурa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Oблик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oргaнизoвaњa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Нaзив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Услoви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крaja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рaдa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Приврeмeни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прeстaнaк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Издвojeнe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лoкaциje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Зaбeлeжбe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Напоменe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(СП3, СП4, СП5, СП6)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уз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(СП2).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обавезно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садржи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један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/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више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додатних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(СП3, СП4, СП5, СП6)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избору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корисника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,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односно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било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коју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комбинацију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/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сва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четири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.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комбиновани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утврђује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сабирањем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СП2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одабране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може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износити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најмање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25</w:t>
      </w:r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,00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динара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,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односно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највише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40,00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динара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регистрованом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субјекту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.</w:t>
      </w:r>
    </w:p>
    <w:p w:rsidR="00791F69" w:rsidRPr="00791F69" w:rsidRDefault="00791F69" w:rsidP="00791F69">
      <w:pPr>
        <w:spacing w:before="330" w:after="0"/>
        <w:ind w:firstLine="480"/>
        <w:jc w:val="center"/>
        <w:rPr>
          <w:rFonts w:ascii="Verdana" w:eastAsia="Times New Roman" w:hAnsi="Verdana"/>
          <w:b/>
          <w:bCs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Регистар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удружења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и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Регистар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страних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br/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удружења</w:t>
      </w:r>
      <w:proofErr w:type="spell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8"/>
        <w:gridCol w:w="2000"/>
        <w:gridCol w:w="3622"/>
      </w:tblGrid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пoдaтaкa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Oснoвни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</w:p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(СП1)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Проширени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оснoвни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(СП2)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Maтични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брoj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Статус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Нaзив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Скрaћeни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нaзив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Дaтум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oснивaњa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Датум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брисања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Врeмe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трajaњa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и/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или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jeзику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нaциoнaлних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мaњинa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ПИБ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Дeлaтнoст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удружeњa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Приврeднa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дeлaтнoст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Oблaст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oствaривaњa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циљeвa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Рaзврстaвaњe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прeмa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вeличини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прaвнoг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лицa</w:t>
            </w:r>
            <w:proofErr w:type="spellEnd"/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15,00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25,00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lastRenderedPageBreak/>
        <w:t>Напомене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(СП1)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;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у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комбинацији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(СП3).</w:t>
      </w:r>
      <w:proofErr w:type="gram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3"/>
        <w:gridCol w:w="4537"/>
      </w:tblGrid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пoдaтaкa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3 (СП3)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мeсту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Aдрeсни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Дaтум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дoнoшeњa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стaтутa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Дaтум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измeна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допуна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стaтутa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члaнству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у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савезима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зaступницимa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oснивaчу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удружeњa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Oгрaнaк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прeдстaвништвa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удружeњa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Забелешке</w:t>
            </w:r>
            <w:proofErr w:type="spellEnd"/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2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15,00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Напоменe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3 (СП3)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уз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(СП2).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Комбиновани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обавезно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садржи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СП2 и СП3.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комбиновани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утврђује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сабирањем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СП2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СП3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износи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40</w:t>
      </w:r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,00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динара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регистрованом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субјекту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.</w:t>
      </w:r>
    </w:p>
    <w:p w:rsidR="00791F69" w:rsidRPr="00791F69" w:rsidRDefault="00791F69" w:rsidP="00791F69">
      <w:pPr>
        <w:spacing w:before="330"/>
        <w:ind w:firstLine="480"/>
        <w:jc w:val="center"/>
        <w:rPr>
          <w:rFonts w:ascii="Verdana" w:eastAsia="Times New Roman" w:hAnsi="Verdana"/>
          <w:b/>
          <w:bCs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Регистар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задужбина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и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фондација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и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Регистар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представништава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страних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задужбина</w:t>
      </w:r>
      <w:proofErr w:type="spellEnd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 xml:space="preserve"> и </w:t>
      </w:r>
      <w:proofErr w:type="spellStart"/>
      <w:r w:rsidRPr="00791F69">
        <w:rPr>
          <w:rFonts w:ascii="Verdana" w:eastAsia="Times New Roman" w:hAnsi="Verdana"/>
          <w:b/>
          <w:bCs/>
          <w:noProof w:val="0"/>
          <w:color w:val="333333"/>
          <w:lang w:val="en-US"/>
        </w:rPr>
        <w:t>фондација</w:t>
      </w:r>
      <w:proofErr w:type="spell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сетови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2435"/>
        <w:gridCol w:w="3436"/>
      </w:tblGrid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пoдaтaкa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Oснoвни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(СП1)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Проширени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оснoвни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(СП2)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Maтични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брoj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Статус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Назив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Скрaћeни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нaзив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Датум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оснивања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Датум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брисања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Врeмe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трajaњa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Пoслoвнo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стрaнoм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и/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или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jeзику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нaциoнaлних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мaњинa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ПИБ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Oблик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oргaнизoвaњa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Дeлaтнoст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фoндaциje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зaдужбинe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Приврeднa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дeлaтнoст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lastRenderedPageBreak/>
              <w:t>Рaзврстaвaњe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прeмa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вeличини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прaвнoг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лицa</w:t>
            </w:r>
            <w:proofErr w:type="spellEnd"/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2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15,00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25,00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Напомене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(СП1)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;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(СП2)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самостално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или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у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комбинацији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сетом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(СП3).</w:t>
      </w:r>
      <w:proofErr w:type="gramEnd"/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7"/>
        <w:gridCol w:w="3233"/>
      </w:tblGrid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Нaзив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групe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пoдaтaкa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Додатни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сет</w:t>
            </w:r>
            <w:proofErr w:type="spellEnd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података</w:t>
            </w:r>
            <w:proofErr w:type="spellEnd"/>
          </w:p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3 (СП3)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мeсту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сeдиштa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Aдрeсни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сeдишта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Дaтум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дoнoшeњa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стaтутa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Дaтум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измeна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допуна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стaтутa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oснивaчима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–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листа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,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тип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sym w:font="Wingdings" w:char="F0FC"/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зaступницимa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–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листа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,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функција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Подаци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о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управном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одбору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–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председник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,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чланови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Подаци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о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оснивaчу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зaдужбинe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фoндaциje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Пoдaци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o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oснoвнoj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имoвини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Oгрaнци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прeдстaвништвa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стрaнe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 xml:space="preserve"> 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фoндaциje</w:t>
            </w:r>
            <w:proofErr w:type="spellEnd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/</w:t>
            </w: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зaдужбине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15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proofErr w:type="spellStart"/>
            <w:r w:rsidRPr="00791F69">
              <w:rPr>
                <w:rFonts w:ascii="Verdana" w:eastAsia="Times New Roman" w:hAnsi="Verdana"/>
                <w:noProof w:val="0"/>
                <w:color w:val="333333"/>
                <w:lang w:val="en-US"/>
              </w:rPr>
              <w:t>Забелешке</w:t>
            </w:r>
            <w:proofErr w:type="spellEnd"/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Wingdings" w:eastAsia="Times New Roman" w:hAnsi="Wingdings"/>
                <w:noProof w:val="0"/>
                <w:color w:val="333333"/>
                <w:lang w:val="en-US"/>
              </w:rPr>
              <w:t></w:t>
            </w:r>
          </w:p>
        </w:tc>
      </w:tr>
      <w:tr w:rsidR="00791F69" w:rsidRPr="00791F69" w:rsidTr="00F95989">
        <w:tc>
          <w:tcPr>
            <w:tcW w:w="3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Helvetica" w:eastAsia="Times New Roman" w:hAnsi="Helvetica"/>
                <w:noProof w:val="0"/>
                <w:color w:val="333333"/>
                <w:lang w:val="en-US"/>
              </w:rPr>
            </w:pP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791F69" w:rsidRPr="00791F69" w:rsidRDefault="00791F69" w:rsidP="00791F69">
            <w:pPr>
              <w:spacing w:before="0" w:after="0"/>
              <w:rPr>
                <w:rFonts w:ascii="Verdana" w:eastAsia="Times New Roman" w:hAnsi="Verdana"/>
                <w:noProof w:val="0"/>
                <w:color w:val="333333"/>
                <w:lang w:val="en-US"/>
              </w:rPr>
            </w:pPr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 xml:space="preserve">15,00 </w:t>
            </w:r>
            <w:proofErr w:type="spellStart"/>
            <w:r w:rsidRPr="00791F69">
              <w:rPr>
                <w:rFonts w:ascii="Verdana" w:eastAsia="Times New Roman" w:hAnsi="Verdana"/>
                <w:b/>
                <w:bCs/>
                <w:noProof w:val="0"/>
                <w:color w:val="333333"/>
                <w:lang w:val="en-US"/>
              </w:rPr>
              <w:t>динара</w:t>
            </w:r>
            <w:proofErr w:type="spellEnd"/>
          </w:p>
        </w:tc>
      </w:tr>
    </w:tbl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Напомене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: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Додатни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3 (СП3)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наручује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искључиво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уз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Проширени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основни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СП2).</w:t>
      </w:r>
    </w:p>
    <w:p w:rsidR="00791F69" w:rsidRPr="00791F69" w:rsidRDefault="00791F69" w:rsidP="00791F69">
      <w:pPr>
        <w:spacing w:before="0" w:after="150"/>
        <w:ind w:firstLine="480"/>
        <w:rPr>
          <w:rFonts w:ascii="Verdana" w:eastAsia="Times New Roman" w:hAnsi="Verdana"/>
          <w:noProof w:val="0"/>
          <w:color w:val="333333"/>
          <w:lang w:val="en-US"/>
        </w:rPr>
      </w:pPr>
      <w:proofErr w:type="spellStart"/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Комбиновани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обавезно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садржи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СП2 и СП3.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комбиновани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сет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података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утврђује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сабирањем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СП2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накнаде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за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СП3 и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износи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40</w:t>
      </w:r>
      <w:proofErr w:type="gramStart"/>
      <w:r w:rsidRPr="00791F69">
        <w:rPr>
          <w:rFonts w:ascii="Verdana" w:eastAsia="Times New Roman" w:hAnsi="Verdana"/>
          <w:noProof w:val="0"/>
          <w:color w:val="333333"/>
          <w:lang w:val="en-US"/>
        </w:rPr>
        <w:t>,00</w:t>
      </w:r>
      <w:proofErr w:type="gram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динара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по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регистрованом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 xml:space="preserve"> </w:t>
      </w:r>
      <w:proofErr w:type="spellStart"/>
      <w:r w:rsidRPr="00791F69">
        <w:rPr>
          <w:rFonts w:ascii="Verdana" w:eastAsia="Times New Roman" w:hAnsi="Verdana"/>
          <w:noProof w:val="0"/>
          <w:color w:val="333333"/>
          <w:lang w:val="en-US"/>
        </w:rPr>
        <w:t>субјекту</w:t>
      </w:r>
      <w:proofErr w:type="spellEnd"/>
      <w:r w:rsidRPr="00791F69">
        <w:rPr>
          <w:rFonts w:ascii="Verdana" w:eastAsia="Times New Roman" w:hAnsi="Verdana"/>
          <w:noProof w:val="0"/>
          <w:color w:val="333333"/>
          <w:lang w:val="en-US"/>
        </w:rPr>
        <w:t>.</w:t>
      </w:r>
    </w:p>
    <w:p w:rsidR="00791F69" w:rsidRPr="00791F69" w:rsidRDefault="00791F69" w:rsidP="00692ADB">
      <w:pPr>
        <w:ind w:left="625"/>
        <w:jc w:val="center"/>
        <w:rPr>
          <w:rFonts w:ascii="Arial" w:hAnsi="Arial" w:cs="Arial"/>
          <w:sz w:val="20"/>
          <w:lang w:val="sr-Cyrl-RS"/>
        </w:rPr>
      </w:pPr>
    </w:p>
    <w:sectPr w:rsidR="00791F69" w:rsidRPr="00791F69" w:rsidSect="00692ADB">
      <w:footerReference w:type="default" r:id="rId9"/>
      <w:type w:val="continuous"/>
      <w:pgSz w:w="11400" w:h="15400"/>
      <w:pgMar w:top="284" w:right="5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E3" w:rsidRDefault="00343BE3" w:rsidP="00517A41">
      <w:r>
        <w:separator/>
      </w:r>
    </w:p>
  </w:endnote>
  <w:endnote w:type="continuationSeparator" w:id="0">
    <w:p w:rsidR="00343BE3" w:rsidRDefault="00343BE3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9A" w:rsidRPr="00932A9A" w:rsidRDefault="00932A9A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CE5A68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0831BD" w:rsidRDefault="00083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E3" w:rsidRDefault="00343BE3" w:rsidP="00517A41">
      <w:r>
        <w:separator/>
      </w:r>
    </w:p>
  </w:footnote>
  <w:footnote w:type="continuationSeparator" w:id="0">
    <w:p w:rsidR="00343BE3" w:rsidRDefault="00343BE3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037DC"/>
    <w:rsid w:val="000540A1"/>
    <w:rsid w:val="00075FC2"/>
    <w:rsid w:val="000831BD"/>
    <w:rsid w:val="00186C6C"/>
    <w:rsid w:val="00192081"/>
    <w:rsid w:val="001C11FA"/>
    <w:rsid w:val="00251BA3"/>
    <w:rsid w:val="00313427"/>
    <w:rsid w:val="00343BE3"/>
    <w:rsid w:val="003960C1"/>
    <w:rsid w:val="003B4F49"/>
    <w:rsid w:val="003C4BB6"/>
    <w:rsid w:val="003D018B"/>
    <w:rsid w:val="00424E7B"/>
    <w:rsid w:val="0044547E"/>
    <w:rsid w:val="004E34F3"/>
    <w:rsid w:val="004F4265"/>
    <w:rsid w:val="005029F7"/>
    <w:rsid w:val="00517A41"/>
    <w:rsid w:val="00520BC5"/>
    <w:rsid w:val="00573CE5"/>
    <w:rsid w:val="00596ED1"/>
    <w:rsid w:val="005D6DF1"/>
    <w:rsid w:val="005F6DF4"/>
    <w:rsid w:val="00606197"/>
    <w:rsid w:val="00607950"/>
    <w:rsid w:val="00643E74"/>
    <w:rsid w:val="00672FD2"/>
    <w:rsid w:val="00692ADB"/>
    <w:rsid w:val="006C26FD"/>
    <w:rsid w:val="00791F69"/>
    <w:rsid w:val="00905917"/>
    <w:rsid w:val="00932A9A"/>
    <w:rsid w:val="00944E3C"/>
    <w:rsid w:val="00A31AF5"/>
    <w:rsid w:val="00A43155"/>
    <w:rsid w:val="00AB01F0"/>
    <w:rsid w:val="00AC7D86"/>
    <w:rsid w:val="00B86BFF"/>
    <w:rsid w:val="00C40AD5"/>
    <w:rsid w:val="00CE5A68"/>
    <w:rsid w:val="00D70371"/>
    <w:rsid w:val="00E25874"/>
    <w:rsid w:val="00E83EBA"/>
    <w:rsid w:val="00F537C9"/>
    <w:rsid w:val="00F95989"/>
    <w:rsid w:val="00FA6A61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d6f9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4E7B"/>
    <w:pPr>
      <w:spacing w:before="120" w:after="120"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4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3"/>
    <w:rPr>
      <w:rFonts w:ascii="Tahoma" w:hAnsi="Tahoma" w:cs="Tahoma"/>
      <w:noProof/>
      <w:sz w:val="16"/>
      <w:szCs w:val="16"/>
      <w:lang w:eastAsia="en-US"/>
    </w:rPr>
  </w:style>
  <w:style w:type="paragraph" w:customStyle="1" w:styleId="potpis">
    <w:name w:val="potpis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bold">
    <w:name w:val="bold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basic-paragraph">
    <w:name w:val="basic-paragraph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tabela">
    <w:name w:val="tabela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character" w:customStyle="1" w:styleId="bold1">
    <w:name w:val="bold1"/>
    <w:basedOn w:val="DefaultParagraphFont"/>
    <w:rsid w:val="00791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4E7B"/>
    <w:pPr>
      <w:spacing w:before="120" w:after="120"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4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3"/>
    <w:rPr>
      <w:rFonts w:ascii="Tahoma" w:hAnsi="Tahoma" w:cs="Tahoma"/>
      <w:noProof/>
      <w:sz w:val="16"/>
      <w:szCs w:val="16"/>
      <w:lang w:eastAsia="en-US"/>
    </w:rPr>
  </w:style>
  <w:style w:type="paragraph" w:customStyle="1" w:styleId="potpis">
    <w:name w:val="potpis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bold">
    <w:name w:val="bold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basic-paragraph">
    <w:name w:val="basic-paragraph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tabela">
    <w:name w:val="tabela"/>
    <w:basedOn w:val="Normal"/>
    <w:rsid w:val="00791F69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character" w:customStyle="1" w:styleId="bold1">
    <w:name w:val="bold1"/>
    <w:basedOn w:val="DefaultParagraphFont"/>
    <w:rsid w:val="0079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2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5</cp:revision>
  <dcterms:created xsi:type="dcterms:W3CDTF">2024-12-31T09:08:00Z</dcterms:created>
  <dcterms:modified xsi:type="dcterms:W3CDTF">2024-12-31T09:42:00Z</dcterms:modified>
</cp:coreProperties>
</file>