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0B7E24" w:rsidTr="00801FF1">
        <w:trPr>
          <w:tblCellSpacing w:w="15" w:type="dxa"/>
        </w:trPr>
        <w:tc>
          <w:tcPr>
            <w:tcW w:w="476" w:type="pct"/>
            <w:shd w:val="clear" w:color="auto" w:fill="A41E1C"/>
            <w:vAlign w:val="center"/>
          </w:tcPr>
          <w:p w:rsidR="00932A9A" w:rsidRPr="000B7E24" w:rsidRDefault="00E72AD7" w:rsidP="00D70371">
            <w:pPr>
              <w:pStyle w:val="NASLOVZLATO"/>
              <w:rPr>
                <w:sz w:val="18"/>
                <w:szCs w:val="18"/>
              </w:rPr>
            </w:pPr>
            <w:r w:rsidRPr="000B7E24">
              <w:rPr>
                <w:sz w:val="18"/>
                <w:szCs w:val="18"/>
              </w:rPr>
              <w:drawing>
                <wp:inline distT="0" distB="0" distL="0" distR="0" wp14:anchorId="79C430CB" wp14:editId="7690C6D1">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6E10C5" w:rsidRPr="000B7E24" w:rsidRDefault="00C56CC9" w:rsidP="00717B5A">
            <w:pPr>
              <w:pStyle w:val="NASLOVBELO"/>
              <w:spacing w:line="360" w:lineRule="auto"/>
              <w:rPr>
                <w:color w:val="FFE599"/>
                <w:sz w:val="20"/>
                <w:szCs w:val="18"/>
                <w:lang w:val="sr-Cyrl-RS"/>
              </w:rPr>
            </w:pPr>
            <w:r w:rsidRPr="000B7E24">
              <w:rPr>
                <w:color w:val="FFE599"/>
                <w:sz w:val="20"/>
                <w:szCs w:val="18"/>
                <w:lang w:val="sr-Cyrl-RS"/>
              </w:rPr>
              <w:t>ПРАВИЛНИК</w:t>
            </w:r>
          </w:p>
          <w:p w:rsidR="00932A9A" w:rsidRPr="000B7E24" w:rsidRDefault="00C56CC9" w:rsidP="00C56CC9">
            <w:pPr>
              <w:jc w:val="center"/>
              <w:rPr>
                <w:rFonts w:ascii="Arial" w:eastAsia="Times New Roman" w:hAnsi="Arial" w:cs="Arial"/>
                <w:b/>
                <w:bCs/>
                <w:color w:val="FFFFFF"/>
                <w:kern w:val="28"/>
                <w:sz w:val="20"/>
                <w:lang w:eastAsia="sr-Latn-RS"/>
              </w:rPr>
            </w:pPr>
            <w:r w:rsidRPr="000B7E24">
              <w:rPr>
                <w:rFonts w:ascii="Arial" w:eastAsia="Times New Roman" w:hAnsi="Arial" w:cs="Arial"/>
                <w:b/>
                <w:bCs/>
                <w:color w:val="FFFFFF"/>
                <w:kern w:val="28"/>
                <w:sz w:val="20"/>
                <w:lang w:eastAsia="sr-Latn-RS"/>
              </w:rPr>
              <w:t>О МОНИТОРИНГУ И ИЗВЕШТАВАЊУ О ЕМИСИЈАМА ГАСОВА СА ЕФЕКТОМ СТАКЛEНЕ БАШТЕ</w:t>
            </w:r>
          </w:p>
          <w:p w:rsidR="00932A9A" w:rsidRPr="000B7E24" w:rsidRDefault="006E10C5" w:rsidP="00717B5A">
            <w:pPr>
              <w:pStyle w:val="podnaslovpropisa"/>
              <w:rPr>
                <w:sz w:val="18"/>
                <w:szCs w:val="18"/>
              </w:rPr>
            </w:pPr>
            <w:r w:rsidRPr="000B7E24">
              <w:rPr>
                <w:sz w:val="18"/>
                <w:szCs w:val="18"/>
              </w:rPr>
              <w:t xml:space="preserve">("Сл. гласник РС", бр. </w:t>
            </w:r>
            <w:r w:rsidR="003678AF" w:rsidRPr="000B7E24">
              <w:rPr>
                <w:sz w:val="18"/>
                <w:szCs w:val="18"/>
              </w:rPr>
              <w:t>1</w:t>
            </w:r>
            <w:r w:rsidR="00717B5A" w:rsidRPr="000B7E24">
              <w:rPr>
                <w:sz w:val="18"/>
                <w:szCs w:val="18"/>
              </w:rPr>
              <w:t>18</w:t>
            </w:r>
            <w:r w:rsidRPr="000B7E24">
              <w:rPr>
                <w:sz w:val="18"/>
                <w:szCs w:val="18"/>
              </w:rPr>
              <w:t>/2023)</w:t>
            </w:r>
          </w:p>
        </w:tc>
      </w:tr>
    </w:tbl>
    <w:p w:rsidR="00717B5A" w:rsidRPr="000B7E24" w:rsidRDefault="00717B5A" w:rsidP="00987475">
      <w:pPr>
        <w:spacing w:after="120" w:line="276" w:lineRule="auto"/>
        <w:contextualSpacing w:val="0"/>
        <w:jc w:val="center"/>
        <w:rPr>
          <w:rFonts w:ascii="Arial" w:eastAsiaTheme="minorHAnsi" w:hAnsi="Arial" w:cs="Arial"/>
          <w:b/>
          <w:noProof w:val="0"/>
          <w:color w:val="000000"/>
          <w:sz w:val="22"/>
          <w:szCs w:val="22"/>
          <w:lang w:val="en-US"/>
        </w:rPr>
      </w:pPr>
      <w:bookmarkStart w:id="0" w:name="str_1"/>
      <w:bookmarkEnd w:id="0"/>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1.</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МИНИМАЛНИ САДРЖАЈ ПЛАНА МОНИТОРИНГА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МИНИМАЛНИ САДРЖАЈ ПЛАНА МОНИТОРИНГА ЗА ПОСТРОЈЕЊЕ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План мониторинга за постројење садржи: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 Опште информације о постројењу: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опис постројења и активности које се обављају у постројењу где се врши мониторинг, укључујући попис извора емисија GHG и токова извора где ће се вршити мониторинг за сваку активност која се одвија унутар постројења, који испуњава следеће захтеве: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опис мора бити довољан да покаже да се не појављују недостаци података, нити двоструко рачунање емисија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једноставан дијаграм извора емисија GHG, токова извора, места узорковања и мерне опреме морају се додати ако то захтева надлежни орган или ако се тиме поједностављује описивање постројења или навођење извора емисија, токова извора, мерних инструмената и свих других делова постројења релевантних за методологију мониторинга, укључујући активности тока података и контролне активности;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опис поступка управљања доделом одговорности за спровођење мониторинга и извештавање у постројењу и за управљање способностима задужених лица;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опис поступка за редовно оцењивање примерености плана мониторинга, који обухвата најмање: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проверу пописа извора емисија гасова и токова извора водећи рачуна да су обухваћени сви извори емисија гасова и токови извора и да су све релевантне измене у природи и функционисању постројења укључене у план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процену усклађености са праговима несигурности за податке о активностима и друге параметре, ако је применљиво, за примењене нивое за сваки извор емисија гасова и ток извора;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ц) процену могућих мера за побољшање примењене методологије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опис писаних поступака за активности протока података у складу са чланом 48. овог правилника, укључујући према потреби дијаграм ради веће јасноће;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опис писаних поступака за контролне активности у складу са чланом 49.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ако је примењиво, информације о одговарајућим везама са активностима које се изводе у оквиру система управљања и контроле заштите животне средине Заједнице (ЕMAS), система обухваћених стандардом SRPS ISO 14001 и осталих система управљања животном средином, укључујући информације о поступцима и контролама које се односе на мониторинг и извештавање о емисијама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број верзије плана мониторинга и датум од којег та верзија плана мониторинга важи;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 категорија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 Детаљан опис методологије на основу прорачуна, ако се примењује, a који садржи: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lastRenderedPageBreak/>
        <w:t>1. детаљан опис примењене методологије на основу прорачуна, укључујући попис свих улазних података и коришћених формула за прорачун, попис примењених нивоа за податке о активностима и све релевантне факторе прорачуна за сваки ток извора над којима ће се вршити мониторинг;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2. категоризацију токова извора на главне, мање и </w:t>
      </w:r>
      <w:r w:rsidRPr="000B7E24">
        <w:rPr>
          <w:rFonts w:ascii="Arial" w:eastAsiaTheme="minorHAnsi" w:hAnsi="Arial" w:cs="Arial"/>
          <w:i/>
          <w:noProof w:val="0"/>
          <w:color w:val="000000"/>
          <w:sz w:val="22"/>
          <w:szCs w:val="22"/>
          <w:lang w:val="en-US"/>
        </w:rPr>
        <w:t>de minimis</w:t>
      </w:r>
      <w:r w:rsidRPr="000B7E24">
        <w:rPr>
          <w:rFonts w:ascii="Arial" w:eastAsiaTheme="minorHAnsi" w:hAnsi="Arial" w:cs="Arial"/>
          <w:noProof w:val="0"/>
          <w:color w:val="000000"/>
          <w:sz w:val="22"/>
          <w:szCs w:val="22"/>
          <w:lang w:val="en-US"/>
        </w:rPr>
        <w:t xml:space="preserve"> токове извора ако је применљиво и ако оператер намерава да користи поједностављења за мање и </w:t>
      </w:r>
      <w:r w:rsidRPr="000B7E24">
        <w:rPr>
          <w:rFonts w:ascii="Arial" w:eastAsiaTheme="minorHAnsi" w:hAnsi="Arial" w:cs="Arial"/>
          <w:i/>
          <w:noProof w:val="0"/>
          <w:color w:val="000000"/>
          <w:sz w:val="22"/>
          <w:szCs w:val="22"/>
          <w:lang w:val="en-US"/>
        </w:rPr>
        <w:t>de minimis</w:t>
      </w:r>
      <w:r w:rsidRPr="000B7E24">
        <w:rPr>
          <w:rFonts w:ascii="Arial" w:eastAsiaTheme="minorHAnsi" w:hAnsi="Arial" w:cs="Arial"/>
          <w:noProof w:val="0"/>
          <w:color w:val="000000"/>
          <w:sz w:val="22"/>
          <w:szCs w:val="22"/>
          <w:lang w:val="en-US"/>
        </w:rPr>
        <w:t xml:space="preserve"> токове извора;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опис коришћених мерних система, њихово мерно подручје, утврђену несигурност и тачну локацију мерних инструмената који ће се користити за сваки ток извора над којима ће се вршити мониторинг;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стандардне вредности које се користе за факторе прорачуна уз навођење извора фактора или релевантног извора из којег ће се стандардни фактор периодично преузимати, за сваки ток извора,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попис аналитичких метода које се користе за одређивање свих релевантних фактора прорачуна за све токове извора и опис писаних поступака за ове анализе,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опис поступка на којем се заснива план узорковања за узорковање горива и материјала за анализу, као и поступак коришћен за ревизију адекватности плана узорковања,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попис лабораторија које изводе релевантне аналитичке поступке, а у случају да лабораторија није акредитована, како је наведено у члану 31. став 1. овог правилника, и опис коришћеног поступка да би се показала усклађеност са еквивалентним захтевима у складу са чланом 31. ст. 2. и 3. овог правилника, ако је примењиво.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III. Детаљан опис примењене методологије мониторинга у складу са чланом 19. овог правилника за све токове извора и извор емисија гасова, за које се не користи ниједна методологија са нивоом и опис писаног поступка који се користи за повезану анализу несигурности, ако се примењује алтернативна методологија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IV. Детаљан опис методологија на основу мерења, ако се примењује, који садржи следеће: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детаљан опис методе мерења, укључујући опис свих писаних поступака који се односе на мерење, и то: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свих формула за прорачун које се користе за агрегацију података и за утврђивање годишње емисије гасова свих појединачних извора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метода за утврђивање да ли се могу израчунати валидни часови или краћи референтни периоди за сваки појединачни параметар и за замену података који недостају у складу са чланом 42.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попис свих релевантних емисионих места у току уобичајеног рада и у току рестриктивних и транзиционих фаза, укључујући периоде прекида производње или фаза пуштања у рад, допуњено дијаграмом процеса на захтев надлежног органа;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ако је проток димног гаса добијен прорачуном, опис писаног поступка за тај прорачун за сваки појединачни извор емисије над којим се врши мониторинг применом методологије на основу мерења;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попис целокупне релевантне опреме, са подацима о учесталости мерења, мерним подручјем и нивоом несигурности;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попис примењених стандарда и свих одступања;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опис писаног поступка за вршење поткрепљујућих прорачуна у складу са чланом 43. овог правилника,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опис методе којом се одређивање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потиче од биомасе и одузет је од измерених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као и опис писаног поступка који се користи за то,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 категоризацију извора емисија на веће и мање изворе емисија, ако је примењиво, и када оператер намерава да користи поједностављење за мање изворе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 Поред елемената наведених у тачки IV, детаљан опис методологије мониторинга ако се врши мониторинг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по потреби у облику описа писаног поступка који је примењен, укључујући: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методе и параметре који се користе за одређивање количине материјала коришћених у процесу производње и максималне количине материјала коришћеног при пуном капацитету;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методе и параметре који се користе за одређивање количине производа који се произведе по часу, израженог као азотна киселина (100%), адипинска киселина (100%), капролактам, глиоксал или глиоксилна киселина по часу;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методе и параметре који се користе за одређивање концентрације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 димном гасу из сваког појединачног извора емисије, мерно подручје и несигурност, детаље о свим алтернативним методама које се користе ако се концентрације нађу изван радног опсега, као</w:t>
      </w:r>
      <w:bookmarkStart w:id="1" w:name="_GoBack"/>
      <w:bookmarkEnd w:id="1"/>
      <w:r w:rsidRPr="000B7E24">
        <w:rPr>
          <w:rFonts w:ascii="Arial" w:eastAsiaTheme="minorHAnsi" w:hAnsi="Arial" w:cs="Arial"/>
          <w:noProof w:val="0"/>
          <w:color w:val="000000"/>
          <w:sz w:val="22"/>
          <w:szCs w:val="22"/>
          <w:lang w:val="en-US"/>
        </w:rPr>
        <w:t xml:space="preserve"> и опис ситуација када постоји могућност да се то деси;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методе прорачуна које се користе за одређивање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периодичних несмањених извора у производњи азотне киселине, адипинске киселине, капролактама, глиоксала и глиоксилне киселине;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начине и обим у којем постројење ради под варијабилним оптерећењем и начин на који се врши оперативно управљање;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методе и све формуле за прорачун које се користе за одређивање годишњих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 одговарајућих вредности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(е) за сваки извор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информације о условима процеса који одступају од нормалног рада, индикације потенцијалне учесталости јављања и трајања таквих услова, као и индикације количине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за време трајања тих одступајућих процесних услова, као што је квар опреме за смањење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 Детаљан опис методологије мониторинга ако се врши мониторинг перфлуороугљеника из производње примарног алуминијума, према потреби, у облику описа примењених писаних поступака, укључујући: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датуме мерења за одређивање емисионих фактора специфичних за постројење, емисионог фактора по методи нагиба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или коефицијента пренапона и тежински удео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и распоред планираних датума мерења,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протокол који описује поступак који се користи за одређивање емисионих фактора специфичних за постројење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и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при чему мора да се покаже да су мерења била и да ће бити вршена довољно дуго да би измерене вредности могле да конвергирају, али у сваком случају најмање 72 часа,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методологију за одређивање ефикасности сакупљања за фугитивне емисије гасова у постројењима за производњу примарног алуминијума,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опис врсте ћелије и врсте аноде.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VII. Детаљан опис методологије мониторинга ако се врши трансфер инхерентног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као дела горива у складу са чланом 45. овог правилника или трансфер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складу са чланом 46. овог правилника или трансфер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 складу са чланом 47. овог правилника, ако је применљиво, у облику описа примењених писаних поступака, укључујући: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локацију опреме за мерење температуре и притиска у транспортној мрежи,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поступке за превенцију, откривање и квантификовање цурења из транспортне мреже,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код транспортних мрежа, процедуре које ефикасно обезбеђују да се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преноси само у постројења која имају важећу дозволу за емисије GHG, или у којима се сав испуштени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ефикасно надгледа и прорачунава, у складу са чланом 46. овог правилника,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идентификацију пријемних и преносних постројења у складу са идентификационом ознаком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опис система за континуирано мерење који се користи на местима трансфера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или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између постројења која преносе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или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 складу са чл. 45, 46. или 47. овог правилника,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опис методе конзервативне процене која се користи за одређивање удела биомасе у пренесеном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складу са чл. 45. или 46. овог правилника,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методологије за утврђивање количине емисија или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испуштеног у водени стуб због могућих пропуштања, као и примењене и евентуално прилагођене методологије за одређивање количине стварних емисија или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испуштеног у водени стуб због пропуштања, како је утврђено у Прилогу 3, Одељак 23. овог правилника, ако је примењиво;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VIII. Опис поступка који се примењује за процену дали су токови извора биомасе у складу са чланом 35. ст. 6. – 10. овог правилника,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IX. Опис поступка који се користи за одређивање количине биогаса на основу евиденције о куповини у складу са чланом 36. став 6. овог правилника, ако је применљиво.</w:t>
      </w:r>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2</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ПРАГОВИ НИВОА ЗА МЕТОДOЛОГИЈЕ ЗА ОСНОВУ ПРОРАЧУНА ЗА ПОСТРОЈЕЊА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Дефиниција нивоа за податке о активностима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Прагови несигурности дати у Табели 1. примењују се на нивое који се односе на захтеве везане за податке о активностима у складу са чланом 25. став 1. тачка 1) и чланом 26. став 3. Прагови несигурности тумаче се као максимално дозвољене несигурности за утврђивање токова извора у току периода извештавања.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Табела 1. не обухвата прописане активности и не примењује се биланс масе, оператер за те активности користи нивое који су наведени у Табели 1. под насловом: „Сагоревање горива и горива која се користе као улазни материјал у процесу”.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1. Нивои за податке о активностима (максимално дозвољена несигурност за сваки ниво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5"/>
        <w:gridCol w:w="3035"/>
        <w:gridCol w:w="1423"/>
        <w:gridCol w:w="1423"/>
        <w:gridCol w:w="1305"/>
        <w:gridCol w:w="1236"/>
      </w:tblGrid>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Активност/врста тока извора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Параметар на који се примењује несигурност</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Ниво 1</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Ниво 2</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Ниво3</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Ниво 4</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Сагоревање горива и горива која се користе као улазни материјал у процесу</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Комерцијална стандардна горива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[t] или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Остала гасовита и течна горива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[t] или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Чврста горива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Спаљивање бакљама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спаљеног гаса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димног гаса: карбонат (метода A)</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утрошеног карбоната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гипс (метода Б)</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произведеног гипса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уреа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утрошене уреје</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Рафинисање минералних уља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Регенерација катализатора из процеса крековања (*)</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Захтеви за несигурност важе одвојено за сваки извор емисије</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10 %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кокса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Печење и синтеровање руда метала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Доток карбоната и резидуе из процеса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Карбонатни улазни материјал и резидуе из процеса из процеса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гвожђа и челика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Гориво као улазни материјали у процес</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проток масе у и из постројања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цементног клинкера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основу материјала који улази у пећ (метода A)</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Произведени клинкер (метода Б)</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Произведени клинкер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Прашина из цементне пећи (CKD)</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Прашина из цементне пећи (CKD) или </w:t>
            </w:r>
            <w:r w:rsidRPr="000B7E24">
              <w:rPr>
                <w:rFonts w:ascii="Arial" w:eastAsiaTheme="minorHAnsi" w:hAnsi="Arial" w:cs="Arial"/>
                <w:i/>
                <w:noProof w:val="0"/>
                <w:color w:val="000000"/>
                <w:sz w:val="22"/>
                <w:szCs w:val="22"/>
                <w:lang w:val="en-US"/>
              </w:rPr>
              <w:t>bypass</w:t>
            </w:r>
            <w:r w:rsidRPr="000B7E24">
              <w:rPr>
                <w:rFonts w:ascii="Arial" w:eastAsiaTheme="minorHAnsi" w:hAnsi="Arial" w:cs="Arial"/>
                <w:noProof w:val="0"/>
                <w:color w:val="000000"/>
                <w:sz w:val="22"/>
                <w:szCs w:val="22"/>
                <w:lang w:val="en-US"/>
              </w:rPr>
              <w:t xml:space="preserve"> прашина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r w:rsidRPr="000B7E24">
              <w:rPr>
                <w:rFonts w:ascii="Arial" w:eastAsiaTheme="minorHAnsi" w:hAnsi="Arial" w:cs="Arial"/>
                <w:noProof w:val="0"/>
                <w:color w:val="000000"/>
                <w:sz w:val="22"/>
                <w:szCs w:val="22"/>
                <w:vertAlign w:val="superscript"/>
                <w:lang w:val="en-US"/>
              </w:rPr>
              <w: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Некарбонатни угљеник</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Свака сировина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креча и калцинисање доломита и магнезита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Карбонати и други материјали у процесу (метода A)</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релевантни материјал који улази у пећ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Земноалкални оксиди (метода Б)</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Произведени креч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Прашина из пећи (метода Б)</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Прашина из пећи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r w:rsidRPr="000B7E24">
              <w:rPr>
                <w:rFonts w:ascii="Arial" w:eastAsiaTheme="minorHAnsi" w:hAnsi="Arial" w:cs="Arial"/>
                <w:noProof w:val="0"/>
                <w:color w:val="000000"/>
                <w:sz w:val="22"/>
                <w:szCs w:val="22"/>
                <w:vertAlign w:val="superscript"/>
                <w:lang w:val="en-US"/>
              </w:rPr>
              <w: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стакла и минералне вуне</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Карбонати и други материјали у процесу (улаз)</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Свака карбонатна сировина или адитиви повезани са емисијама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керамичких производа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Доток угљеника (метода A)</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Свака карбонатна сировина или адитив повезан са емисијама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Алкални оксид (метода Б)</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Бруто производња укључујући одбачене производе и комадиће из пећи и пошиљке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димног гаса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Утрошени суви CaCO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целулозе и папира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Додатне хемикалије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CaCO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и Na</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индустријске чађи</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амонијака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која улази у процес</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која се доводи у процес [t] или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водоника и синтетског гаса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која улази у процес</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која се доводи у процес за производњу водоника [t] или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расутих органских хемикалија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или прерада ферозних и обојених метала, укључујући секундарни алумијум</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из производних процеса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материјал или резидуа из процеса која се користи као улазни материјал у процесу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Производња примарног алуминијума</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Сваки улазни и излазни материјал [t]</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PFC (метода нагиба)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примарног алуминијума у [t], трајање анодног ефеката у минутима [број анодних ефеката / ћелија-дан] и [минути трајања анодног ефеката/појава]</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20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PFC (метод пренапона)</w:t>
            </w:r>
          </w:p>
        </w:tc>
        <w:tc>
          <w:tcPr>
            <w:tcW w:w="45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примарног алумунијума у [t], шренапон анодног ефекта [mV] и искоришћење струје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c>
          <w:tcPr>
            <w:tcW w:w="20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1,5 %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18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Напомене за Табелу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За мониторинг емисија из регенерације катализатора из процеса крековања (друге регенерације катализатора и флексикоксаре) у рафинеријама минералног уља, захтевана несигурност је повезана са укупном несигурношћу свих емисија из тог извора.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Количина [t] прашине из цементне пећи или прашине из пећи (ако је применљиво) која напушта систем пећи у извештајном периоду, процењено коришћењем смерница за добру индустријску праксу.</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Дефиниција нивоа за обрачунске факторе за емисије из сагоревања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Оператери врше мониторинг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свих врста процеса сагоревања који се спроводе у оквиру свих прописаних активности користећи дефиниције нивоа утврђене у овом одељку. Ако се користе горива или гориви материјали који проузрокују настанак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као улазни материјал за процес примењује се Одељак 4. овог прилога. Ако горива чине део биланса масе у складу са чланом 22. став 1. овог правилника, примењују се дефиниције нивоа за билансе маса из Одељка 3.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емисије из процеса повезаног чишћења издувног гаса користе се дефиниције нивоа у складу са Одељком 4. и 5. овог прилога, по потреби.</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2.1. Нивои за емисионе факторе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је утврђен удео биомасе за мешано гориво или материјал, дефинисани нивои се односе на прелиминарни емисиони фактор. За фосилна горива и материјале нивои се односе на емисиони фактор.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93"/>
        <w:gridCol w:w="9274"/>
      </w:tblGrid>
      <w:tr w:rsidR="000B7E24" w:rsidRPr="000B7E24" w:rsidTr="00CA5B64">
        <w:trPr>
          <w:trHeight w:val="45"/>
          <w:tblCellSpacing w:w="0" w:type="auto"/>
        </w:trPr>
        <w:tc>
          <w:tcPr>
            <w:tcW w:w="14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29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једно од следећег: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стандардне факторе из Одељка 1. Прилога 5 овог правилника или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друге константне вредности у складу са чланом 28. став 1. тачка 5) овог правилника, ако ниједна примењива вредност није дата у Одељку 1. Прилога 5 овог правилника.</w:t>
            </w:r>
          </w:p>
        </w:tc>
      </w:tr>
      <w:tr w:rsidR="000B7E24" w:rsidRPr="000B7E24" w:rsidTr="00CA5B64">
        <w:trPr>
          <w:trHeight w:val="45"/>
          <w:tblCellSpacing w:w="0" w:type="auto"/>
        </w:trPr>
        <w:tc>
          <w:tcPr>
            <w:tcW w:w="14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2a:</w:t>
            </w:r>
          </w:p>
        </w:tc>
        <w:tc>
          <w:tcPr>
            <w:tcW w:w="129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специфичне националне емисионе факторе за конкретно гориво или материјал у складу са чланом 28. став 1. тач. 2) и 3) овог правилника или вредности у складу са чланом 28. став 1. тачка 4) овог правилника.</w:t>
            </w:r>
          </w:p>
        </w:tc>
      </w:tr>
      <w:tr w:rsidR="000B7E24" w:rsidRPr="000B7E24" w:rsidTr="00CA5B64">
        <w:trPr>
          <w:trHeight w:val="45"/>
          <w:tblCellSpacing w:w="0" w:type="auto"/>
        </w:trPr>
        <w:tc>
          <w:tcPr>
            <w:tcW w:w="14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2б:</w:t>
            </w:r>
          </w:p>
        </w:tc>
        <w:tc>
          <w:tcPr>
            <w:tcW w:w="129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изводи емисионе факторе за гориво на основу једне од следећих установљених репрезентативних заменских вредности, у комбинацији са емпријском корелацијом као што је утврђено најмање једном годишње у складу са чл. 29–32. и чланом 36.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мерење густине конкретних уља или гасова, укључујући оне који су уобичајени за рафинерије и челичну индустрију;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нето калоријска вредност за конкретне врсте угља.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обезбеђује да корелација задовољава захтеве добре инжењерске праксе и да се примењује само на вредности замене које улазе у опсег за који је установљена.</w:t>
            </w:r>
          </w:p>
        </w:tc>
      </w:tr>
      <w:tr w:rsidR="000B7E24" w:rsidRPr="000B7E24" w:rsidTr="00CA5B64">
        <w:trPr>
          <w:trHeight w:val="45"/>
          <w:tblCellSpacing w:w="0" w:type="auto"/>
        </w:trPr>
        <w:tc>
          <w:tcPr>
            <w:tcW w:w="14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29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једно од следећег: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одређује емисиони фактор у складу са релевантним одредбама чл. 29–32.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емпиријску корелацију како је одређена за Ниво 2б, ако оператер на задовољавајући начин докаже надлежном органу да несигурност емпиријске корелације не прелази 1/3 вредности несигурности коју оператер мора да узима у обзир у погледу утврђивања података о активностима за предметно гориво или материјал.</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2.2. Нивои за нето калоријску вредност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42"/>
        <w:gridCol w:w="9225"/>
      </w:tblGrid>
      <w:tr w:rsidR="000B7E24" w:rsidRPr="000B7E24" w:rsidTr="00CA5B64">
        <w:trPr>
          <w:trHeight w:val="45"/>
          <w:tblCellSpacing w:w="0" w:type="auto"/>
        </w:trPr>
        <w:tc>
          <w:tcPr>
            <w:tcW w:w="14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29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једно од следећег: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стандардне факторе из Одељка 1. Прилога 5 овог правилника или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друге константне вредности у складу са чланом 28. став 1. тачка 5) овог правилника, ако у Одељку 1. Прилога 5 овог правилника нема одговарајуће вредности.</w:t>
            </w:r>
          </w:p>
        </w:tc>
      </w:tr>
      <w:tr w:rsidR="000B7E24" w:rsidRPr="000B7E24" w:rsidTr="00CA5B64">
        <w:trPr>
          <w:trHeight w:val="45"/>
          <w:tblCellSpacing w:w="0" w:type="auto"/>
        </w:trPr>
        <w:tc>
          <w:tcPr>
            <w:tcW w:w="14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2a:</w:t>
            </w:r>
          </w:p>
        </w:tc>
        <w:tc>
          <w:tcPr>
            <w:tcW w:w="129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специфичне националне факторе за конкретно гориво у складу са чланом 28. став 1. тач. 2) или 3) овог правилника или вредности у складу са чланом 28. став 1. тачка 4) овог правилника.</w:t>
            </w:r>
          </w:p>
        </w:tc>
      </w:tr>
      <w:tr w:rsidR="000B7E24" w:rsidRPr="000B7E24" w:rsidTr="00CA5B64">
        <w:trPr>
          <w:trHeight w:val="45"/>
          <w:tblCellSpacing w:w="0" w:type="auto"/>
        </w:trPr>
        <w:tc>
          <w:tcPr>
            <w:tcW w:w="14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2б:</w:t>
            </w:r>
          </w:p>
        </w:tc>
        <w:tc>
          <w:tcPr>
            <w:tcW w:w="129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горива којима се комерцијално тргује користи се нето калоријска вредност која је изведена из евиденције о куповини конкретног горива коју доставља снабдевач горива ако је изведена на основу домаћих или међународних стандарда.</w:t>
            </w:r>
          </w:p>
        </w:tc>
      </w:tr>
      <w:tr w:rsidR="000B7E24" w:rsidRPr="000B7E24" w:rsidTr="00CA5B64">
        <w:trPr>
          <w:trHeight w:val="45"/>
          <w:tblCellSpacing w:w="0" w:type="auto"/>
        </w:trPr>
        <w:tc>
          <w:tcPr>
            <w:tcW w:w="14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29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нето калоријску вредност у складу са чл. 29 – 32. овог правилника.</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2.3. Нивои за оксидационе факторе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
        <w:gridCol w:w="9555"/>
      </w:tblGrid>
      <w:tr w:rsidR="000B7E24" w:rsidRPr="000B7E24" w:rsidTr="00CA5B64">
        <w:trPr>
          <w:trHeight w:val="45"/>
          <w:tblCellSpacing w:w="0" w:type="auto"/>
        </w:trPr>
        <w:tc>
          <w:tcPr>
            <w:tcW w:w="10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3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оксидациони фактор 1.</w:t>
            </w:r>
          </w:p>
        </w:tc>
      </w:tr>
      <w:tr w:rsidR="000B7E24" w:rsidRPr="000B7E24" w:rsidTr="00CA5B64">
        <w:trPr>
          <w:trHeight w:val="45"/>
          <w:tblCellSpacing w:w="0" w:type="auto"/>
        </w:trPr>
        <w:tc>
          <w:tcPr>
            <w:tcW w:w="10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3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оксидационе факторе за конкретно гориво у складу са чланом 28. став 1. тач. 2) или 3) овог правилника.</w:t>
            </w:r>
          </w:p>
        </w:tc>
      </w:tr>
      <w:tr w:rsidR="000B7E24" w:rsidRPr="000B7E24" w:rsidTr="00CA5B64">
        <w:trPr>
          <w:trHeight w:val="45"/>
          <w:tblCellSpacing w:w="0" w:type="auto"/>
        </w:trPr>
        <w:tc>
          <w:tcPr>
            <w:tcW w:w="10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33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горива, оператер изводи факторе за специфичну активност на основу релевантног садржаја угљеника у пепелу, ефлуентима и другом отпаду и нуспроизводима, и другим релевантним непотпуно оксидизованим гасовитим облицима угљеника који се испуштају осим CO. Подаци о саставу утврђују се у складу са чл. 29–32. овог правилника.</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2.4. Нивои за удео биомасе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9"/>
        <w:gridCol w:w="9018"/>
      </w:tblGrid>
      <w:tr w:rsidR="000B7E24" w:rsidRPr="000B7E24" w:rsidTr="00CA5B64">
        <w:trPr>
          <w:trHeight w:val="45"/>
          <w:tblCellSpacing w:w="0" w:type="auto"/>
        </w:trPr>
        <w:tc>
          <w:tcPr>
            <w:tcW w:w="174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265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важећу вредност објављену од стране надлежног органа или вредност у складу са чланом 28. став 1. овог правилника.</w:t>
            </w:r>
          </w:p>
        </w:tc>
      </w:tr>
      <w:tr w:rsidR="000B7E24" w:rsidRPr="000B7E24" w:rsidTr="00CA5B64">
        <w:trPr>
          <w:trHeight w:val="45"/>
          <w:tblCellSpacing w:w="0" w:type="auto"/>
        </w:trPr>
        <w:tc>
          <w:tcPr>
            <w:tcW w:w="174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265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метод процене у складу са чланом 36. ст. 3. и 4. овог правилника.</w:t>
            </w:r>
          </w:p>
        </w:tc>
      </w:tr>
      <w:tr w:rsidR="000B7E24" w:rsidRPr="000B7E24" w:rsidTr="00CA5B64">
        <w:trPr>
          <w:trHeight w:val="45"/>
          <w:tblCellSpacing w:w="0" w:type="auto"/>
        </w:trPr>
        <w:tc>
          <w:tcPr>
            <w:tcW w:w="174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265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анализе у складу са чланом 36. ст. 3. и 4. и у складу са чл. 29–</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32. овог правилника.</w:t>
            </w:r>
          </w:p>
        </w:tc>
      </w:tr>
      <w:tr w:rsidR="000B7E24" w:rsidRPr="000B7E24" w:rsidTr="00CA5B6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оператер претпостави фосилни удео од 100 % у складу са чланом 36. став 1. овог правилника, из удела биомасе неће се доделити никакав ниво.</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3.</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Дефиниција нивоа за обрачунске факторе за биланс масе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дефиниције нивоа из овог одељка када користи биланс масе у складу са чланом 22. овог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3.1. Нивои за садржај угљеника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један од нивоа наведених у овој тачки. За одређивање садржаја угљеника из емисионог фактора, оператер користи следеће једначине: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5"/>
        <w:gridCol w:w="4054"/>
        <w:gridCol w:w="5528"/>
      </w:tblGrid>
      <w:tr w:rsidR="000B7E24" w:rsidRPr="000B7E24" w:rsidTr="00CA5B64">
        <w:trPr>
          <w:trHeight w:val="45"/>
          <w:tblCellSpacing w:w="0" w:type="auto"/>
        </w:trPr>
        <w:tc>
          <w:tcPr>
            <w:tcW w:w="11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w:t>
            </w:r>
          </w:p>
        </w:tc>
        <w:tc>
          <w:tcPr>
            <w:tcW w:w="543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емисионе факторе изражене као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/TJ:</w:t>
            </w:r>
          </w:p>
        </w:tc>
        <w:tc>
          <w:tcPr>
            <w:tcW w:w="7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 = (EF × NCV) / f</w:t>
            </w:r>
          </w:p>
        </w:tc>
      </w:tr>
      <w:tr w:rsidR="000B7E24" w:rsidRPr="000B7E24" w:rsidTr="00CA5B64">
        <w:trPr>
          <w:trHeight w:val="45"/>
          <w:tblCellSpacing w:w="0" w:type="auto"/>
        </w:trPr>
        <w:tc>
          <w:tcPr>
            <w:tcW w:w="11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w:t>
            </w:r>
          </w:p>
        </w:tc>
        <w:tc>
          <w:tcPr>
            <w:tcW w:w="543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емисионе факторе изражене као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w:t>
            </w:r>
          </w:p>
        </w:tc>
        <w:tc>
          <w:tcPr>
            <w:tcW w:w="7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 = EF / f</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 чему 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C</w:t>
      </w:r>
      <w:r w:rsidRPr="000B7E24">
        <w:rPr>
          <w:rFonts w:ascii="Arial" w:eastAsiaTheme="minorHAnsi" w:hAnsi="Arial" w:cs="Arial"/>
          <w:noProof w:val="0"/>
          <w:color w:val="000000"/>
          <w:sz w:val="22"/>
          <w:szCs w:val="22"/>
          <w:lang w:val="en-US"/>
        </w:rPr>
        <w:t xml:space="preserve"> – садржај угљеника изражен као удео (тона угљеника по тони производа),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EF</w:t>
      </w:r>
      <w:r w:rsidRPr="000B7E24">
        <w:rPr>
          <w:rFonts w:ascii="Arial" w:eastAsiaTheme="minorHAnsi" w:hAnsi="Arial" w:cs="Arial"/>
          <w:noProof w:val="0"/>
          <w:color w:val="000000"/>
          <w:sz w:val="22"/>
          <w:szCs w:val="22"/>
          <w:lang w:val="en-US"/>
        </w:rPr>
        <w:t xml:space="preserve"> – 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NCV</w:t>
      </w:r>
      <w:r w:rsidRPr="000B7E24">
        <w:rPr>
          <w:rFonts w:ascii="Arial" w:eastAsiaTheme="minorHAnsi" w:hAnsi="Arial" w:cs="Arial"/>
          <w:noProof w:val="0"/>
          <w:color w:val="000000"/>
          <w:sz w:val="22"/>
          <w:szCs w:val="22"/>
          <w:lang w:val="en-US"/>
        </w:rPr>
        <w:t xml:space="preserve"> – нето калоријска вредност,</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f</w:t>
      </w:r>
      <w:r w:rsidRPr="000B7E24">
        <w:rPr>
          <w:rFonts w:ascii="Arial" w:eastAsiaTheme="minorHAnsi" w:hAnsi="Arial" w:cs="Arial"/>
          <w:noProof w:val="0"/>
          <w:color w:val="000000"/>
          <w:sz w:val="22"/>
          <w:szCs w:val="22"/>
          <w:lang w:val="en-US"/>
        </w:rPr>
        <w:t xml:space="preserve"> – фактор утврђен у члану 33. став 4.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се одређује удео биомасе за мешано гориво или материјал дефинисани нивои се односе на укупан садржај угљеника. Удео биомасе у угљенику одређује се користећи нивое из Одељка 2.4 овог прилога.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8"/>
        <w:gridCol w:w="9309"/>
      </w:tblGrid>
      <w:tr w:rsidR="000B7E24" w:rsidRPr="000B7E24" w:rsidTr="00CA5B64">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03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садржај угљеника изведен из стандардних фактора из одељака 1. и 2. Прилога 5 овог правилника или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друге константне вредности у складу са чланом 28. став 1. тачка 5) овог правилника, ако у одељцима 1. и 2. Прилога 5 овог правилника нема одговарајуће вредности.</w:t>
            </w:r>
          </w:p>
        </w:tc>
      </w:tr>
      <w:tr w:rsidR="000B7E24" w:rsidRPr="000B7E24" w:rsidTr="00CA5B64">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2a:</w:t>
            </w:r>
          </w:p>
        </w:tc>
        <w:tc>
          <w:tcPr>
            <w:tcW w:w="1303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садржај угљеника из специфичних националних емисионих фактора за конкретно гориво или материјал у складу са чланом 28. став 1. тач. 2) или 3) овог правилника или вредности у складу са чланом 28. став 1. тачка 4) овог правилника.</w:t>
            </w:r>
          </w:p>
        </w:tc>
      </w:tr>
      <w:tr w:rsidR="000B7E24" w:rsidRPr="000B7E24" w:rsidTr="00CA5B64">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2б:</w:t>
            </w:r>
          </w:p>
        </w:tc>
        <w:tc>
          <w:tcPr>
            <w:tcW w:w="1303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садржај угљеника из емисионих фактора за гориво на основу једног од следећих утврђених замена у комбинацији са емпиријском корелацијом што се утврђује најмање једном годишње у складу са чл. 29–32.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мерење густине специфичних уља или гасова који су уобичајени, на пример, за рафинерије или индустрије челика;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нето калоријска вредност за специфичне врсте угља.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обезбеђује да корелација задовољава захтеве добре инжењерске праксе и да се примењује само на оне вредности посредног фактора које су унутар распона за који је он утврђен.</w:t>
            </w:r>
          </w:p>
        </w:tc>
      </w:tr>
      <w:tr w:rsidR="000B7E24" w:rsidRPr="000B7E24" w:rsidTr="00CA5B64">
        <w:trPr>
          <w:trHeight w:val="45"/>
          <w:tblCellSpacing w:w="0" w:type="auto"/>
        </w:trPr>
        <w:tc>
          <w:tcPr>
            <w:tcW w:w="13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303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једно од следећег: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одређује садржај угљеника у складу са релевантним одредбама чл. 29–32.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емпиријска корелација како је одређена за Ниво 2б, када оператер на задовољавајући начин докаже надлежном органу да несигурност емпиријске корелације не прелази 1/3 вредности несигурности коју оператер мора да узима у обзир у погледу утврђивања података о активностима за предметно гориво или материјал.</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3.2. Нивои за нето калоријске вредности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Користе се нивои дефинисани у Одељку 2.2. овог прилога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3.3 Нивои за удео биомасе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Користе се нивои дефинисани у Одељку 2.4. овог прилога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4.</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Дефиниција нивоа за обрачунске факторе за емисије из производних процеса из разградње карбоната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све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производних процеса поготово емисије из декомпозиције карбоната и из прераде материала који задржи угљеник која се разликује од оне у карбонатима, укључујући уреу, кокс и графит, за које се врши мониторинг коришћењем стандардне методологије у складу са чланом 21. став 3. овог правилника, користиће се дефиниције за емисиони фактор и фактор конверзије утврђене у овом одељку.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 случају мешаних материјала који садрже неорганске и органске облике угљеника, оператор може да одабере једну од следећих могућности: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да одреди укупни прелиминарни емисиони фактор за мешани материјал анализом укупног садржаја угљеника и применом фактора конверзије и – ако је примењиво – удела биомасе и нето калоријске вредности у односу на тај укупни садржај угљеника, или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да одреди органске и неорганске садржаје одвојено и поступати са њима као да су два одвојена тока извора.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емисије из разградње карбоната оператер може за сваки ток извора одабрати једну од следећих метода: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Метода А: на основу улазног материјала, емисиони фактор, фактор конверзије и подаци о активностима односе се на количину материјала која улази у процес;</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Метода Б: на основу излазног материјала, емисиони фактор, фактор конверзије и подаци о активностима односе се на количину материјала која излази из процеса.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остале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процеса, оператер постројења може користити само Методу 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4.1. Нивои за емисиони фактор када се користи метода 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1"/>
        <w:gridCol w:w="9476"/>
      </w:tblGrid>
      <w:tr w:rsidR="000B7E24" w:rsidRPr="000B7E24" w:rsidTr="00CA5B64">
        <w:trPr>
          <w:trHeight w:val="45"/>
          <w:tblCellSpacing w:w="0" w:type="auto"/>
        </w:trPr>
        <w:tc>
          <w:tcPr>
            <w:tcW w:w="11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2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једно од следећег: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за декомпозицију карбоната пимењује стандардне факторе наведене у Прилогу 5, Одељак 2. Табела 2 овог правилника; а заосталу прераду материjала Табеле 1, 4. или 5.</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друге константне вредности у складу са чланом 28. став 1. тачка 5) овог правилника, када се ниједна важећа вредност не налази у Прилогу 5 овог правилника.</w:t>
            </w:r>
          </w:p>
        </w:tc>
      </w:tr>
      <w:tr w:rsidR="000B7E24" w:rsidRPr="000B7E24" w:rsidTr="00CA5B64">
        <w:trPr>
          <w:trHeight w:val="45"/>
          <w:tblCellSpacing w:w="0" w:type="auto"/>
        </w:trPr>
        <w:tc>
          <w:tcPr>
            <w:tcW w:w="11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2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специфичан национални емисиони фактор у складу са чланом 28. став 1. тач. 2) или 3) овог правилника, или вредности у складу са чланом 28. став 1. тачка 4) овог правилника.</w:t>
            </w:r>
          </w:p>
        </w:tc>
      </w:tr>
      <w:tr w:rsidR="000B7E24" w:rsidRPr="000B7E24" w:rsidTr="00CA5B64">
        <w:trPr>
          <w:trHeight w:val="45"/>
          <w:tblCellSpacing w:w="0" w:type="auto"/>
        </w:trPr>
        <w:tc>
          <w:tcPr>
            <w:tcW w:w="11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32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емисиони фактор у складу са чл. 29. – 32. овог правилника. Стехиометријски коефицијенти како су наведени у Прилогу 5, Одељак 2. овог правилника користиће се за конверзију података о саставу у емисионе факторе, по потреби.</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4.2. Нивои за факторе конверзије када се користи метода 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6"/>
        <w:gridCol w:w="9631"/>
      </w:tblGrid>
      <w:tr w:rsidR="000B7E24" w:rsidRPr="000B7E24" w:rsidTr="00CA5B64">
        <w:trPr>
          <w:trHeight w:val="45"/>
          <w:tblCellSpacing w:w="0" w:type="auto"/>
        </w:trPr>
        <w:tc>
          <w:tcPr>
            <w:tcW w:w="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Користи се фактор конверзије 1.</w:t>
            </w:r>
          </w:p>
        </w:tc>
      </w:tr>
      <w:tr w:rsidR="000B7E24" w:rsidRPr="000B7E24" w:rsidTr="00CA5B64">
        <w:trPr>
          <w:trHeight w:val="45"/>
          <w:tblCellSpacing w:w="0" w:type="auto"/>
        </w:trPr>
        <w:tc>
          <w:tcPr>
            <w:tcW w:w="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Карбонати и остали угљеник који напушта процес узимају се у обзир са фактором конверзије који има вредност између 0 и 1. Оператер може да претпостави потпуну конверзију за један или више улазних материјала и да припише неконвертоване материјале или остали угљеник преосталим улазним материјалима. Додатно одређивање одговарајућих хемијских параметара производа врши се у складу са чл. 29–32. овог правилника.</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4.3. Нивои за емисиони фактор када се користи метода 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7"/>
        <w:gridCol w:w="9730"/>
      </w:tblGrid>
      <w:tr w:rsidR="000B7E24" w:rsidRPr="000B7E24" w:rsidTr="00CA5B64">
        <w:trPr>
          <w:trHeight w:val="45"/>
          <w:tblCellSpacing w:w="0" w:type="auto"/>
        </w:trPr>
        <w:tc>
          <w:tcPr>
            <w:tcW w:w="69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71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једно од следећег</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 стандардне факторе из Прилога 5, Одељак 2, Табела 3.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 друге константне вредности у складу са чланом 28. став 1. тачка 5) овог правилника, када се ниједна важећа вредност не налази у Прилогу 5 овог правилника.</w:t>
            </w:r>
          </w:p>
        </w:tc>
      </w:tr>
      <w:tr w:rsidR="000B7E24" w:rsidRPr="000B7E24" w:rsidTr="00CA5B64">
        <w:trPr>
          <w:trHeight w:val="45"/>
          <w:tblCellSpacing w:w="0" w:type="auto"/>
        </w:trPr>
        <w:tc>
          <w:tcPr>
            <w:tcW w:w="69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71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специфичан национални емисиони фактор у складу са чланом 28. став 1. тач. 2) или 3) овог правилника или вредности у складу са чланом 28. став 1. тачка 4). овог правилника.</w:t>
            </w:r>
          </w:p>
        </w:tc>
      </w:tr>
      <w:tr w:rsidR="000B7E24" w:rsidRPr="000B7E24" w:rsidTr="00CA5B64">
        <w:trPr>
          <w:trHeight w:val="45"/>
          <w:tblCellSpacing w:w="0" w:type="auto"/>
        </w:trPr>
        <w:tc>
          <w:tcPr>
            <w:tcW w:w="69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371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емисиони фактор у складу са чл. 29–32. овог правилника. Стехиометријски коефицијенти из Прилога 5, Одељак 2, Табела 3 овог правилника користе се за конверзију података о саставу у емисионе факторе под претпоставком да су сви релевантни оксиди метала изведени из односних карбоната. У том циљу, оператер ће узети у обзир бар CаО и МgО и доставити доказе надлежном органу у смислу који се даље метални оксиди односе на карбонате у сировинама.</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4.4. Нивои за фактор када се користи метода 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1"/>
        <w:gridCol w:w="9676"/>
      </w:tblGrid>
      <w:tr w:rsidR="000B7E24" w:rsidRPr="000B7E24" w:rsidTr="00CA5B64">
        <w:trPr>
          <w:trHeight w:val="45"/>
          <w:tblCellSpacing w:w="0" w:type="auto"/>
        </w:trPr>
        <w:tc>
          <w:tcPr>
            <w:tcW w:w="8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5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Користи се фактор конверзије 1.</w:t>
            </w:r>
          </w:p>
        </w:tc>
      </w:tr>
      <w:tr w:rsidR="000B7E24" w:rsidRPr="000B7E24" w:rsidTr="00CA5B64">
        <w:trPr>
          <w:trHeight w:val="45"/>
          <w:tblCellSpacing w:w="0" w:type="auto"/>
        </w:trPr>
        <w:tc>
          <w:tcPr>
            <w:tcW w:w="8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5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некарбонатних једињења релевантних метала у сировинама, укључујући повратну прашину или летећи пепео или остале већ калцинисане материјале, узимају се у обзир помоћу фактора конверзије који има вредност између 0 и 1 при чему вредност 1 одговара потпуној конверзији карбоната из сировина у оксиде. Додатно одређивање релевантних хемијских параметара материјала који улазе у процес врши се у складу са чл. 29–32. овог правилника.</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4.5. Нивои за нето калоријску вредност</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Ако је релевантно, оператор утврђује нето калоријску вредност процесног материјала примјеном нивоа дефинисаних у Одељку 2.2. овог прилога. NCV није релевантан за токове извора </w:t>
      </w:r>
      <w:r w:rsidRPr="000B7E24">
        <w:rPr>
          <w:rFonts w:ascii="Arial" w:eastAsiaTheme="minorHAnsi" w:hAnsi="Arial" w:cs="Arial"/>
          <w:i/>
          <w:noProof w:val="0"/>
          <w:color w:val="000000"/>
          <w:sz w:val="22"/>
          <w:szCs w:val="22"/>
          <w:lang w:val="en-US"/>
        </w:rPr>
        <w:t>de minimis</w:t>
      </w:r>
      <w:r w:rsidRPr="000B7E24">
        <w:rPr>
          <w:rFonts w:ascii="Arial" w:eastAsiaTheme="minorHAnsi" w:hAnsi="Arial" w:cs="Arial"/>
          <w:noProof w:val="0"/>
          <w:color w:val="000000"/>
          <w:sz w:val="22"/>
          <w:szCs w:val="22"/>
          <w:lang w:val="en-US"/>
        </w:rPr>
        <w:t xml:space="preserve"> или ако сам материјал није запаљив без додавања других горива. У случају недоумице, оператор од надлежног органа тражи потврду о томе да ли треба да се прати и пријави NCV.</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4.6. Нивои за удео биомасе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је релевантно, оператер утврђује удео биомасе у угљенику садржаном у процесном материјалу применом нивоа дефинисаних у Одељку 2.4. овог прилога.</w:t>
      </w:r>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3</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МЕТОДОЛОГИЈЕ МОНИТОРИНГА СПЕЦИФИЧНЕ ЗА АКТИВНОСТИ КОЈЕ СЕ ОБАВЉАЈУ У ПОСТРОЈЕЊУ</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Специфична правила мониторинга за емисије гасова из процеса сагоревања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постројења врши мониторинг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свих врста процеса сагоревања који се одвијају у прописаним активностима, укључујући и са тиме повезане процесе чишћења мокрим поступком, у складу са правилима која су утврђена у овом прилогу. Све емисије из горива која се користе као улазни материјали за неки процес третирају се као емисије из сагоревања када се бира методологија мониторинга и извештавања, не доводећи у питање остале класификације које се примењују на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постројења не врши мониторинг и извештавање о емисијама из мотора са унутрашњим сагоревањем који се користе за транспорт. Оператер све емисије из сагоревања горива у постројењу приписује том постројењу, без обзира на топлотну или електричну енергију предату другим постројењима. Оператер не приписује емисије повезане са производњом топлотне или електричне енергије која се преноси из других постројења постројењу које прима ту енергију.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обухвата најмање следеће изворе емисија: котлове, пламенике, турбине, грејаче, топионичке пећи, пећи за спаљивање, пећи за калцинисање, пећи за сушење, штедњаке, сушаче, моторе, горивне ћелије, CLC јединице, бакље, термалне или каталитичке јединице после сагоревања, и уређаје за чишћење (емисија из производних процеса), као и сву осталу опрему или механизацију која користи гориво, искључујући опрему или механизацију са моторима на сагоревање која се користи за транспорт.</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из процеса сагоревања израчунавају се у складу са чланом 21. став 1. овог правилника, осим ако су горива укључена у биланс масе у складу са чланом 22. овог правилника. Примењују се нивои из Прилога 2, Одељак 2. овог правилника. Поред тога, процесне емисије услед чишћења димног гаса прате се користећи одредбе из пододељка В овог одељка.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емисије из бакљи за спаљивање примењују се посебни захтеви утврђени у пододељку Г овог одељка.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Процеси сагоревања који се одвијају у терминалима за прераду гаса могу се пратити помоћу биланса масе у складу са чланом 22. овог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В. Чишћење димног гаса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В.1 Одсумпоравање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производних процеса које настају од употребе карбоната за чишћење киселог гаса из тока димног гаса рачунају се у складу са чланом 21. став 3. овог правилника на основу потрошеног карбоната, по методи А, или на основу произведеног гипса, по методи Б. Изузетно од Одељка 4. Прилога 2 овог правилника примењује се следеће: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Mетода A: 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одређује се на основу стехиометријских коефицијената дефинисаних у Одељку 2. Прилога 5. овог правилника. Количине CaCO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i MgCO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или других карбоната у конкрентом улазном материјалу одређују се користећи смернице најбоље индустријске праксе.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Метода Б: 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је стехиометријски однос сувог гипса (CaSO</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 2H</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 и емитованог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0,2558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гипса.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Фактор конверзије: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Користиће се фактор конверзије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В.2 De-NOx</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4. Прилога 2 овог правилника,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емитује из процеса од коришћења уреје за чишћење тока димног гаса обрачунаће се у у складу са чланом 21. став 3. овог правилника применом следећих нивоа: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Утврђивање количине уреје у релевантном улазном материјалу вршиће се уз коришћење смерница најбоље индустријске праксе. Емисиони фактор ће се утврдити коришћењем стехиометријског односа 0,7328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уреје.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Фактор конверзије: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Важи само Ниво 1.</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Г. Бакље за спаљивање гасова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се рачунају емисије из бакљи за спаљивање оператер укључује рутинско спаљивање и оперативно спаљивање (кратке активације, покретање и заустављање као и ванредне ситуације). Оператер укључује и инхерентни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складу са чланом 45.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2.1. Прилога 2. овог правилника, нивои 1 и 2б за емисиони фактор дефинишу се на следећи начин: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8"/>
        <w:gridCol w:w="9379"/>
      </w:tblGrid>
      <w:tr w:rsidR="000B7E24" w:rsidRPr="000B7E24" w:rsidTr="00CA5B64">
        <w:trPr>
          <w:trHeight w:val="45"/>
          <w:tblCellSpacing w:w="0" w:type="auto"/>
        </w:trPr>
        <w:tc>
          <w:tcPr>
            <w:tcW w:w="12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13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референтни емисиони фактор од 0,00393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 xml:space="preserve"> изведен из сагоревања чистог етана који се користи као конзервативна замена за спаљене гасове.</w:t>
            </w:r>
          </w:p>
        </w:tc>
      </w:tr>
      <w:tr w:rsidR="000B7E24" w:rsidRPr="000B7E24" w:rsidTr="00CA5B64">
        <w:trPr>
          <w:trHeight w:val="45"/>
          <w:tblCellSpacing w:w="0" w:type="auto"/>
        </w:trPr>
        <w:tc>
          <w:tcPr>
            <w:tcW w:w="12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2б:</w:t>
            </w:r>
          </w:p>
        </w:tc>
        <w:tc>
          <w:tcPr>
            <w:tcW w:w="1313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фактори специфични за постројење изводе се из процене молекулске масе тока гаса, користећи процесно моделовање засновано на индустријским стандардним моделима. Узимајући у обзир релативне односе и молекулске масе сваког од токова који учествују, изводи се пондерисана годишња просечна вредност за молекулску масу спаљеног гаса.</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2.3. Прилога 2. овог правилника, у случају бакљи за спаљивање примењују се само нивои 1 и 2 за оксидациони фактор.</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Рафинисање минералног уља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врши мониторинг и извештавање о свим емисијама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процеса сагоревања и процеса производње који се одвијају у рафинеријама.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котлове, процесне грејаче/уређаје за прераду, моторе са унутрашњим сагоревањем/турбине, каталитичке и термичке оксидаторе, пећи за калцинисање кокса, пумпе за гашење, резервне генераторе за ванредне ситуације, бакље за спаљивање, пећи за спаљивање, уређаје за крековање, јединице за производњу водоника, јединице за Клаусов процес, регенерисање катализатора (из процеса крековања и других каталитичких процеса) и коксаре (флексикоксара, продужено коксовање).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активности за рафинисање минералних уља спроводи се у складу са Одељком 1. овог прилога за емисије из сагоревања укључујући чишћење димног гаса. Оператер може да изабере да користи методологију биланса масе у складу са чланом 22. овог правилника за целу рафинерију или појединачне процесне јединице као што је гасификација тешког уља или погоне за калцинисање. Ако се користи комбинација стандардне методологије и методологије биланса масе, оператер доставља доказ надлежном органу да су емисије у потпуности обухваћене и да не долази до двоструког рачунања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Над емисијама из наменских јединица за производњу водоника мониторинг ће се вршити у складу са Одељком 19.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одредби чл. 21. и 22. овог правилника за емисије из регенерације катализатора из процеса крековања, других процеса регенерације катализатора и флексикоксара врши се мониторинг помоћу биланса масе, узимајући у обзир стање улазног ваздуха и димног гаса. Сав CO у димном гасу рачуна се као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применом односа масе: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 t CO* 1,571. Анализа улазног ваздуха и димних гасова и избор нивоа врши се у складу са одредбама чл. 29 – 32. овог правилника. Конкретну методологију прорачуна одобрава надлежни орган.</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3.</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кокса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сировине (укључујући угаљ или нафтни кокс), конвенционална горива (укључујући природни гас), гасове из производних процеса (укључујући високопећни гас– BFG), остала горива и чишћење отпадног гаса.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мониторинг емисија из производње кокса оператер може да изабере да користи биланс масе у складу са чланом 22. и Одељком 3. у Прилогу 2. овог правилника или стандардну методологију у складу са чланом 21. и одељцима 2. и 4. у Прилогу 2. овог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Oдељак 4.</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Печење и синтеровање руде метала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Oбласт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сировине (калцинисање креча, доломита и карбонатних руда гвожђа, укључујући FeCO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конвенционална горива (укључујући природни гас и кокс/коксну шљаку), гасове из производних процеса (укључујући гас из коксаре – COG, и високопећни гас – BFG), резидуе из производног процеса које се користе као улазни материјал укључујући филтрирану прашину из погона за синтеровање, конвертора и високе пећи, остала горива и чишћење димног гаса.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мониторинг емисија од печења, синтеровања или пелетизације руда метала, оператер може да изабере да користи биланс масе у складу са чланом 22. и Одељком 3. Прилога 2. овог правилника или стандардну методологију у складу са чланом 21. и одељцима 2. и 4. Прилога 2. овог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5.</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сировог гвожћа и челика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сировине (калцинисање креча, доломита и карбонатних руда гвожђа, укључујући FeCO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конвенционална горива (природни гас, угаљ и кокс), редукујуће агенсе (укључујући кокс, угаљ и пластику), гасове из производних процеса (гас из коксаре – COG, високопећни гас – BFG и конверторски гас – BOFG), потрошњу графитних електрода, остала горива и чишћење отпадног гаса.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мониторинг емисија из производње сировог гвожђа и челика оператер може да изабере да користи биланс масе у складу са чланом 22. и Одељком 3. у Прилогу 2. овог правилника или стандардну методологију у складу са чланом 21. и одељцима 2. и 4. у Прилогу 2. овог правилника, барем за један део токова извора, избегавајући губљење или двоструко рачунање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3.1. Прилога 2 овог правилника ниво 3 за садржај угљеника дефинише се на следећи начин: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7"/>
        <w:gridCol w:w="9730"/>
      </w:tblGrid>
      <w:tr w:rsidR="000B7E24" w:rsidRPr="000B7E24" w:rsidTr="00CA5B64">
        <w:trPr>
          <w:trHeight w:val="45"/>
          <w:tblCellSpacing w:w="0" w:type="auto"/>
        </w:trPr>
        <w:tc>
          <w:tcPr>
            <w:tcW w:w="7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36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садржај угљеника улазног или излазног тока у складу са чл. 29– 32. овог правилника у односу на репрезентативни узорак горива, производа и нуспроизвода, утврђивање њиховог садржаја угљеника и удела биомасе. Оператер одређује садржај угљеника у производима или полуготовим производима на годишњим анализама у складу са чл. 29–32. овог правилника или изводи садржај угљеника из вредности састава средњег опсега као што је утврђено у релевантним међународним или националним стандардима.</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6.</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или прерада ферозних и обојених метала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не примењује одредбе овог одељка за мониторинг и извештавање о емисијама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производње сировог гвожђа и челика и примарног алуминијума.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за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конвенционална горива; алтернативна горива укључујући пластичне гранулате из погона за обраду уситњеног отпадног метала; редукујуће агенсе укључујући кокс, графитне електроде; сировине укључујући кречњак и доломит; руде метала и концентрате који садрже угљеник; и секундардне сировине.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угљеник који настаје из горива или улазних материјала који се користе у постројењу остане у производима или другим излазним материјалима из производње, оператер користи биланс масе у складу са чланом 22. и Одељком 3. у Прилогу 2. овог правилника. Ако то није случај, оператер одвојено одређује емисију из сагоревања и емисију из производног процеса користећи стандардну методологију у складу са чланом 21. и одељцима 2. и 4. у Прилогу 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се користи биланс масе, оператер може да укључи емисије из процеса сагоревања у билансу масе или да користи стандардну методологију у складу са чланом 21. и Одељком 1. овог прилога за један део токова извора, избегавајући изостављање или двоструко рачунање емисија.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7.</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Емисије CO</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 xml:space="preserve"> из производње или прераде примарног алуминијума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одредбе овог одељка на мониторинг и извештавање о емисијама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производње електрода за топљење примарног алуминијума, укључујући самосталне погоне за производњу таквих електрода и потрошњу електрода за време електролизе.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за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горива за производњу топлоте или паре, производњу електрода, редукцију Al</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за време електролизе која је повезана за утрошком електрода и коришћење натријум карбоната или других карбоната за чишћење отпадног гаса.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повезаних емисија перфлуороугљеника – PFC, које су резултат анодних ефеката, укључујући фугитивне емисије, врши се у складу са Одељком 8. овог прилога.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производње или прераде примарног алуминијума користећи методологију биланса масе у складу са чланом 22. овог правилника. Методологијом биланса масе узима се у обзир укупан угљеник у улазним материјалима, залихама, производима и другим извозима из мешања, обликовања, печења и рециклирања електрода као и из употребе електрода у електролизи. Ако се користе претпечене аноде могу да се користе или одвојени биланси маса за производњу и потрошњу или један заједнички биланс маса узимајући у обзир и производњу и потрошњу електрода. Ако се користе Содербергове ћелије оператер примењује један заједнички биланс масе.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емисије из процеса сагоревања оператер може да изабере да их укључи у билансу масе или да користи стандардну методологију у складу са чланом 21. и Одељком 1. овог прилога најмање за један део токова извора, избегавајући изостављање или двоструко рачунање емисија.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Oдељак 8.</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 xml:space="preserve"> Eмисије перфлуороугљеника из производње или прераде примарног алуминијума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за емисије перфлуороугљеника (PFC) које настају из анодних ефеката укључујући фугитивне емисије PFC примењује следеће одредбе. За повезане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укључујући емисије из производње електрода, оператер примењује Одељак 7. овог прилога. Оператер затим врши прорачун емисије PFC које нису повезане са анодним ефектом на основу метода процене у складу са најбољом индустријском праксом и свим смерницама које у том циљу објави надлежни орган.</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Утврђивање емисија перфлуороугљеника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PFC рачунају се из емисија које се мере у цеви или димњаку („емисије са места извора”) као и из фугитивних емисија користећи ефикасност сакупљања цеви: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PFC (укупно) = Eмисије PFC (цев)/ефикасност сакупљања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Ефикасност сакупљања мери се када су утврђени специфични емисиони фактори за постројење. За њихово утврђивање користи се најновија верзија упутства наведеног у нивоу 3 у Одељку 4.4.2.4. Упутства IPCC из 2006. године.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рачуна емисије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и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које се емитују кроз цев или димњак помоћу једне од следећих метода: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Метода А која бележи трајање анодног ефекта у минутама по ћелији-дану;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Метода Б која бележи пренапон анодног ефекта.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Прорачун по методи A – метода нагиба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следеће једначине за одређивање емисија PFC:</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Eмисије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[t] = AEM × (SEFCF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/1 000) × PrAl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Eмисије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[t] = Емисије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 FC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AEM= анодни ефекат у минутама/ћелија-дан;</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SEFCF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Емисиони фактор нагиба [(kg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/t произведеног Al)/(анодни ефекат у минутама/ћелија-дан)]. Када се користе различити типови ћелија, могу се применити различити емисиони фактори нагиба, у зависности од датог случаја;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PrAl= годишња производња примарног алуминијума [t];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тежинска фракција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/t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Анодни ефекат у минутама по ћелији-дану изражава учесталост анодних ефеката (број анодних ефеката/ћелија-дан) помножену са просечним трајањем анодних ефеката (минути трајања анодног ефекта/по појави):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AEM = учесталост × просечно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7"/>
        <w:gridCol w:w="9230"/>
      </w:tblGrid>
      <w:tr w:rsidR="000B7E24" w:rsidRPr="000B7E24" w:rsidTr="00CA5B64">
        <w:trPr>
          <w:trHeight w:val="45"/>
          <w:tblCellSpacing w:w="0" w:type="auto"/>
        </w:trPr>
        <w:tc>
          <w:tcPr>
            <w:tcW w:w="5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w:t>
            </w:r>
          </w:p>
        </w:tc>
        <w:tc>
          <w:tcPr>
            <w:tcW w:w="138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(емисиони фактор нагиба, SEFCF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изражава количину [kg]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емитовану по t произведеног алуминијума по минути трајања анодног ефекта/ ћелија-дан. Емисиони фактор (тежински удео FC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изражава количину [t]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емитовану пропорцијално количини [t] емитованог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w:t>
            </w:r>
          </w:p>
        </w:tc>
      </w:tr>
      <w:tr w:rsidR="000B7E24" w:rsidRPr="000B7E24" w:rsidTr="00CA5B64">
        <w:trPr>
          <w:trHeight w:val="45"/>
          <w:tblCellSpacing w:w="0" w:type="auto"/>
        </w:trPr>
        <w:tc>
          <w:tcPr>
            <w:tcW w:w="5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8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емисионе факторе специфичне за технологију из Табеле 1. овог одељка.</w:t>
            </w:r>
          </w:p>
        </w:tc>
      </w:tr>
      <w:tr w:rsidR="000B7E24" w:rsidRPr="000B7E24" w:rsidTr="00CA5B64">
        <w:trPr>
          <w:trHeight w:val="45"/>
          <w:tblCellSpacing w:w="0" w:type="auto"/>
        </w:trPr>
        <w:tc>
          <w:tcPr>
            <w:tcW w:w="5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8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специфичне емисионе факторе за постројење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и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који су утврђени контиуираним или испрекиданим мерењима на лицу места. За утврђивање тих емисионих фактора оператер користи најновију верзију упутства наведеног под нивоом 3 Одељка 4.4.2.4 Упутства IPCCиз 2006. године. Емисиони фактор такође узима у обзир емисије везане за неанодни ефекат. Оператер одређује сваки емисиони фактор са максималном несигурношћу од ± 15 %.</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емисионе факторе најмање на сваке три године или и раније када се за то укаже потреба због релевантних измена у постројењу. Релевантне измене значе измену у дистрибуцији трајања анодног ефекта или измену контролног алгоритма који утиче на мешавину типова анодних ефеката или на природу рутине окончања анодног ефекта.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1: Емисиони фактори који су специфични за технологију у вези са подацима о активностима за метод нагиба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21"/>
        <w:gridCol w:w="3173"/>
        <w:gridCol w:w="2473"/>
      </w:tblGrid>
      <w:tr w:rsidR="000B7E24" w:rsidRPr="000B7E24" w:rsidTr="00CA5B64">
        <w:trPr>
          <w:trHeight w:val="45"/>
          <w:tblCellSpacing w:w="0" w:type="auto"/>
        </w:trPr>
        <w:tc>
          <w:tcPr>
            <w:tcW w:w="68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Технологија</w:t>
            </w:r>
          </w:p>
        </w:tc>
        <w:tc>
          <w:tcPr>
            <w:tcW w:w="43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(SEFCF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[(kg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/t Al)/(AE-мин/ћелија-дан)]</w:t>
            </w:r>
          </w:p>
        </w:tc>
        <w:tc>
          <w:tcPr>
            <w:tcW w:w="326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за C2F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(FC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/t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w:t>
            </w:r>
          </w:p>
        </w:tc>
      </w:tr>
      <w:tr w:rsidR="000B7E24" w:rsidRPr="000B7E24" w:rsidTr="00CA5B64">
        <w:trPr>
          <w:trHeight w:val="45"/>
          <w:tblCellSpacing w:w="0" w:type="auto"/>
        </w:trPr>
        <w:tc>
          <w:tcPr>
            <w:tcW w:w="68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Коморе за претпечење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(Centre Worked Prebake), CWPB</w:t>
            </w:r>
          </w:p>
        </w:tc>
        <w:tc>
          <w:tcPr>
            <w:tcW w:w="43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0,143</w:t>
            </w:r>
          </w:p>
        </w:tc>
        <w:tc>
          <w:tcPr>
            <w:tcW w:w="326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0,121</w:t>
            </w:r>
          </w:p>
        </w:tc>
      </w:tr>
      <w:tr w:rsidR="000B7E24" w:rsidRPr="000B7E24" w:rsidTr="00CA5B64">
        <w:trPr>
          <w:trHeight w:val="45"/>
          <w:tblCellSpacing w:w="0" w:type="auto"/>
        </w:trPr>
        <w:tc>
          <w:tcPr>
            <w:tcW w:w="68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Содербергова вертикална метода (VSS)</w:t>
            </w:r>
          </w:p>
        </w:tc>
        <w:tc>
          <w:tcPr>
            <w:tcW w:w="43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0,092</w:t>
            </w:r>
          </w:p>
        </w:tc>
        <w:tc>
          <w:tcPr>
            <w:tcW w:w="326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0,053</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Метода прорачуна Б – Метода препона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се мери пренапон анодног ефекта оператер користи следеће једначине за утврђивање емисија PFC:</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[t] = OVC × (AEO/CE) × PrAl × 0,001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[t] = емисије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 FC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OVC= коефицијент пренапона („емисиони фактор”) изражен као kg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по t алуминијума произведен по mV пренапона;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AEO= пренапон анодног ефекта по ћелији [mV] утврђен као интеграл (време × напон изнад циљаног напона) подељен кроз време (трајање) сакупљања података;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CE= просечно искоришћење струје у производњи алуминијума [%];</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PrAl= годишња производња примарног алуминијума [t];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CF2F6</w:t>
      </w:r>
      <w:r w:rsidRPr="000B7E24">
        <w:rPr>
          <w:rFonts w:ascii="Arial" w:eastAsiaTheme="minorHAnsi" w:hAnsi="Arial" w:cs="Arial"/>
          <w:noProof w:val="0"/>
          <w:color w:val="000000"/>
          <w:sz w:val="22"/>
          <w:szCs w:val="22"/>
          <w:lang w:val="en-US"/>
        </w:rPr>
        <w:t>= тежински удео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/t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Појам AEO/CE (пренапон анодног ефекта / тренутна ефикасност) изражава временски интегрисан просечни пренапон анодног ефекта [mV пренапона] по просечној искоришћености струје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7"/>
        <w:gridCol w:w="9230"/>
      </w:tblGrid>
      <w:tr w:rsidR="000B7E24" w:rsidRPr="000B7E24" w:rsidTr="00CA5B64">
        <w:trPr>
          <w:trHeight w:val="45"/>
          <w:tblCellSpacing w:w="0" w:type="auto"/>
        </w:trPr>
        <w:tc>
          <w:tcPr>
            <w:tcW w:w="42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w:t>
            </w:r>
          </w:p>
        </w:tc>
        <w:tc>
          <w:tcPr>
            <w:tcW w:w="1397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(„коефицијент пренапона” – OVC) изражава количину [kg]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који се емитује по t алуминијума по миливолту пренапона [mV]. Емисиони фактор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(тежнска фракција FC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изражава количину [t]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која се емитује пропорцијално количини [t] емитованог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w:t>
            </w:r>
          </w:p>
        </w:tc>
      </w:tr>
      <w:tr w:rsidR="000B7E24" w:rsidRPr="000B7E24" w:rsidTr="00CA5B64">
        <w:trPr>
          <w:trHeight w:val="45"/>
          <w:tblCellSpacing w:w="0" w:type="auto"/>
        </w:trPr>
        <w:tc>
          <w:tcPr>
            <w:tcW w:w="42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97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емисионе факторе специфичне за технологију из Табеле 2. овог одељка.</w:t>
            </w:r>
          </w:p>
        </w:tc>
      </w:tr>
      <w:tr w:rsidR="000B7E24" w:rsidRPr="000B7E24" w:rsidTr="00CA5B64">
        <w:trPr>
          <w:trHeight w:val="45"/>
          <w:tblCellSpacing w:w="0" w:type="auto"/>
        </w:trPr>
        <w:tc>
          <w:tcPr>
            <w:tcW w:w="42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97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емисионе факторе специфичне за постројење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[(kg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/t Al)/(mV)] и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/t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који су утврђени континуираним или повременим мерењима на лицу места. За утврђивање тих фактора емисије оператер користи најновију верзију смерница наведене у нивоу 3 Одељка 4.4.2.4 Упутства IPCC из 2006. године. Оператер одређује емисионе факторе са максималном несигурношћу од ± 15 % за сваки од њих.</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факторе емисије најмање на сваке три године или раније ако се за то укаже потреба због релевантних измена у постројењу. Релевантне измене укључују промену у дистрибуцији трајања анодног ефекта или промену у контролном алгоритму који утиче на мешавину типова анодних ефеката или природу рутине окончања анодног ефекта.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2: Емисиони фактори који су специфични за технологију у вези са подацима о активности за метод пренапона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61"/>
        <w:gridCol w:w="2888"/>
        <w:gridCol w:w="2418"/>
      </w:tblGrid>
      <w:tr w:rsidR="000B7E24" w:rsidRPr="000B7E24" w:rsidTr="00CA5B64">
        <w:trPr>
          <w:trHeight w:val="45"/>
          <w:tblCellSpacing w:w="0" w:type="auto"/>
        </w:trPr>
        <w:tc>
          <w:tcPr>
            <w:tcW w:w="73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Технологија</w:t>
            </w:r>
          </w:p>
        </w:tc>
        <w:tc>
          <w:tcPr>
            <w:tcW w:w="39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за CF</w:t>
            </w:r>
            <w:r w:rsidRPr="000B7E24">
              <w:rPr>
                <w:rFonts w:ascii="Arial" w:eastAsiaTheme="minorHAnsi" w:hAnsi="Arial" w:cs="Arial"/>
                <w:noProof w:val="0"/>
                <w:color w:val="000000"/>
                <w:sz w:val="22"/>
                <w:szCs w:val="22"/>
                <w:vertAlign w:val="subscript"/>
                <w:lang w:val="en-US"/>
              </w:rPr>
              <w:t>4</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[(kg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/t Al)/mV]</w:t>
            </w:r>
          </w:p>
        </w:tc>
        <w:tc>
          <w:tcPr>
            <w:tcW w:w="315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за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/t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w:t>
            </w:r>
          </w:p>
        </w:tc>
      </w:tr>
      <w:tr w:rsidR="000B7E24" w:rsidRPr="000B7E24" w:rsidTr="00CA5B64">
        <w:trPr>
          <w:trHeight w:val="45"/>
          <w:tblCellSpacing w:w="0" w:type="auto"/>
        </w:trPr>
        <w:tc>
          <w:tcPr>
            <w:tcW w:w="73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Коморе за претпечење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(Centre Worked Prebake), CWPB</w:t>
            </w:r>
          </w:p>
        </w:tc>
        <w:tc>
          <w:tcPr>
            <w:tcW w:w="39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1,16</w:t>
            </w:r>
          </w:p>
        </w:tc>
        <w:tc>
          <w:tcPr>
            <w:tcW w:w="315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0,121</w:t>
            </w:r>
          </w:p>
        </w:tc>
      </w:tr>
      <w:tr w:rsidR="000B7E24" w:rsidRPr="000B7E24" w:rsidTr="00CA5B64">
        <w:trPr>
          <w:trHeight w:val="45"/>
          <w:tblCellSpacing w:w="0" w:type="auto"/>
        </w:trPr>
        <w:tc>
          <w:tcPr>
            <w:tcW w:w="73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Содербергова вертикална метода (VSS)</w:t>
            </w:r>
          </w:p>
        </w:tc>
        <w:tc>
          <w:tcPr>
            <w:tcW w:w="39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15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0,053</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В. Утврђивање емисија CO</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(e)</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рачуна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(e) из емисија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и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на начин описан у даљем тексту користећи потенцијале глобалног загревања (GWP) наведене у Прилогу 5. Одељак 3. Табела 6.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Eмисије PFC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(e)] = емисије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[t] x * GWPCF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 емисије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xml:space="preserve"> [t] x * GWPC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9.</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цементног клинкера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за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калцинисање кречњака у сировинама, конвенционална фосилна горива за пећи, алтернативна горива за пећи и сировине на бази фосила, горива за пећи од биомасе (отпади биомасе), горива која нису за пећи, садржај некарбонатног угљеника у кречњаку и шкриљцима и сировине које се користе за чишћење отпадног гаса.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емисије из сагоревања врши се у складу са Одељком 1. овог прилога. Мониторинг емисија из производних процеса из компонената сировог брашна врши се у складу са Одељком 4. Прилога 2. овог правилника на основу карбонатног садржаја улазног материјала процеса (метод прорачуна А) или на основу количне произведеног клинкера (метод прорачуна Б). Карбонати који морају да се узму у обзир морају да обухвате најмање CaCO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MgCO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и FeCO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У случају методе А, карбонати које треба узети у обзир обухватаће најмање CaCO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MgCO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и FeCO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У случају методе Б, оператер узима у обзир најмање CaO и MgO, и доставља доказе надлежном органу у том смислу до које даље мере извори угљеника морају да се узму у обзир.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повезане са прашином која је уклоњена из процеса и некарбонатног угљеника у сировинама додају се у складу са пододељцима В и Г овог одељка.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Метода прорачуна А: на основу материјала који улази у пећ</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Ако прашина из цементне пећи (CKD) и </w:t>
      </w:r>
      <w:r w:rsidRPr="000B7E24">
        <w:rPr>
          <w:rFonts w:ascii="Arial" w:eastAsiaTheme="minorHAnsi" w:hAnsi="Arial" w:cs="Arial"/>
          <w:i/>
          <w:noProof w:val="0"/>
          <w:color w:val="000000"/>
          <w:sz w:val="22"/>
          <w:szCs w:val="22"/>
          <w:lang w:val="en-US"/>
        </w:rPr>
        <w:t>bypass</w:t>
      </w:r>
      <w:r w:rsidRPr="000B7E24">
        <w:rPr>
          <w:rFonts w:ascii="Arial" w:eastAsiaTheme="minorHAnsi" w:hAnsi="Arial" w:cs="Arial"/>
          <w:noProof w:val="0"/>
          <w:color w:val="000000"/>
          <w:sz w:val="22"/>
          <w:szCs w:val="22"/>
          <w:lang w:val="en-US"/>
        </w:rPr>
        <w:t xml:space="preserve"> прашина напусте систем пећи оператер не узима конкренту сировину као улазни материјал, већ емисије из CKD рачуна у складу са пододељком В овог одељка.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Осим ако је сирово брашно окарактерисано оператер примењује захтеве за несигурност за податке о активностима одвојено за сваки од одговарајућих материјала који улазе у пећ а који садржи угљеник, избегавајући двоструко рачунање или изостављање враћеног или обиђеног материјала. Ако се подаци о активностима одређују на основу произведеног клинкера, нето количина сировог брашна може да се утврди помоћу односа сировог брашна и клинкера специфичног за то постројење. Тај однос ажурира се најмање једном годишње уз примену индустријских смерница најбоље праксе.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Метода прорачуна Б: на основу произведеног клинкера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податке о активностима као количину клинкера [t] произведену у току периода извештавања на један од следећих начина: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5"/>
        <w:gridCol w:w="9852"/>
      </w:tblGrid>
      <w:tr w:rsidR="000B7E24" w:rsidRPr="000B7E24" w:rsidTr="00CA5B64">
        <w:trPr>
          <w:trHeight w:val="45"/>
          <w:tblCellSpacing w:w="0" w:type="auto"/>
        </w:trPr>
        <w:tc>
          <w:tcPr>
            <w:tcW w:w="7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w:t>
            </w:r>
          </w:p>
        </w:tc>
        <w:tc>
          <w:tcPr>
            <w:tcW w:w="136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директним вагањем клинкера;</w:t>
            </w:r>
          </w:p>
        </w:tc>
      </w:tr>
      <w:tr w:rsidR="000B7E24" w:rsidRPr="000B7E24" w:rsidTr="00CA5B64">
        <w:trPr>
          <w:trHeight w:val="45"/>
          <w:tblCellSpacing w:w="0" w:type="auto"/>
        </w:trPr>
        <w:tc>
          <w:tcPr>
            <w:tcW w:w="7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b)</w:t>
            </w:r>
          </w:p>
        </w:tc>
        <w:tc>
          <w:tcPr>
            <w:tcW w:w="136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основу испорука цемента, помоћу биланса материјала узимајући у обзир отпрему клинкера, доставу клинкера, као и варијације у залихама клинкера, користећи следећу формулу: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Произведени клинкер [t] = ((испоруке цемента [t] – варирање у залихама цемента [t]) * однос клинкера/цемента [t клинкера /t цемента]) – (достављени клинкер [t]) + (отпремљени клинкер [t]) – (варирање у залихама клинкера [t]).</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Оператер изводи однос цемент/клинкер за сваки различити производ цемента на основу одредби чл. 29–32. овог правилника или рачуна однос из разлике између испорука цемента и промена у залихама и свих материјала који се користе као адитиви цементу укључујући </w:t>
      </w:r>
      <w:r w:rsidRPr="000B7E24">
        <w:rPr>
          <w:rFonts w:ascii="Arial" w:eastAsiaTheme="minorHAnsi" w:hAnsi="Arial" w:cs="Arial"/>
          <w:i/>
          <w:noProof w:val="0"/>
          <w:color w:val="000000"/>
          <w:sz w:val="22"/>
          <w:szCs w:val="22"/>
          <w:lang w:val="en-US"/>
        </w:rPr>
        <w:t>bypass</w:t>
      </w:r>
      <w:r w:rsidRPr="000B7E24">
        <w:rPr>
          <w:rFonts w:ascii="Arial" w:eastAsiaTheme="minorHAnsi" w:hAnsi="Arial" w:cs="Arial"/>
          <w:noProof w:val="0"/>
          <w:color w:val="000000"/>
          <w:sz w:val="22"/>
          <w:szCs w:val="22"/>
          <w:lang w:val="en-US"/>
        </w:rPr>
        <w:t xml:space="preserve"> прашину и прашину из цементне пећи.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4. Прилога 2. овог правилника ниво 1 за емисиони фактор дефинише се на следећи начин: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1"/>
        <w:gridCol w:w="8766"/>
      </w:tblGrid>
      <w:tr w:rsidR="000B7E24" w:rsidRPr="000B7E24" w:rsidTr="00CA5B64">
        <w:trPr>
          <w:trHeight w:val="45"/>
          <w:tblCellSpacing w:w="0" w:type="auto"/>
        </w:trPr>
        <w:tc>
          <w:tcPr>
            <w:tcW w:w="215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224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емисиони фактор од 0,525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клинкер.</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В. Емисије повезане са испуштеном прашином</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додаје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w:t>
      </w:r>
      <w:r w:rsidRPr="000B7E24">
        <w:rPr>
          <w:rFonts w:ascii="Arial" w:eastAsiaTheme="minorHAnsi" w:hAnsi="Arial" w:cs="Arial"/>
          <w:i/>
          <w:noProof w:val="0"/>
          <w:color w:val="000000"/>
          <w:sz w:val="22"/>
          <w:szCs w:val="22"/>
          <w:lang w:val="en-US"/>
        </w:rPr>
        <w:t>bypass</w:t>
      </w:r>
      <w:r w:rsidRPr="000B7E24">
        <w:rPr>
          <w:rFonts w:ascii="Arial" w:eastAsiaTheme="minorHAnsi" w:hAnsi="Arial" w:cs="Arial"/>
          <w:noProof w:val="0"/>
          <w:color w:val="000000"/>
          <w:sz w:val="22"/>
          <w:szCs w:val="22"/>
          <w:lang w:val="en-US"/>
        </w:rPr>
        <w:t xml:space="preserve"> прашине или прашине из цементне пећи (CKD) које напуштају систем пећи, кориговане за однос парцијалног калцинисања CKD који се рачуна као емисија из производног процеса у складу са чланом 21. став 3. овог правилника. Изузетно од Одељка 4. Прилога 2. овог правилника нивои 1 и 2 за емисиони фактор дефинишу се на следећи начин:</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 Оператер примењује емисиони фактор од 0,525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прашине.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 Оператер одређује емисиони фактор (EF) најмање једном годишње у складу са чл. 29 - 32. овог правилника користећи следећу формулу:</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2" w:name="_idContainer023"/>
      <w:r w:rsidRPr="000B7E24">
        <w:rPr>
          <w:rFonts w:ascii="Arial" w:eastAsiaTheme="minorHAnsi" w:hAnsi="Arial" w:cs="Arial"/>
          <w:sz w:val="22"/>
          <w:szCs w:val="22"/>
          <w:lang w:eastAsia="sr-Latn-RS"/>
        </w:rPr>
        <w:drawing>
          <wp:inline distT="0" distB="0" distL="0" distR="0" wp14:anchorId="52FB5B1E" wp14:editId="0FE36FE9">
            <wp:extent cx="3237255" cy="6401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7255" cy="640131"/>
                    </a:xfrm>
                    <a:prstGeom prst="rect">
                      <a:avLst/>
                    </a:prstGeom>
                  </pic:spPr>
                </pic:pic>
              </a:graphicData>
            </a:graphic>
          </wp:inline>
        </w:drawing>
      </w:r>
    </w:p>
    <w:bookmarkEnd w:id="2"/>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je:</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EFCKD= Емисиони фактор парцијално калциноване прашине из цементне пећи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CKD];</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EFCli= Емисиони фактор специфичан за постројење за клинкер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клинкер];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d= степен калцинисања CKD (испуштени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као % укупног карбонатног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сировој мешавини).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 за емисиони фактор није примењив.</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Г. Емисије из некарбонатног угљеника у сировом брашну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емисије из некарбонатног угљеника макар из креча, шкриљца или алтернативних сировина (на пример летећи пепео) које се користе у сировом брашну у пећи у складу са чланом 21. став 3.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4 Прилога 2, примењују се следеће дефиниције нивоа за 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 Садржај некарбонатног угљеника у релевантној сировини процењује се користећи индустријске смернице најбоље праксе.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 Садржај некарбонатног угљеника у релевантној сировини одређује се најмање једном годишње у складу са одредбама чл. 29 - 32.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4 Прилога 2, примењују се следеће дефиниције нивоа за фактор конверзије: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 Примењује се фактор конверзије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 Фактор конверзије се рачуна примењујући најбољу индустријску праксу.</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10.</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креча или калцинисање доломита или магнезита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калцинисање кречњака, доломита или магнезита у сировинама, конвенционална фосилна горива за пећи, алтернативна горива за пећи и сировине на бази фосила, горива од биомасе за пећи (отпади биомасе) и друга горива.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Када се печени креч 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потиче од кречњака користе за процесе пречишћавања на такав начин да се поново веже отприлике иста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не захтева се да разградња карбоната и процес пречишћавања буду обухваћени одвојено у плану мониторинга постројења.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емисија из сагоревања врши се у складу са Одељком 1. овог прилога. Мониторинг емисија из производних процеса из сировина врши се у складу са Одељком 4 Прилога 2. овог правилника. Карбонати калцијума и магнезијума увек се узимају у обзир. Остали карбонати и некарбонатни угљеник у сировини узимају се у обзир кад год су релевантни за прорачун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методологију засновану на улазним материјалима, вредности садржаја карбоната коригују се за конкретни садржај влаге и јаловине у материјалу. У случају производње оксида магнезијума узимају се у обзир и остали минерали који садрже магнезијум осим карбоната, када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Избегава се двоструко рачунање или изостављање враћених или неискоришћених материјала. Када се примењује метод Б, прашина из пећи за креч сматра се одвојеним током извора у датом случају.</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В. Емисије из некарбонатног угљеника у сировинама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емисије из некарбонатног угљеника барем за кречњак, шкриљац или алтернативне сировине у пећи, у складу са чланом 21. став 3.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Прилога 2, Одељак 4, за емисиони фактор примењују се следеће дефиниције нивоа: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 Садржај некарбонатног угљеника у одговарајућој сировини процењује се на основу смерница најбоље индустријске праксе.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 Садржај некарбонатног угљеника у одговарајућој сировини утврђује се најмање једном годишње у складу са чл. 29–32.</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Прилога 2, Одељак 4, за конверзијски фактор примењују се следеће дефиниције нивоа: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 Примењује се фактор конверзије вредности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 Фактор конверзије рачуна се на основу најбоље индустријске праксе.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11.</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стакла, стакленог влакна или минералне вуне као изолационог материјала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Оператер примењује одредбе овог одељка и на постројења за производњу воденог стакла и камене вуне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разградња алкалних и земноалкалних карбоната као резултат топљења сировине, конвенционална фосилна горива, алтернативна горива и сировине на бази фосила, горива од биомасе (отпад биомасе), остала горива, адитиви који садрже угљеник укључујући кокс, угљену прашину и графит, накнадно сагоревање димних гасова и чишћење димних гасова.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емисија из сагоревања, укључујући чишћење димног гаса , врши се у складу са Одељком 1. овог прилога. Мониторинг процесних емисија из сировина врши се у складу са Одељком 4. Прилога 2. овог правилника. Карбонати који се узимају у обзир обухватају најмање CaCO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MgCO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Na</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NaHCO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BaCO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Li</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K</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и SrCO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Користи се само метода А. Мониторинг емисија из других процесних материјала укључујући кокс, графит и угљену прашину, врши се у складу са Одељком 4. Прилога 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4. Прилога 2 овог правилника, примењују се следеће дефиниције нивоа за 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 Користе се стехиометријски коефицијенти наведени у Одељку 2. Прилога 5. овог правилника. Чистоћа релевантних улазних материјала одређује се помоћу најбоље индустријске праксе.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 Утврђивање количине релевантних карбоната у сваком релевантном улазном материјалу врши се у складу са чл. 29–32.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фактор конверзије примењује се само ниво 1.</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12.</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керамичких производа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горива за пећи, калцинисање кречњака/доломита и других карбоната у сировини, кречњак и остали карбонати за смањење загађујућих материја у ваздуху и чишћење осталог димног гаса, фосилни/биомасни адитиви који се користе за постизање порозности укључујући полистирол, резидуе из производње папира или пиљевина, некарбонатни садржај угљеника у глини и осталим сировинама.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емисија из сагоревања укључујући чишћење димног гаса врши се у складу са Одељком 1. овог прилога. Мониторинг емисија из производних процеса из компонената и адитива сировог брашна врши се у складу са одељцима 4. Прилога 2. овог правилника. За керамику на бази пречишћених или синтетичких глина оператер може да користи или методу А или методу Б. За керамичке производе на бази непрерађене глине и у случајевима када се користе глине или адитиви са значајним органским садржајем оператер користи методу А. Карбонати калцијума увек се узимају у обзир. Остали карбонати и некарбонатни садржај угљеника у сировини узимају се у обзир када су релевантни за прорачун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Подаци активности за улазне материјале за Методу А могу се утврдити одговарајућим ретроградним прорачуном на основу најбоље индустријске праксе и који је одобрио надлежни орган. Таквим ретроградним прорачуном узима се у обзир какво је мерење на располагању за сушене сирове производе или печене производе, као и одговарајући извори података за влагу глине и адитиве и губитак при изгарању материјала у питању.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4. Прилога 2. овог правилника, примењују се следеће дефиниције нивоа за емисионе факторе за емисије из производних процеса сировина које садрже карбонате: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Метода A (на основу улазних материјала)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1"/>
        <w:gridCol w:w="9716"/>
      </w:tblGrid>
      <w:tr w:rsidR="000B7E24" w:rsidRPr="000B7E24" w:rsidTr="00CA5B64">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64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Конзервативна вредност 0,2 t CaCO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(што одговара 0,08794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по тони суве глине примењује се за рачунање емисионог фактора уместо резултата анализа. За сав неоргански и органски угљеник у материјалу глине сматраће се да је урачунат у вредност. Сматраће се да адитиви нису обухваћени у овој вредности.</w:t>
            </w:r>
          </w:p>
        </w:tc>
      </w:tr>
      <w:tr w:rsidR="000B7E24" w:rsidRPr="000B7E24" w:rsidTr="00CA5B64">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64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за сваки ток извора изводи се и ажурира најмање једном годишње користећи најбољу индустријску праксу узимајући у обзир специфичне услове односног постројења и асортиман производа који настају у том постројењу.</w:t>
            </w:r>
          </w:p>
        </w:tc>
      </w:tr>
      <w:tr w:rsidR="000B7E24" w:rsidRPr="000B7E24" w:rsidTr="00CA5B64">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364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Утврђивање састава релевантних сировина спроводи се у складу са чл. 29 – 32. овог правилника. Стехиометријски коефицијенти наведени у Одељку 2. Прилога 5 овог правилника користе се за конверзију података о саставу у емисионе факторе, по потреби.</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Метода Б (на основу резултата производње)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95"/>
        <w:gridCol w:w="9672"/>
      </w:tblGrid>
      <w:tr w:rsidR="000B7E24" w:rsidRPr="000B7E24" w:rsidTr="00CA5B64">
        <w:trPr>
          <w:trHeight w:val="45"/>
          <w:tblCellSpacing w:w="0" w:type="auto"/>
        </w:trPr>
        <w:tc>
          <w:tcPr>
            <w:tcW w:w="82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57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Конзервативна вредност од 0,123 t CаО (што одговара 0,09642 t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по тони производа примењује се за израчунавање емисионог фактора уместо резултата анализа. За сав неоргански и органски угљеник у материјалу глине сматраће се да је урачунат у вредност. Сматраће се да адитиви нису обухваћени у овој вредности.</w:t>
            </w:r>
          </w:p>
        </w:tc>
      </w:tr>
      <w:tr w:rsidR="000B7E24" w:rsidRPr="000B7E24" w:rsidTr="00CA5B64">
        <w:trPr>
          <w:trHeight w:val="45"/>
          <w:tblCellSpacing w:w="0" w:type="auto"/>
        </w:trPr>
        <w:tc>
          <w:tcPr>
            <w:tcW w:w="82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57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изводи се и ажурира најмање једном годишње користећи најбољу индустријску праксу узимајући у обзир специфичне услове односног постројења и асортиман производа који настају у том постројењу.</w:t>
            </w:r>
          </w:p>
        </w:tc>
      </w:tr>
      <w:tr w:rsidR="000B7E24" w:rsidRPr="000B7E24" w:rsidTr="00CA5B64">
        <w:trPr>
          <w:trHeight w:val="45"/>
          <w:tblCellSpacing w:w="0" w:type="auto"/>
        </w:trPr>
        <w:tc>
          <w:tcPr>
            <w:tcW w:w="82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1357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Утврђивање састава производа спроводи се у складу са чл. 29 - 32. овог правилника. Стехиометријски коефицијенти наведени у Прилогу 5, Одељак 2, Табела 3 овог правилника користе се за конверзију података о саставу у емисионе факторе под претпоставком да сви релевантни метални оксиди потичу од предметних карбоната, по потреби.</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Изузетно од Одељка 1. овог прилога, за чишћење димних гасова примењује се следећи ниво за емисиони фактор: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7"/>
        <w:gridCol w:w="8690"/>
      </w:tblGrid>
      <w:tr w:rsidR="000B7E24" w:rsidRPr="000B7E24" w:rsidTr="00CA5B6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21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стехиометријски коефицијент за CаCО</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из Одељка 2. Прилога 5. овог правилника.</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чишћење не користи се ниједан други ниво ни фактор конверзије. Избегава се двоструко рачунање из коришћеног кречњака рециклираног као сировина у истом постројењу.</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13.</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производа од гипса и гипс-картон плоча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свих врста активности сагоревања.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емисија из сагоревања врши се у складу са Одељком 1. овог прилога</w:t>
      </w:r>
      <w:r w:rsidRPr="000B7E24">
        <w:rPr>
          <w:rFonts w:ascii="Arial" w:eastAsiaTheme="minorHAnsi" w:hAnsi="Arial" w:cs="Arial"/>
          <w:b/>
          <w:noProof w:val="0"/>
          <w:color w:val="000000"/>
          <w:sz w:val="22"/>
          <w:szCs w:val="22"/>
          <w:lang w:val="en-US"/>
        </w:rPr>
        <w:t>.</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14.</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целулозе и папира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котлове, гасне турбине и друге уређаје са сагоревањем који производе пару или енергију, котлове за поновно искоришћење и друге уређаје у којима сагоревају отпадне течности из поступка прављења целулозе, пећи за сагоревање, пећи за креч и пећи за калцинисање, чишћење отпадног гаса и сушачи који раде на гориво (као нпр. инфрацрвени сушачи).</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емисија из сагоревања укључујући чишћење димног гаса врши се у складу са Одељком 1.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емисија из производних процеса са сировинама које су коришћене као додатне хемикалије, укључујући макар кречњак или натријум карбонат, вршиће се помоћу методе А у складу са Одељком 4. Прилога 2. овог правилника. За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емитује из процеса поновног искоришћења кречњачког муља у производњи целулозе сматра се да је то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рециклиране биомасе. Само се за количину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је пропорционална количини додатних хемикалија које улазе у процес сматра да даје емисије фосилног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емисије из додатних хемикалија важе следеће дефиниције нивоа за емисиони фактор: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8"/>
        <w:gridCol w:w="9469"/>
      </w:tblGrid>
      <w:tr w:rsidR="000B7E24" w:rsidRPr="000B7E24" w:rsidTr="00CA5B64">
        <w:trPr>
          <w:trHeight w:val="45"/>
          <w:tblCellSpacing w:w="0" w:type="auto"/>
        </w:trPr>
        <w:tc>
          <w:tcPr>
            <w:tcW w:w="113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132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Користе се стехиометријски коефицијенти из Одељка 2. Прилога 5. овог правилника. Чистоћа релевантних улазних материјала одређује се помоћу најбоље индустријске праксе. Изведене вредности коригују се у складу са садржајем влаге и јаловине у примењеним карбонатним материјалима.</w:t>
            </w:r>
          </w:p>
        </w:tc>
      </w:tr>
      <w:tr w:rsidR="000B7E24" w:rsidRPr="000B7E24" w:rsidTr="00CA5B64">
        <w:trPr>
          <w:trHeight w:val="45"/>
          <w:tblCellSpacing w:w="0" w:type="auto"/>
        </w:trPr>
        <w:tc>
          <w:tcPr>
            <w:tcW w:w="113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132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Утврђивање количине релевантних карбоната у сваком релевантном улазном материјалу спроводи се у складу са чл. 29–32. овог правилника. Стехиометријски коефицијенти наведени у Одељку 2. Прилога 5 овог правилника користе се за конверзију података о саставу у емисионе факторе, по потреби.</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фактор конверзије примењује се само ниво 1.</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15.</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индустријске чађи</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сва горива за сагоревање и сва горива која се користе као процесни материјал као изворе за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Мониторинг емисија из производње индустријске чађи мониторинг врши се или као да је у питању процес сагоревања, укључујући чишћење димног гаса, у складу са Одељком 1. овог прилога или помоћу методологије биланса масе у складу са чланом 22. и Одељком 3. Прилога 2. овог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16.</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Одређивање емисија азотсубоксида (N</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О) из производње азотне киселине, адипинске киселине, капролактама, глиоксала и глиоксилне киселине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за сваку активност из које произлазе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узима у обзир све изворе који емитују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производних процеса, укључујући и случајеве када се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производње каналишу кроз опрему за смањење. Ово обухвата било који од следећих процеса: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производња азотне киселине –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каталитичке оксидације амонијака и/или из јединица за смањење NОx/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производња адипинске киселине –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укључујући из реакције оксидације, сваку директну процесну вентилацију и/или сваку опрему за контролу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производња глиоксала и глиоксилне киселине –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укључујући емисије из процесних реакција, сваку директну процесну вентилацију и/или сваку опрему за контролу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производња капролактама –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укључујући емисије из процесних реакција, сваку директну процесну вентилацију и/или сваку опрему за контролу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Ове одредбе не важе за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сагоревања горива.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Утврђивање емисија N</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Б.1. Годишње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врши мониторинг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производње азотне киселине користећи континуирано мерење емисија. Оператер врши мониторинг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производње адипинске киселине, капролактама, глиоксала и глиоксилне киселине користећи методологију засновану на мерењу за смањене емисије и методу засновану на рачунању (на основу методологије биланса масе) за привремене појаве несмањених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сваки извор емисије где се примењује континуирано мерење емисија, оператер укупне годишње емисије сматра збиром свих једночасовних емисија користећи формулу дату у Одељку 3. Прилога 7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Б.2. Једночасовне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рачуна годишње просечне једночасовне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за сваки извор на који се примењује континуирано мерење емисије користећи формулу дату у Одељку 3. Прилога 7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једночасовне концентрације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димном гасу из сваког извора емисије користећи методологију засновану на мерењу на репрезентативном месту, након коришћења опреме за смањење NОx/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ако се врши смањење. Оператер примењује технике којима може да мери концентрације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свих извора емисије и у условима смањења и без смањења. Ако се појаве несигурности у таквим периодима оператер их узима у обзир у процени несигурности.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према потреби, коригује сва мерења на основу сувог гаса и о њима доследно извештава.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Б.3. Одређивање протока димног гаса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користи методе за мониторинг протока димног гаса из члана 40. став 9. овог правилника за мерење тока димног гаса за мониторинг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За производњу азотне киселине оператер примењује методу у складу са чланом 40. став 9. тачка 1) овог правилника, осим када то технички није изводљиво. У том случају и по добијању дозволе надлежног органа, оператер примењује алтернативну методу, укључујући методологију биланса масе засновану на значајним параметрима као што су количина улазног амонијака или утврђивање тока континуираним мерењем тока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Проток димног гаса се израчунава користећи следећу формулу: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 проток димног гаса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/h] = Vair * (1 – 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ваздух)/(1 – 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димни гас)</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Vair= Укупни улазни проток ваздуха у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/h у стандардним условима;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ваздух= Запремински удео 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сувом ваздуху [= 0,2095];</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димни гас= Запремински удео 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димном гасу.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Vair</w:t>
      </w:r>
      <w:r w:rsidRPr="000B7E24">
        <w:rPr>
          <w:rFonts w:ascii="Arial" w:eastAsiaTheme="minorHAnsi" w:hAnsi="Arial" w:cs="Arial"/>
          <w:noProof w:val="0"/>
          <w:color w:val="000000"/>
          <w:sz w:val="22"/>
          <w:szCs w:val="22"/>
          <w:lang w:val="en-US"/>
        </w:rPr>
        <w:t xml:space="preserve"> се рачуна као збир свих протока ваздуха који улазе у јединицу за производњу азотне киселине.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примењује следећу формулу, осим ако није другачије утврђено у његовом плану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Vair = Vprim + Vsec + Vseal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je:</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Vprim= примарни улазни проток ваздуха у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/h у стандардним условима;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Vsec= секундарни улазни проток ваздуха у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/h у стандардним условима;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Vseal= заптивени улатни проток ваздуха у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/h у стандардним условима.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одређује Vprim континуираним мерењем протока пре мешања са амонијаком. Оператер одређује Vsec континуираним мерењем протока укључујући случај када се мерење врши пре јединице за поновно искоришћење топлоте. За Vseal оператер узима у обзир пречишћени проток ваздуха у оквиру процеса производње азотне киселине.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улазне токове ваздуха који чине кумулативно мање од 2,5 % укупног протока ваздуха, надлежни орган може да прихвати методе процене за утврђивање брзине протока тог ваздуха које предлаже оператер на основу индустријских најбољих пракси.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доказује мерењима у уобичајеним радним условима да је измерени проток димног гаса довољно хомоген да омогући предложену методу мерења. Ако се овим мерењима потврди нехомогеност протока, оператер узима то у обзир када утврђује одговарајуће методе мониторинга и када рачуна несигурност у емисијама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подешава сва мерења на основу сувог гаса и о њима доследно извештава.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Б.4. Концентрације кисеоника (O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мери концентрације кисеоника у димном гасу ако је то неопходно за прорачун протока димног гаса у складу са пододељком Б.3. овог одељка. У ту сврху оператер испуњава захтеве за мерење концентрације из члана 38. овог правилника. При утврђивању несигурности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оператер узима у обзир несигурност мерења концентрације 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подешава сва мерења на основу сувог гаса и о њима доследно извештава.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Б.5. Прорачун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одређене периоде несмањених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производње адипинске киселине, капролактама, глиоксала и глиоксилне киселине, укључујући несмањене емисије из вентилације из безбедносних разлога и када не успе план смањења емисија, као и ако континуирано мерење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није технички изводљиво, оператер, ако од надлежног органа добије дозволу за конкретну методологију, израчунава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користећи методологију биланса масе. У ову сврху свеукупна несигурност биће слична резултату примене захтева нивоа из члана 38. овог правилника. Оператер заснива методу рачунања на максималној потенцијалној стопи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из хемијске реакције до које долази у то време и на периоду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узима у обзир несигурност у свим израчунатим емисијама за специфичан извор емисије при утврђивању годишње просечне једночасовне несигурности за извор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Б.6. Утврђивање производних стопа активности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Производне стопе рачунају се користећи дневне извештаје о производњи и часовима рада.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Б.7. Учесталост узорковања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Важећи једночасовни просеци или просеци за краће референтне периоде рачунају се у складу са чланом 41. овог правилника за: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концентрацију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О у димном гасу;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укупни проток димног гаса када се мери непосредно и ако је то потребно;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све токове гаса и концентрације кисеоника који су неопходни да се индиректно утврди укупни ток гаса.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В. Утврђивање годишњег еквивалента CO</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 CO</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(e)</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конвертује укупне годишње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 из свих извора емисије, мерено у тонама на три децимална места, у годишњи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(e) у заокруженим тонама, користећи следећу формулу и вредности потенцијала глобалног загревања (GWP) из Одељка 3. Прилога 5.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(e) [t] =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 годишње [t] x* GWPN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w:t>
      </w:r>
      <w:r w:rsidRPr="000B7E24">
        <w:rPr>
          <w:rFonts w:ascii="Arial" w:eastAsiaTheme="minorHAnsi" w:hAnsi="Arial" w:cs="Arial"/>
          <w:noProof w:val="0"/>
          <w:color w:val="000000"/>
          <w:sz w:val="22"/>
          <w:szCs w:val="22"/>
          <w:vertAlign w:val="subscript"/>
          <w:lang w:val="en-US"/>
        </w:rPr>
        <w:t>годишњe</w:t>
      </w:r>
      <w:r w:rsidRPr="000B7E24">
        <w:rPr>
          <w:rFonts w:ascii="Arial" w:eastAsiaTheme="minorHAnsi" w:hAnsi="Arial" w:cs="Arial"/>
          <w:noProof w:val="0"/>
          <w:color w:val="000000"/>
          <w:sz w:val="22"/>
          <w:szCs w:val="22"/>
          <w:lang w:val="en-US"/>
        </w:rPr>
        <w:t xml:space="preserve"> = укупне годишње емисије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 прорачунате у складу са формулом 1 која је дата у Одељку 3. Прилога 7.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Укупни годишњи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(e) који генеришу сви извори емисија и све директне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других извора обухваћених у дозволи за GHG додају се укупним годишњим емисијама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које генерише постројење и користе се за извештавање и враћање емисионих јединица.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 укупним годишњим емисијама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 извештава се у тонама са три децимална места и као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(e) у заокруженим тонама.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17.</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амонијака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сагоревање горива ради стварања топлоте за преобликовање или парцијалну оксидацију, горива која се користе као улазни материјал у процесу производње амонијака (преобликовање или парцијална оксидација), горива која се користе за друге процесе сагоревања ради производње вруће воде или паре.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мониторинг емисија из процеса сагоревања и из горива који се користе као улазни материјали у процесу примењује се стандардна методологија у складу са чланом 21. и Одељком 1.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производње амонијака користи као сировина за производњу уреје или других хемикалија или се преноси из постројења за било коју употребу која није обухваћена чланом 46. став 1. овог правилника, конкретна количина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узима се у обзир у количини у којој је емитована из постројења које производи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18.</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расутих органских хемикалија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крековање (каталичко и некаталитичко), преобликовање, парцијалну или потпуну оксидацију, сличне процесе који воде до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угљеника садржаног у сировини на бази угљоводоника, сагоревање отпадних гасова и спаљивање гаса бакљама и спаљивање горива у осталим процесима сагоревања.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је производња расутих органских хемикалија технички интегрисана у рафинерију минералног уља, оператер те инсталације примењује одговарајуће одредбе Одељка 2. овог прилога. Изузетно, оператер врши мониторинг емисија из процеса сагоревања ако коришћена горива нису део или потичу из хемијских реакција за производњу расутих органских хемикалија помоћу стандардне методологије у складу са чланом 21. овог правилника и Одељком 1. овог прилога. У свим другим случајевима, оператер може да изабере да врши мониторинг емисија из производње расутих органских хемикалија помоћу методологије биланса масе у складу са чланом 22. овог правилника или стандардне методологије у складу са чланом 21. овог правилника. Ако користи стандардну методологију оператер доказује Агенцији да изабрана методологија обухвата све релевантне емисије које би биле обухваћене и методологијом биланса масе.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утврђивање садржаја угљеника по нивоу 1 примењују се референтни емисиони фактори из Табеле 5. Прилога 5. овог правилника. За супстанце које нису наведене у Табели 5. Прилога 5. или другим одредбама овог правилника, оператер рачуна садржај угљеника из стехиометријског садржаја угљеника у чистој супстанци и концентрацији супстанце у улазном или излазном току.</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19.</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водоника и синтетског гаса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укључује најмање следеће потенцијалне изворе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горива која се користе у процесу производње водоника или синтетског гаса (обликовање или парцијална оксидација) и горива која се користе за друге процесе сагоревања укључујући у сврху производње вруће воде или паре. Произведени синтетски гас обухвата се као ток извора по методологији биланса масе.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мониторинг емисија из процеса сагоревања и из горива која се користе као улазни материјал у процесу производње водоника користи се стандардна методологија у складу са чланом 21. овог правилника и Одељком 1.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мониторинг емисија из производње синтетског гаса користи се биланс масе у складу са чланом 22. овог правилника. За емисије из одвојених процеса сагоревања оператер може да бира да их укључи у биланс масе или да користи стандардну методологију у складу са чланом 21. овог правилника најмање за један део токова извора, избегавајући изостављање или двоструко рачунање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се водоник и синтетски гас производе у истом постројењу оператер рачуна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користећи или одвојене методологије за водоник и за синтетски гас као што је наведено или користећи један заједнички биланс масе.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20.</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Производња натријум карбоната и натријум бикарбоната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Извори емисија и токови извора за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постројења за производњу натријум карбоната и натријум бикарбоната обухватају: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горива која се користе за процесе сагоревања, укључујући горива која се користе у циљу производње вруће воде или паре;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сировине, укључујући издувни гас из процеса калцинисања кречњака, у мери у којој се не користи за карбонизацију;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отпадне гасове од прања или филтрирања након карбонизације, у мери у којој се не користе за карбонизацију.</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Специфична правила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мониторинг емисија из производње натријум карбоната и натријум бикарбоната оператер користи биланс масе у складу са чланом 22. овог правилника. За емисије из процеса сагоревања оператер може да изабере да их обухвати у билансу масе или да користи стандардну методологију у складу са чланом 21. овог правилника за најмање један део токова извора, избегавајући свако изостављање или двоструко рачунање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производње натријум карбоната користи за производњу натријум бикарбоната за количину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се користи за производњу натријум бикарбоната од натријум карбоната сматра се да је емитована из постројења које производи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21.</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Одређивање емисија GHG услед хватања CО</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 xml:space="preserve"> за транспорт и геолошко складиштење на локацији за складиштење за коју је издата дозвола на основу прописа којим се уређује хватање и складиштење угљеника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Хватање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може да се спроведе у наменском постројењу за хватање које прима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преносом из једне или више других постројења или у истом постројењу које обавља активности у којима се производи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хвата на основу исте GHG дозволе. Сви делови постројења који су повезани с хватањем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међускладиштењем и преносом у мрежу за превоз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односно до локације за геолошко складиштење емисија GHG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морају бити обухваћени GHG дозволом и узети у обзир у плану мониторинга који је њен саставни део. У случају да постројење обавља друге делатности обухваћене прописом о делатностима у складу са законом којим се уређују климатске промене, емисије из тих делатности прате се у складу са одговарајућим одељцима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активности за хватање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укључује барем следеће потенцијалне изворе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преноси у постројење за хватање;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сагоревање и друге повезане активности у постројењу у вези са активношћу хватања, укључујући коришћење горива и улазног материјала.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Квантификовање пренесених и испуштених количина</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 xml:space="preserve"> CO</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 xml:space="preserve"> &lt;0}</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Б.1. Квантификовање на нивоу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рачуна емисије узимајући у обзир потенцијалне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свих релевантних процеса у којима настају емисије у постројењу, као и количину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се хвата и преноси у превозну мрежу, користећи следећу формулу: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 постројење за хватање = T улаз + E без хватања – T за складиштење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je:</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 постројење за хватање = укупне емисије GHG постројења за хватање;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улаз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пренесена у постројење за хватање, одређена у складу са чл. 37 – 43. и чланом 46.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 без хватања = емисије из постројења под претпоставком да се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не хвата, што значи збир емисија из свих других активности постројења, за која се врши мониторинг у складу са одговарајућим одељцима Прилога 3.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за складиштење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пренесена у превозну мрежу односно на локацију за складиштење, утврђена у складу са чл. 37–43. и чланом 46.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 случајевима кад се хватање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спроводи у истом постројењу која емитује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оператер за Т улаз узима вредност нула.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 случајевима чистих постројења за хватање, оператер за Е без хватања узима количину емисија из извора различитих од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преноси у постројење за хватање. Оператер одређује те емисије у складу са овим правилником.</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 случају чистих постројења за хватање, оператер постројења која преноси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постројење за хватање одузеће износ Т улаз од емисија властитог постројења у складу са чланом 46.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количину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се преноси из постројења за хватање и у постројење за хватање у складу с чланом 46. овог правилника користећи методологије мерења које се изводе у складу сa чл. 37–43.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оператер постројења која преноси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постројење за хватање на задовољавајући начин докаже надлежном органу да 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 у постројење за хватање у потпуности и с барем еквивалентном тачношћу, надлежни орган може дозволити оператеру да користи методологију на основу прорачуна у складу са чл. 21. или 22. овог правилника за утврђивање износа Т улаз уместо методологије на основу мерења у складу са чл. 37–43. и чланом 46. овог правилника.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22.</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Одређивање емисија гасова транспортованог CО</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 xml:space="preserve"> цевоводом ради геолошког складиштења на локацију за складиштење за коју је издата дозвола на основу прописа којим се уређује хватање и складиштење угљеника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А.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Границе за мониторинг и извештавање о емисијама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транспортованог цевоводом утврђене су у емисионој дозволи транспортне мреже која обухвата све помоћне погоне који су функционално повезани с превозном мрежом, укључујући компресорске станице и грејање. Свака транспортна мрежа има најмање једну почетну тачку и једну крајњу тачку, од којих је свака повезана с другим постројењима која спроводе барем једну од активности: хватања, транспорта или геолошког складиштења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Почетна и крајња тачка могу да обухвате бифуркације транспортне мреже и националне границе. Почетна и крајња тачка и постројења с којима су спојене утврђене су у емисионој дозволи.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разматра барем следеће потенцијалне изворе емисија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сагоревање и други процесе у постројењима која су функционално повезана с превозном мрежом, укључујући компресорске станице, фугитивне емисије из транспортне мреже; испуштене емисије из транспортне мреже; и емисије због пропуштања у транспортној мрежи.</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Методологије квантификације CO</w:t>
      </w:r>
      <w:r w:rsidRPr="000B7E24">
        <w:rPr>
          <w:rFonts w:ascii="Arial" w:eastAsiaTheme="minorHAnsi" w:hAnsi="Arial" w:cs="Arial"/>
          <w:b/>
          <w:noProof w:val="0"/>
          <w:color w:val="000000"/>
          <w:sz w:val="22"/>
          <w:szCs w:val="22"/>
          <w:vertAlign w:val="subscript"/>
          <w:lang w:val="en-US"/>
        </w:rPr>
        <w:t>2</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транспортне мреже одређује емисије користећи једну од следећих метода: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метода А (укупан биланс масе свих улазних и излазних токова) утврђена у пододељку Б.1.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метода Б (засебан мониторинг извора емисија) утврђена у пододељку Б.2.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Кад бира методе А или методе Б оператер на задовољавајући начин доказује надлежном органу да ће изабраном методологијом добити поузданије резултате уз мању несигурност укупних емисија, уз примену најбоље расположиве технологије и знања у тренутку подношења захтева за издавање емисионе дозволе и одобрење мониторинг плана, и да при томе неће настати неоправдано високи трошкови. Ако је изабрана метода Б оператер на задовољавајући начин доказује надлежном органу да укупна годишња несигурност емисија GHG оператерове транспортне мреже не прелази 7,5%.</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транспортне мреже који користи методу Б не додаје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примљн из другог постројења на основу дозволе за емисију гасова, нити од свог прорачунатог нивоа емисија одузима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преноси у друго постројење на основу дозволе за емисију гасова.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транспортне мреже користи методу А за проверу резултата методе Б барем једном годишње. У сврху те провере оператер може да користи ниже нивое за примену методе 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Б.1. Метода A</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емисије у складу са следећом формулом:</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3" w:name="_idContainer024"/>
      <w:r w:rsidRPr="000B7E24">
        <w:rPr>
          <w:rFonts w:ascii="Arial" w:eastAsiaTheme="minorHAnsi" w:hAnsi="Arial" w:cs="Arial"/>
          <w:sz w:val="22"/>
          <w:szCs w:val="22"/>
          <w:lang w:eastAsia="sr-Latn-RS"/>
        </w:rPr>
        <w:drawing>
          <wp:inline distT="0" distB="0" distL="0" distR="0" wp14:anchorId="2348F83E" wp14:editId="416817A6">
            <wp:extent cx="3237255" cy="3962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7255" cy="396278"/>
                    </a:xfrm>
                    <a:prstGeom prst="rect">
                      <a:avLst/>
                    </a:prstGeom>
                  </pic:spPr>
                </pic:pic>
              </a:graphicData>
            </a:graphic>
          </wp:inline>
        </w:drawing>
      </w:r>
    </w:p>
    <w:bookmarkEnd w:id="3"/>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 укупне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транспортне мреже [tCO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 властита делатност = емисије из властите делатности транспортне мреже, што значи емисије које не потичу од превезеног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укучујући емисије из горива коришћеног у компресорским станицама, које се прате у складу са одговарајућим одељцима Прилога 3.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w:t>
      </w:r>
      <w:r w:rsidRPr="000B7E24">
        <w:rPr>
          <w:rFonts w:ascii="Arial" w:eastAsiaTheme="minorHAnsi" w:hAnsi="Arial" w:cs="Arial"/>
          <w:noProof w:val="0"/>
          <w:color w:val="000000"/>
          <w:sz w:val="22"/>
          <w:szCs w:val="22"/>
          <w:vertAlign w:val="subscript"/>
          <w:lang w:val="en-US"/>
        </w:rPr>
        <w:t>IN,i</w:t>
      </w:r>
      <w:r w:rsidRPr="000B7E24">
        <w:rPr>
          <w:rFonts w:ascii="Arial" w:eastAsiaTheme="minorHAnsi" w:hAnsi="Arial" w:cs="Arial"/>
          <w:noProof w:val="0"/>
          <w:color w:val="000000"/>
          <w:sz w:val="22"/>
          <w:szCs w:val="22"/>
          <w:lang w:val="en-US"/>
        </w:rPr>
        <w:t>=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пренесена у превозну мрежу на улазној тачки i, утврђена у складу са чл.37. до 43. и чланом 46.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w:t>
      </w:r>
      <w:r w:rsidRPr="000B7E24">
        <w:rPr>
          <w:rFonts w:ascii="Arial" w:eastAsiaTheme="minorHAnsi" w:hAnsi="Arial" w:cs="Arial"/>
          <w:noProof w:val="0"/>
          <w:color w:val="000000"/>
          <w:sz w:val="22"/>
          <w:szCs w:val="22"/>
          <w:vertAlign w:val="subscript"/>
          <w:lang w:val="en-US"/>
        </w:rPr>
        <w:t>OUT</w:t>
      </w:r>
      <w:r w:rsidRPr="000B7E24">
        <w:rPr>
          <w:rFonts w:ascii="Arial" w:eastAsiaTheme="minorHAnsi" w:hAnsi="Arial" w:cs="Arial"/>
          <w:noProof w:val="0"/>
          <w:color w:val="000000"/>
          <w:sz w:val="22"/>
          <w:szCs w:val="22"/>
          <w:lang w:val="en-US"/>
        </w:rPr>
        <w:t>,i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пренесена из превозне мреже на излазној тачки i, утврђена у складу са чл. 37. до 43. и чланом 46.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Б.2. Метода Б</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емисије узимајући у обзир потенцијалне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свих релевантних процеса у којима настају емисије у постројењу као и количину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је ухваћена и пренесена у превозну мрежу помоћу следеће формуле: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Eмисије [tCO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фугитивни +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испуштени +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пропуштања +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Eмисије = укупне емисије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транспортне мреже [tCO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фугитивни = количина фугитивних емисија [tCO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од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превози у транспортној мрежи, укључујући емисије из заптивки, вентила, средњих компресорских станица и објеката за међускладиштење;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испуштени = количина испуштених емисија [tCO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од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превози у транспортној мрежи;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пропуштања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која се превози у транспортној мрежи и која се емитује као последица заказивања једне или више компоненти транспортне мреже;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постројења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од сагоревања и других процеса који су функционално повезани са превозом цевоводом у транспортној мрежи и за коју се врши мониторинг у складу са одговарајућим одељцима Прилога 3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Б.2.1. Фугитивне емисије из транспортне мреже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узима у обзир фугитивне емисије из било које од следећих врста опреме: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заптивке;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мерни инструменти;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вентили;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средње компресорске станице;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објекти за међускладиштење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на почетку рада, а најкасније до краја прве године извештавања од почетка рада транспортне мреже, утврђује просечне емисионе факторе EF (изражено у g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//јединица времена) по комаду опреме по догађају ако се могу очекивати фугитивне емисије. Оператер те факторе преиспитује најмање сваких 5 година у светлу најбољих расположивих техника и знања.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рачуна фугитивне емисије множењем броја комада опреме у свакој категорији емисионим фактором и сабирањем добијених резултата по категоријама, како је приказано у следећој једначини:</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4" w:name="_idContainer025"/>
      <w:r w:rsidRPr="000B7E24">
        <w:rPr>
          <w:rFonts w:ascii="Arial" w:eastAsiaTheme="minorHAnsi" w:hAnsi="Arial" w:cs="Arial"/>
          <w:sz w:val="22"/>
          <w:szCs w:val="22"/>
          <w:lang w:eastAsia="sr-Latn-RS"/>
        </w:rPr>
        <w:drawing>
          <wp:inline distT="0" distB="0" distL="0" distR="0" wp14:anchorId="51600CD3" wp14:editId="6CD8EC77">
            <wp:extent cx="3237255" cy="274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7255" cy="274345"/>
                    </a:xfrm>
                    <a:prstGeom prst="rect">
                      <a:avLst/>
                    </a:prstGeom>
                  </pic:spPr>
                </pic:pic>
              </a:graphicData>
            </a:graphic>
          </wp:inline>
        </w:drawing>
      </w:r>
    </w:p>
    <w:bookmarkEnd w:id="4"/>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догађаја је број комада дате опреме по категорији, помножен с бројем временских јединица годишње.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Б.2.2. Емисије због цурења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транспортне мреже доказује целовитост мреже путем репрезентативних (просторних и временских) података о температури и притиску.Ако подаци указују на то да је дошло до цурења оператер прорачунава количину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је исцурела користећи прикладну методологију документовану у мониторинг плану, на основу смерница најбоље индустријске праксе, укључујући на основу разлика температуре и притиска у односу на просечне вредности притиска и температуре за целовиту мрежу.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Б.2.3. Испуштене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 мониторинг плану даје анализу могућих случајева емисија, укључујући и за потребе одржавања и ванредних стања, и наводи прикладну документовану методологију за прорачунавање испуштене количине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на основу смерница најбоље индустријске праксе.</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23.</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Геолошко складиштење CO</w:t>
      </w:r>
      <w:r w:rsidRPr="000B7E24">
        <w:rPr>
          <w:rFonts w:ascii="Arial" w:eastAsiaTheme="minorHAnsi" w:hAnsi="Arial" w:cs="Arial"/>
          <w:b/>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 xml:space="preserve"> на локацијама за складиштење дозвољеним прописом којим се уређује хватање и складиштење угљеника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A. Област примене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Надлежни орган утврђује границе мониторинга и извештавања о емисијама из геолошког складиштења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на основу разграничења локације за складиштење и складишног комплекса, како је утврђено у дозволи издатој на основу прописа којим се уређује хватање и складиштење угљеника. Надлежни орган заснива границе мониторинга и извештавања о емисијама из геолошког складиштења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на разграничењу локације за складиштење и складишног комплекса, како је утврђено у дозволи на основу прописа којима се уређује хватање и складиштење угљеника. Ако се утврде пропуштања из складишног комплекса која доводе до емисија односно ослобађања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водени стуб, оператер без одлагања: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обавештава надлежни орган;</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укључује пропуштање као извор емисије предметног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врши мониторинг и извештава о емисијама.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брише конкретно испуштање као извор емисије из мониторинг плана и престаје да врши мониторинг и извештава о тим емисијама, тек након што предузме корективне мере у складу са прописом којим се уређује хватање и складиштење угљеника и након што се те емисије или ослобађање у водени стуб због тог пропуштања не могу више детектовати.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активности геолошког складиштења узима у обзир барем следеће потенцијалне изворе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коришћење горива у компресорским станицама и друге активности које укључују сагоревање, нпр. властите електране; испуштање из убризгавања и поступака поновног искоришћења угљоводоника; фугитивне емисије из убризгавања;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истиче код поступака поновног искоришћења угљоводоника; и цурења.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 Квантификација емисија CO</w:t>
      </w:r>
      <w:r w:rsidRPr="000B7E24">
        <w:rPr>
          <w:rFonts w:ascii="Arial" w:eastAsiaTheme="minorHAnsi" w:hAnsi="Arial" w:cs="Arial"/>
          <w:b/>
          <w:noProof w:val="0"/>
          <w:color w:val="000000"/>
          <w:sz w:val="22"/>
          <w:szCs w:val="22"/>
          <w:vertAlign w:val="subscript"/>
          <w:lang w:val="en-US"/>
        </w:rPr>
        <w:t>2</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активности геолошког складиштења не додаје свом прорачунатом нивоу емисија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примљен из других постројења нити од свог прорачунатог нивоа емисија одузима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се геолошки складиште на локацији за складиштење или који се преноси у друго постројење.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Б.1 Испуштене емисије и фугитивне емисије из убризгавања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испуштене емисије и фугитивне емисије на следећи начин:</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емитован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 = V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 + F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 испуштена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фугитивних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V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користећи методологије на основу мерења у складу са чл. 38– 43. овог правилника. Одступајући од прве реченице и након одобрења надлежног органа, оператер може у мониторинг план укључити одговарајућу методологију за утврђивање V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на основу најбоље индустријске праксе, ако би примена методологија на основу мерења довела до неоправдано високих трошкова.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сматра F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једним извором, што значи да се захтеви за несигурност повезани с нивоима из Одељка 1. Прилога 7 овог правилника примењују на укупну вредност уместо на појединачне тачке емисије. Сваки оператер даје у плану мониторинга анализу могућих извора фугитивних емисија и наводи прикладну документовану методологију за прорачунавање односно мерење количине F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на основу смерница најбоље индустријске праксе. За утврђивање F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оператер може да користи податке који су прикупљени у складу са чл. 29–32. овог правилника и прописа којим се уређује хватање и складиштење угљеника, за објекат за убризгавање, ако су они у складу са захтевима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Б2. Испуштене емисије и фугитивне емисије из поступака поновног искоришћења угљоводоника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узима у обзир следеће потенцијалне додатне изворе емисија из поступака поновног искоришћења угљоводоника: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јединице за одвајање нафте и гаса и инсталација за рециклирање гаса, где могу настати фугитивне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димњак бакље, где могу настати емисије због примене система континуираног прочишћавања и током отпуштања притиска постројења за производњу угљоводоника;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систем за издвајање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који се користи како високе концентрације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не би угасиле бакљу.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фугитивне емисије или испуштени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складу са пододељком Б.1. овог одељка.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утврђује емисије из димњака бакље у складу са пододељком Г. Одељка 1 овог прилога, узимајући у обзир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може бити садржан у гасу који се спаљује у складу са чланом 45.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Б3. Пропуштање из складишног комплекса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и ослобађање у водени стуб квантификују се на следећи начин:</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5" w:name="_idContainer026"/>
      <w:r w:rsidRPr="000B7E24">
        <w:rPr>
          <w:rFonts w:ascii="Arial" w:eastAsiaTheme="minorHAnsi" w:hAnsi="Arial" w:cs="Arial"/>
          <w:sz w:val="22"/>
          <w:szCs w:val="22"/>
          <w:lang w:eastAsia="sr-Latn-RS"/>
        </w:rPr>
        <w:drawing>
          <wp:inline distT="0" distB="0" distL="0" distR="0" wp14:anchorId="58F48E0F" wp14:editId="38FAC6F7">
            <wp:extent cx="3237255" cy="542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7255" cy="542595"/>
                    </a:xfrm>
                    <a:prstGeom prst="rect">
                      <a:avLst/>
                    </a:prstGeom>
                  </pic:spPr>
                </pic:pic>
              </a:graphicData>
            </a:graphic>
          </wp:inline>
        </w:drawing>
      </w:r>
    </w:p>
    <w:bookmarkEnd w:id="5"/>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L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 маса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се емитује односно ослобађа по календарском дану због пропуштања у складу са следећим:</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за сваки календарски дан мониторинга пропуштања, оператер прорачунава L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као просечну вредност масе која истиче по часу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/h] помножено са 24;</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оператер утврђује масу која истиче по часу у складу са одредбама одобреног мониторинг плана за локацију за предметно складиштење и пропуштање;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оператер узима да је дневна маса која је истекла у сваком календарском дану пре почетка мониторинга једнака дневној маси која је истекла првога дан мониторинга, при чему треба спречити потцењивање вредности;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start= најкаснији од следећих датума: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најкаснији датум када нису забележене емисије односно ослобађање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водени стуб из извора који се посматра;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датум кад је започело убризгавање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други датум, ако може да се на задовољавајући начин докаже надлежном органу да емисија односно ослобађање у водени стуб није могла започети пре тога датума.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end= датум до којег су предузете корективне мере на основу прописа којим се уређује хватање и складиштење угљеника и више се не бележе емисије односно ослобађање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водени стуб.</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Надлежни орган се може сагласити са коришћењем других метода за квантификовање емисија односно ослобађања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водени стуб код пропуштања ако оператер на задовољавајући начин докаже надлежном органу да такве методе осигуравају већу тачност од методологије утврђене у овом пододељку.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 квантификује количину емисија које су истекле из складишног комплекса код сваког случаја пропуштања тако да највиша укупна несигурност током периода извештавања износи 7,5 %. Ако укупна несигурност примењене методологије квантификовања прелази 7,5%, оператер примењује усклађивање како следи: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пријављени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 =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квантификовани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 (1 + (несигурносни систем[%]/100) – 0,075)</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су: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пријављени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која се наводи у годишњем извештају о емисијама за предметни случај пропуштања;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квантификовани = количина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утврђена примењеном методологијом квантификовања за предметни случај пропуштања;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Несигурносни систем = ниво несигурности повезан са примењеном методологијом квантификовања за предметни случај пропуштања.</w:t>
      </w:r>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4</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МИНИМАЛНИ НИВОИ ЗА МЕТОДОЛОГИЈЕ НА ОСНОВУ ПРОРАЧУНА ЗА ПОСТРОЈЕЊА А КАТЕГОРИЈЕ И ОБРАЧУНСКИ ФАКТОРИ ЗА КОМЕРЦИЈАЛНА СТАНДАРДНА ГОРИВА КОЈА КОРИСТЕ ПОСТРОЈЕЊА Б И Ц КАТЕГОРИЈЕ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1.</w:t>
      </w:r>
      <w:r w:rsidRPr="000B7E24">
        <w:rPr>
          <w:rFonts w:ascii="Arial" w:eastAsiaTheme="minorHAnsi" w:hAnsi="Arial" w:cs="Arial"/>
          <w:noProof w:val="0"/>
          <w:color w:val="000000"/>
          <w:sz w:val="22"/>
          <w:szCs w:val="22"/>
          <w:lang w:val="en-US"/>
        </w:rPr>
        <w:t xml:space="preserve"> Минимални нивои који се примењују за методологије на основу прорачуна за постројења А категорије и обрачунски фактори за комерцијална стандардна горива за сва постројења у складу са чланом 23. став 1. тачка 1) овог правилника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7"/>
        <w:gridCol w:w="1380"/>
        <w:gridCol w:w="1385"/>
        <w:gridCol w:w="1319"/>
        <w:gridCol w:w="1440"/>
        <w:gridCol w:w="1583"/>
        <w:gridCol w:w="1313"/>
      </w:tblGrid>
      <w:tr w:rsidR="000B7E24" w:rsidRPr="000B7E24" w:rsidTr="00CA5B64">
        <w:trPr>
          <w:trHeight w:val="45"/>
          <w:tblCellSpacing w:w="0" w:type="auto"/>
        </w:trPr>
        <w:tc>
          <w:tcPr>
            <w:tcW w:w="3792" w:type="dxa"/>
            <w:vMerge w:val="restart"/>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Активност/врста тока извора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Подаци о активностима</w:t>
            </w:r>
          </w:p>
        </w:tc>
        <w:tc>
          <w:tcPr>
            <w:tcW w:w="2213" w:type="dxa"/>
            <w:vMerge w:val="restart"/>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w:t>
            </w:r>
          </w:p>
        </w:tc>
        <w:tc>
          <w:tcPr>
            <w:tcW w:w="3358" w:type="dxa"/>
            <w:vMerge w:val="restart"/>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Подаци о саставу (Садржај угљеника) (*)</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Оксидациони фактор</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Фактор конверзије</w:t>
            </w:r>
          </w:p>
        </w:tc>
      </w:tr>
      <w:tr w:rsidR="000B7E24" w:rsidRPr="000B7E24" w:rsidTr="00CA5B6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Количина горива или материјала</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Нето калоријска вредност</w:t>
            </w:r>
          </w:p>
        </w:tc>
        <w:tc>
          <w:tcPr>
            <w:tcW w:w="0" w:type="auto"/>
            <w:vMerge/>
            <w:tcBorders>
              <w:top w:val="nil"/>
              <w:left w:val="single" w:sz="8" w:space="0" w:color="000000"/>
              <w:bottom w:val="single" w:sz="8" w:space="0" w:color="000000"/>
              <w:right w:val="single" w:sz="8" w:space="0" w:color="000000"/>
            </w:tcBorders>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Сагоревање горива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Комерцијална стандардна горива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Остала гасовита и течна горива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Чврста горива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 за терминале за прераду гаса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Бакље за спаљивање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димног гаса (карбонат)</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димног гаса (гипс)</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(уреа)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Рафинисање минералног уља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Регенерација катализатора из процеса крековања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кокса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Гориво као улазни материјал у процесу</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Печење и синтеровање руде метала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Доток карбоната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гвожђа и челика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Гориво као улазни материјал</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или прерада ферозних и обојених метала, укључујући секундарни алуминијум</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Eмисије из производних процеса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примарног алуминијума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 за емисије CO</w:t>
            </w:r>
            <w:r w:rsidRPr="000B7E24">
              <w:rPr>
                <w:rFonts w:ascii="Arial" w:eastAsiaTheme="minorHAnsi" w:hAnsi="Arial" w:cs="Arial"/>
                <w:noProof w:val="0"/>
                <w:color w:val="000000"/>
                <w:sz w:val="22"/>
                <w:szCs w:val="22"/>
                <w:vertAlign w:val="subscript"/>
                <w:lang w:val="en-US"/>
              </w:rPr>
              <w:t>2</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PFC (метода нагиба)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Емисије PFC (метода пренапона)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цементног клинкера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основу материјала који улазе у пећ (Метода A)</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основу произведеног клинкера (Метода Б)</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Прашина из цементне пећи</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Улаз некарбонатног угљеника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креча и калцинисање доломита и магнезита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Карбонати (Метода A)</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Други улазни материјали у процесу</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Земноалкални оксиди (Метода Б)</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стакла и минералне вуне</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Улаз карбоната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Други улазни материјали у процесу</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керамичких производа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Улаз угљеника (Метода A)</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Други улазни материјали у процесу</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Алкални оксиди (Метода Б)</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Чишћење димног гаса</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гипса и гипс-картон плоча: видети Сагоревање горива</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целулозе и папира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Додатне хемикалије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индустријске чађи</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Методологија биланса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амонијака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Гориво као улазни материјал у процесу</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расутих органских хемикалија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водоника и синтетског гаса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Гориво као улазни материјал у процесу</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2a/2б</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Производња натријум карбоната и натријум бикарбоната</w:t>
            </w:r>
          </w:p>
        </w:tc>
      </w:tr>
      <w:tr w:rsidR="000B7E24" w:rsidRPr="000B7E24" w:rsidTr="00CA5B64">
        <w:trPr>
          <w:trHeight w:val="45"/>
          <w:tblCellSpacing w:w="0" w:type="auto"/>
        </w:trPr>
        <w:tc>
          <w:tcPr>
            <w:tcW w:w="379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Биланс масе</w:t>
            </w:r>
          </w:p>
        </w:tc>
        <w:tc>
          <w:tcPr>
            <w:tcW w:w="112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w:t>
            </w:r>
          </w:p>
        </w:tc>
        <w:tc>
          <w:tcPr>
            <w:tcW w:w="2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221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335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85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Напомена: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за емисионе факторе односи се на прелиминарни емисиони фактор, а садржај угљеника односи се на укупан садржај угљеника. За мешане материјале, удео биомасе мора се одредити посебно. Ниво 1 је најмањи ниво који треба да се примени за удео биомасе у случају постројења А категорије, а у случају комерцијалних стандардних горива за сва постројења у складу са чланом 23. став 1. тачка 1)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н.п. значи није примењиво</w:t>
      </w:r>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5</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РЕФЕРЕНТНЕ ВРЕДНОСТИ ЗА ФАКТОРЕ ПРОРАЧУНА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1.</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Емисиони фактори за горива повезани са нето калоријским вредностима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1. Емисиони фактори за горива повезани са нето калоријском вредности и нето калоријске вредности по маси горива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4"/>
        <w:gridCol w:w="1516"/>
        <w:gridCol w:w="1506"/>
        <w:gridCol w:w="5511"/>
      </w:tblGrid>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Oпис врсте горива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b/>
                <w:noProof w:val="0"/>
                <w:color w:val="000000"/>
                <w:sz w:val="22"/>
                <w:szCs w:val="22"/>
                <w:lang w:val="en-US"/>
              </w:rPr>
              <w:t>/TJ)</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Нето калоријска вредност (TJ/Gg)</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Извор</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Сирова нафта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42,3</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Оримулзија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77,0</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27,5</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Течности природног гаса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64,2</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44,2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Бензин за моторе</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69,3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44,3</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Керозин (а да није млазни керозин)</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71,9</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43,8</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Уље из шкриљца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38,1</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Гасно уље/дизел уље</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74,1</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43,0</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Резидуално лож уље</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77,4</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40,4</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Течни нафтни гасови</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63,1</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47,3</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Eтан</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61,6</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46,4</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Нафта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44,5</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Битумен</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80,7</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40,2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Mазива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40,2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Нафтни кокс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97,5</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32,5</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Рафинеријске сировине</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43,0</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Рафинеријски гас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57,6</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49,5</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Парафински восак</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40,2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Бели шпиритус и </w:t>
            </w:r>
            <w:r w:rsidRPr="000B7E24">
              <w:rPr>
                <w:rFonts w:ascii="Arial" w:eastAsiaTheme="minorHAnsi" w:hAnsi="Arial" w:cs="Arial"/>
                <w:i/>
                <w:noProof w:val="0"/>
                <w:color w:val="000000"/>
                <w:sz w:val="22"/>
                <w:szCs w:val="22"/>
                <w:lang w:val="en-US"/>
              </w:rPr>
              <w:t>SBP</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40,2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Остали нафтни деривати</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40,2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Антрацит</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98,3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26,7</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Коксни угаљ</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94,6</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28,2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Остали битуминозни угаљ</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94,6</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25,8</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Суббитуминозни угаљ</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96,1</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18,9</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Лигнит</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101,0</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11,9</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Уљни шкриљац и катрански песак</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107,0</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8,9</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Вештачко гориво</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97,5</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20,7</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Кокс из коксаре и лигнитни кокс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107,0</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28,2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Гасни кокс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107,0</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28,2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Катран од угља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80,7</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28,0</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Гас из постројења за производњу гаса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44,4</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38,7</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Гас из коксаре</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44,4</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38,7</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Високопећни гас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260</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2,47</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Конверторски гас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182</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7,06</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Природни гас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56,1</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48,0</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Индустријски отпад</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143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Отпадна уља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73,3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40,2</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Тресет</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106,0</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9,76</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Дрво/дрвни отпад</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15,6</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Остала примарна чврста биомаса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11,6</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Дрвени угаљ</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29,5</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Биобензин</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27,0</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Биодизели</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27,0</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Остала течна биогорива</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27,4</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Депонијски гас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50,4</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Муљни гас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50,4</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Остали биогас</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50,4</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Упутство IPCC 2006 (само NCV)</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Отпадне гуме</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85,0 </w:t>
            </w:r>
            <w:r w:rsidRPr="000B7E24">
              <w:rPr>
                <w:rFonts w:ascii="Arial" w:eastAsiaTheme="minorHAnsi" w:hAnsi="Arial" w:cs="Arial"/>
                <w:noProof w:val="0"/>
                <w:color w:val="000000"/>
                <w:sz w:val="22"/>
                <w:szCs w:val="22"/>
                <w:vertAlign w:val="superscript"/>
                <w:lang w:val="en-US"/>
              </w:rPr>
              <w:t>(1)</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Иницијатива цементне индустрије за одрживи развој (WBCSD CSI)</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Угљен моноксид</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155,2 </w:t>
            </w:r>
            <w:r w:rsidRPr="000B7E24">
              <w:rPr>
                <w:rFonts w:ascii="Arial" w:eastAsiaTheme="minorHAnsi" w:hAnsi="Arial" w:cs="Arial"/>
                <w:noProof w:val="0"/>
                <w:color w:val="000000"/>
                <w:sz w:val="22"/>
                <w:szCs w:val="22"/>
                <w:vertAlign w:val="superscript"/>
                <w:lang w:val="en-US"/>
              </w:rPr>
              <w:t>(2)</w:t>
            </w:r>
            <w:r w:rsidRPr="000B7E24">
              <w:rPr>
                <w:rFonts w:ascii="Arial" w:eastAsiaTheme="minorHAnsi" w:hAnsi="Arial" w:cs="Arial"/>
                <w:noProof w:val="0"/>
                <w:color w:val="000000"/>
                <w:sz w:val="22"/>
                <w:szCs w:val="22"/>
                <w:lang w:val="en-US"/>
              </w:rPr>
              <w:t> </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10,1</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J. Falbe and M. Regitz, Römpp Chemie Lexikon, Stuttgart, 1995</w:t>
            </w:r>
          </w:p>
        </w:tc>
      </w:tr>
      <w:tr w:rsidR="000B7E24" w:rsidRPr="000B7E24" w:rsidTr="00CA5B64">
        <w:trPr>
          <w:trHeight w:val="45"/>
          <w:tblCellSpacing w:w="0" w:type="auto"/>
        </w:trPr>
        <w:tc>
          <w:tcPr>
            <w:tcW w:w="109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Метан</w:t>
            </w:r>
          </w:p>
        </w:tc>
        <w:tc>
          <w:tcPr>
            <w:tcW w:w="17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54,9 </w:t>
            </w:r>
            <w:r w:rsidRPr="000B7E24">
              <w:rPr>
                <w:rFonts w:ascii="Arial" w:eastAsiaTheme="minorHAnsi" w:hAnsi="Arial" w:cs="Arial"/>
                <w:noProof w:val="0"/>
                <w:color w:val="000000"/>
                <w:sz w:val="22"/>
                <w:szCs w:val="22"/>
                <w:vertAlign w:val="superscript"/>
                <w:lang w:val="en-US"/>
              </w:rPr>
              <w:t>(3)</w:t>
            </w:r>
          </w:p>
        </w:tc>
        <w:tc>
          <w:tcPr>
            <w:tcW w:w="16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50,0</w:t>
            </w:r>
          </w:p>
        </w:tc>
        <w:tc>
          <w:tcPr>
            <w:tcW w:w="995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J. Falbe and M. Regitz, Römpp Chemie Lexikon, Stuttgart, 1995</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Напомена: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Ova вредност је прелиминарни емисиони фактор, тј. пре примене удела биомасе, по потреби.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Засновано на NCV од 10,12 TJ/t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Засновано на NCV oд 50,01 TJ/t</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Емисиони фактори који се односе на емисије из производних процеса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2. Стехиометријки емисиони фактор за емисије из производних процеса услед разградње карбоната (метода 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87"/>
        <w:gridCol w:w="8280"/>
      </w:tblGrid>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Карбонат</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карбоната]</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CaCO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0,440</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MgCO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0,522</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Na</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0,415</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BaCO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0,223</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Li</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0,596</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K</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0,318</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SrCO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0,298</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NaHCO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0,524</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FeCO</w:t>
            </w:r>
            <w:r w:rsidRPr="000B7E24">
              <w:rPr>
                <w:rFonts w:ascii="Arial" w:eastAsiaTheme="minorHAnsi" w:hAnsi="Arial" w:cs="Arial"/>
                <w:noProof w:val="0"/>
                <w:color w:val="000000"/>
                <w:sz w:val="22"/>
                <w:szCs w:val="22"/>
                <w:vertAlign w:val="subscript"/>
                <w:lang w:val="en-US"/>
              </w:rPr>
              <w:t>3</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0,380</w:t>
            </w:r>
          </w:p>
        </w:tc>
      </w:tr>
      <w:tr w:rsidR="000B7E24" w:rsidRPr="000B7E24" w:rsidTr="00CA5B64">
        <w:trPr>
          <w:trHeight w:val="45"/>
          <w:tblCellSpacing w:w="0" w:type="auto"/>
        </w:trPr>
        <w:tc>
          <w:tcPr>
            <w:tcW w:w="27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Опште</w:t>
            </w:r>
          </w:p>
        </w:tc>
        <w:tc>
          <w:tcPr>
            <w:tcW w:w="116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 [M(CO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)]/{Y * [M(x)] + Z *[M(CO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w:t>
            </w:r>
            <w:r w:rsidRPr="000B7E24">
              <w:rPr>
                <w:rFonts w:ascii="Arial" w:eastAsiaTheme="minorHAnsi" w:hAnsi="Arial" w:cs="Arial"/>
                <w:noProof w:val="0"/>
                <w:color w:val="000000"/>
                <w:sz w:val="22"/>
                <w:szCs w:val="22"/>
                <w:vertAlign w:val="super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X= метал</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M(x)= молекулска маса X у [g/mol]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молекулска маса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[g/mol]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w:t>
            </w:r>
            <w:r w:rsidRPr="000B7E24">
              <w:rPr>
                <w:rFonts w:ascii="Arial" w:eastAsiaTheme="minorHAnsi" w:hAnsi="Arial" w:cs="Arial"/>
                <w:noProof w:val="0"/>
                <w:color w:val="000000"/>
                <w:sz w:val="22"/>
                <w:szCs w:val="22"/>
                <w:vertAlign w:val="superscript"/>
                <w:lang w:val="en-US"/>
              </w:rPr>
              <w:t>2-</w:t>
            </w:r>
            <w:r w:rsidRPr="000B7E24">
              <w:rPr>
                <w:rFonts w:ascii="Arial" w:eastAsiaTheme="minorHAnsi" w:hAnsi="Arial" w:cs="Arial"/>
                <w:noProof w:val="0"/>
                <w:color w:val="000000"/>
                <w:sz w:val="22"/>
                <w:szCs w:val="22"/>
                <w:lang w:val="en-US"/>
              </w:rPr>
              <w:t>)= молекулска маса 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w:t>
            </w:r>
            <w:r w:rsidRPr="000B7E24">
              <w:rPr>
                <w:rFonts w:ascii="Arial" w:eastAsiaTheme="minorHAnsi" w:hAnsi="Arial" w:cs="Arial"/>
                <w:noProof w:val="0"/>
                <w:color w:val="000000"/>
                <w:sz w:val="22"/>
                <w:szCs w:val="22"/>
                <w:vertAlign w:val="superscript"/>
                <w:lang w:val="en-US"/>
              </w:rPr>
              <w:t>2-</w:t>
            </w:r>
            <w:r w:rsidRPr="000B7E24">
              <w:rPr>
                <w:rFonts w:ascii="Arial" w:eastAsiaTheme="minorHAnsi" w:hAnsi="Arial" w:cs="Arial"/>
                <w:noProof w:val="0"/>
                <w:color w:val="000000"/>
                <w:sz w:val="22"/>
                <w:szCs w:val="22"/>
                <w:lang w:val="en-US"/>
              </w:rPr>
              <w:t xml:space="preserve"> у [g/mol]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Y= стехиометријски број за X</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Z= стехиометријски број за CO</w:t>
            </w:r>
            <w:r w:rsidRPr="000B7E24">
              <w:rPr>
                <w:rFonts w:ascii="Arial" w:eastAsiaTheme="minorHAnsi" w:hAnsi="Arial" w:cs="Arial"/>
                <w:noProof w:val="0"/>
                <w:color w:val="000000"/>
                <w:sz w:val="22"/>
                <w:szCs w:val="22"/>
                <w:vertAlign w:val="subscript"/>
                <w:lang w:val="en-US"/>
              </w:rPr>
              <w:t>3</w:t>
            </w:r>
            <w:r w:rsidRPr="000B7E24">
              <w:rPr>
                <w:rFonts w:ascii="Arial" w:eastAsiaTheme="minorHAnsi" w:hAnsi="Arial" w:cs="Arial"/>
                <w:noProof w:val="0"/>
                <w:color w:val="000000"/>
                <w:sz w:val="22"/>
                <w:szCs w:val="22"/>
                <w:lang w:val="en-US"/>
              </w:rPr>
              <w:t xml:space="preserve"> </w:t>
            </w:r>
            <w:r w:rsidRPr="000B7E24">
              <w:rPr>
                <w:rFonts w:ascii="Arial" w:eastAsiaTheme="minorHAnsi" w:hAnsi="Arial" w:cs="Arial"/>
                <w:noProof w:val="0"/>
                <w:color w:val="000000"/>
                <w:sz w:val="22"/>
                <w:szCs w:val="22"/>
                <w:vertAlign w:val="superscript"/>
                <w:lang w:val="en-US"/>
              </w:rPr>
              <w:t>2-</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3. Стехиометријски емисиони фактор за емисије из производних процеса услед разградње карбоната засновано на земноалкалним оксидима (метода 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6"/>
        <w:gridCol w:w="8431"/>
      </w:tblGrid>
      <w:tr w:rsidR="000B7E24" w:rsidRPr="000B7E24" w:rsidTr="00CA5B64">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Оксид</w:t>
            </w:r>
          </w:p>
        </w:tc>
        <w:tc>
          <w:tcPr>
            <w:tcW w:w="118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 оксид]</w:t>
            </w:r>
          </w:p>
        </w:tc>
      </w:tr>
      <w:tr w:rsidR="000B7E24" w:rsidRPr="000B7E24" w:rsidTr="00CA5B64">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CaO</w:t>
            </w:r>
          </w:p>
        </w:tc>
        <w:tc>
          <w:tcPr>
            <w:tcW w:w="118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0,785</w:t>
            </w:r>
          </w:p>
        </w:tc>
      </w:tr>
      <w:tr w:rsidR="000B7E24" w:rsidRPr="000B7E24" w:rsidTr="00CA5B64">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MgO</w:t>
            </w:r>
          </w:p>
        </w:tc>
        <w:tc>
          <w:tcPr>
            <w:tcW w:w="118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1,092</w:t>
            </w:r>
          </w:p>
        </w:tc>
      </w:tr>
      <w:tr w:rsidR="000B7E24" w:rsidRPr="000B7E24" w:rsidTr="00CA5B64">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BaO</w:t>
            </w:r>
          </w:p>
        </w:tc>
        <w:tc>
          <w:tcPr>
            <w:tcW w:w="118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0,287</w:t>
            </w:r>
          </w:p>
        </w:tc>
      </w:tr>
      <w:tr w:rsidR="000B7E24" w:rsidRPr="000B7E24" w:rsidTr="00CA5B64">
        <w:trPr>
          <w:trHeight w:val="45"/>
          <w:tblCellSpacing w:w="0" w:type="auto"/>
        </w:trPr>
        <w:tc>
          <w:tcPr>
            <w:tcW w:w="25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Опште: XYOZ</w:t>
            </w:r>
          </w:p>
        </w:tc>
        <w:tc>
          <w:tcPr>
            <w:tcW w:w="118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 = [M(CO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)]/{Y * [M(x)] + Z * [M(O)]}</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X= земноалкални или алкални метал</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M(x)= молекулска маса X у [g/mol]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молекулска маса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 [g/mol]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M(O)= молекулска маса O у [g/mol]</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Y= стехиометријски број за X</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 (за земноалкалне метале)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 (за алкалне метале)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Z= стехиометријски број за O = 1</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Tабела 4. Емисиони фактори за емисије из производних процеса од осталих процесних материјала (производња гвожђа и челика и прерада ферозних метала)</w:t>
      </w:r>
      <w:r w:rsidRPr="000B7E24">
        <w:rPr>
          <w:rFonts w:ascii="Arial" w:eastAsiaTheme="minorHAnsi" w:hAnsi="Arial" w:cs="Arial"/>
          <w:noProof w:val="0"/>
          <w:color w:val="000000"/>
          <w:sz w:val="22"/>
          <w:szCs w:val="22"/>
          <w:lang w:val="en-US"/>
        </w:rPr>
        <w:t xml:space="preserve"> </w:t>
      </w:r>
      <w:r w:rsidRPr="000B7E24">
        <w:rPr>
          <w:rFonts w:ascii="Arial" w:eastAsiaTheme="minorHAnsi"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66"/>
        <w:gridCol w:w="3170"/>
        <w:gridCol w:w="3731"/>
      </w:tblGrid>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Улазни или излазни материјал</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Садржај угљеника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C/t)</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Директно редуковано гвожђе (DRI)</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0,0191</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0,07</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Угљеничне електроде електролучне пећи</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0,8188</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3,00</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Угљеник за набој електролучне пећи</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0,8297</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3,04</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Вруће брикетирано гвожђе</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0,0191</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0,07</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Конверторски гас</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0,3493</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1,28</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Нафтни кокс</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0,8706</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3,19</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Сирово гвожђе</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0,0409</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0,15</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Гвожђе/отпадно гвожђе</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0,0409</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0,15</w:t>
            </w:r>
          </w:p>
        </w:tc>
      </w:tr>
      <w:tr w:rsidR="000B7E24" w:rsidRPr="000B7E24" w:rsidTr="00CA5B64">
        <w:trPr>
          <w:trHeight w:val="45"/>
          <w:tblCellSpacing w:w="0" w:type="auto"/>
        </w:trPr>
        <w:tc>
          <w:tcPr>
            <w:tcW w:w="464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Челик/отпадни челик</w:t>
            </w:r>
          </w:p>
        </w:tc>
        <w:tc>
          <w:tcPr>
            <w:tcW w:w="4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0,0109</w:t>
            </w:r>
          </w:p>
        </w:tc>
        <w:tc>
          <w:tcPr>
            <w:tcW w:w="53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0,04</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Напомена: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Упутство IPCC 2006 за националне инвентаре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5. Стехиометријски емисиони фактор за емисије из производних процеса од осталих процесних материјала (расуте органске хемикалије) </w:t>
      </w:r>
      <w:r w:rsidRPr="000B7E24">
        <w:rPr>
          <w:rFonts w:ascii="Arial" w:eastAsiaTheme="minorHAnsi"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8"/>
        <w:gridCol w:w="3999"/>
        <w:gridCol w:w="4720"/>
      </w:tblGrid>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Супстанца</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Садржај угљеника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C/t)</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Емисиони фактор</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/t)</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Ацетонитрил</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0,5852</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2,144</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Акрилонитрил</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0,6664</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2,442</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Бутадиен</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0,888</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3,254</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Индустријска чађ</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0,97</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3,554</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Етилен</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0,856</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3,136</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Етилен дихлорид</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0,245</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0,898</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Етилен гликол</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0,387</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1,418</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Етилен оксид</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0,545</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1,997</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Цијановодоник</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0,4444</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1,628</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Метанол</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0,375</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1,374</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Метан</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0,749</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2,744</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Пропан</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0,817</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2,993</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Пропилен</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0,8563</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3,137</w:t>
            </w:r>
          </w:p>
        </w:tc>
      </w:tr>
      <w:tr w:rsidR="000B7E24" w:rsidRPr="000B7E24" w:rsidTr="00CA5B64">
        <w:trPr>
          <w:trHeight w:val="45"/>
          <w:tblCellSpacing w:w="0" w:type="auto"/>
        </w:trPr>
        <w:tc>
          <w:tcPr>
            <w:tcW w:w="106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Винилхлорид мономер</w:t>
            </w:r>
          </w:p>
        </w:tc>
        <w:tc>
          <w:tcPr>
            <w:tcW w:w="60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0,384</w:t>
            </w:r>
          </w:p>
        </w:tc>
        <w:tc>
          <w:tcPr>
            <w:tcW w:w="72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1,407</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Напомена: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Упутство IPCC 2006 за националне инвентаре GHG</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3.</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Потенцијали глобалног загревања осталих GHG осим CO</w:t>
      </w:r>
      <w:r w:rsidRPr="000B7E24">
        <w:rPr>
          <w:rFonts w:ascii="Arial" w:eastAsiaTheme="minorHAnsi" w:hAnsi="Arial" w:cs="Arial"/>
          <w:b/>
          <w:noProof w:val="0"/>
          <w:color w:val="000000"/>
          <w:sz w:val="22"/>
          <w:szCs w:val="22"/>
          <w:vertAlign w:val="subscript"/>
          <w:lang w:val="en-US"/>
        </w:rPr>
        <w:t>2</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Tабела 6. Потенцијали глобалних загревања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66"/>
        <w:gridCol w:w="8301"/>
      </w:tblGrid>
      <w:tr w:rsidR="000B7E24" w:rsidRPr="000B7E24" w:rsidTr="00CA5B64">
        <w:trPr>
          <w:trHeight w:val="45"/>
          <w:tblCellSpacing w:w="0" w:type="auto"/>
        </w:trPr>
        <w:tc>
          <w:tcPr>
            <w:tcW w:w="28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Гас</w:t>
            </w:r>
          </w:p>
        </w:tc>
        <w:tc>
          <w:tcPr>
            <w:tcW w:w="115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Потенцијали глобалног загревања</w:t>
            </w:r>
          </w:p>
        </w:tc>
      </w:tr>
      <w:tr w:rsidR="000B7E24" w:rsidRPr="000B7E24" w:rsidTr="00CA5B64">
        <w:trPr>
          <w:trHeight w:val="45"/>
          <w:tblCellSpacing w:w="0" w:type="auto"/>
        </w:trPr>
        <w:tc>
          <w:tcPr>
            <w:tcW w:w="28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w:t>
            </w:r>
          </w:p>
        </w:tc>
        <w:tc>
          <w:tcPr>
            <w:tcW w:w="115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265 t CO</w:t>
            </w:r>
            <w:r w:rsidRPr="000B7E24">
              <w:rPr>
                <w:rFonts w:ascii="Arial" w:eastAsiaTheme="minorHAnsi" w:hAnsi="Arial" w:cs="Arial"/>
                <w:noProof w:val="0"/>
                <w:color w:val="000000"/>
                <w:sz w:val="22"/>
                <w:szCs w:val="22"/>
                <w:vertAlign w:val="subscript"/>
                <w:lang w:val="en-US"/>
              </w:rPr>
              <w:t>2(e)</w:t>
            </w:r>
            <w:r w:rsidRPr="000B7E24">
              <w:rPr>
                <w:rFonts w:ascii="Arial" w:eastAsiaTheme="minorHAnsi" w:hAnsi="Arial" w:cs="Arial"/>
                <w:noProof w:val="0"/>
                <w:color w:val="000000"/>
                <w:sz w:val="22"/>
                <w:szCs w:val="22"/>
                <w:lang w:val="en-US"/>
              </w:rPr>
              <w:t>/t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w:t>
            </w:r>
          </w:p>
        </w:tc>
      </w:tr>
      <w:tr w:rsidR="000B7E24" w:rsidRPr="000B7E24" w:rsidTr="00CA5B64">
        <w:trPr>
          <w:trHeight w:val="45"/>
          <w:tblCellSpacing w:w="0" w:type="auto"/>
        </w:trPr>
        <w:tc>
          <w:tcPr>
            <w:tcW w:w="28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CF</w:t>
            </w:r>
            <w:r w:rsidRPr="000B7E24">
              <w:rPr>
                <w:rFonts w:ascii="Arial" w:eastAsiaTheme="minorHAnsi" w:hAnsi="Arial" w:cs="Arial"/>
                <w:noProof w:val="0"/>
                <w:color w:val="000000"/>
                <w:sz w:val="22"/>
                <w:szCs w:val="22"/>
                <w:vertAlign w:val="subscript"/>
                <w:lang w:val="en-US"/>
              </w:rPr>
              <w:t>4</w:t>
            </w:r>
          </w:p>
        </w:tc>
        <w:tc>
          <w:tcPr>
            <w:tcW w:w="115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6630 t CO</w:t>
            </w:r>
            <w:r w:rsidRPr="000B7E24">
              <w:rPr>
                <w:rFonts w:ascii="Arial" w:eastAsiaTheme="minorHAnsi" w:hAnsi="Arial" w:cs="Arial"/>
                <w:noProof w:val="0"/>
                <w:color w:val="000000"/>
                <w:sz w:val="22"/>
                <w:szCs w:val="22"/>
                <w:vertAlign w:val="subscript"/>
                <w:lang w:val="en-US"/>
              </w:rPr>
              <w:t>2(e)</w:t>
            </w:r>
            <w:r w:rsidRPr="000B7E24">
              <w:rPr>
                <w:rFonts w:ascii="Arial" w:eastAsiaTheme="minorHAnsi" w:hAnsi="Arial" w:cs="Arial"/>
                <w:noProof w:val="0"/>
                <w:color w:val="000000"/>
                <w:sz w:val="22"/>
                <w:szCs w:val="22"/>
                <w:lang w:val="en-US"/>
              </w:rPr>
              <w:t>/t CF</w:t>
            </w:r>
            <w:r w:rsidRPr="000B7E24">
              <w:rPr>
                <w:rFonts w:ascii="Arial" w:eastAsiaTheme="minorHAnsi" w:hAnsi="Arial" w:cs="Arial"/>
                <w:noProof w:val="0"/>
                <w:color w:val="000000"/>
                <w:sz w:val="22"/>
                <w:szCs w:val="22"/>
                <w:vertAlign w:val="subscript"/>
                <w:lang w:val="en-US"/>
              </w:rPr>
              <w:t>4</w:t>
            </w:r>
          </w:p>
        </w:tc>
      </w:tr>
      <w:tr w:rsidR="000B7E24" w:rsidRPr="000B7E24" w:rsidTr="00CA5B64">
        <w:trPr>
          <w:trHeight w:val="45"/>
          <w:tblCellSpacing w:w="0" w:type="auto"/>
        </w:trPr>
        <w:tc>
          <w:tcPr>
            <w:tcW w:w="287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p>
        </w:tc>
        <w:tc>
          <w:tcPr>
            <w:tcW w:w="1152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11 100 t CO</w:t>
            </w:r>
            <w:r w:rsidRPr="000B7E24">
              <w:rPr>
                <w:rFonts w:ascii="Arial" w:eastAsiaTheme="minorHAnsi" w:hAnsi="Arial" w:cs="Arial"/>
                <w:noProof w:val="0"/>
                <w:color w:val="000000"/>
                <w:sz w:val="22"/>
                <w:szCs w:val="22"/>
                <w:vertAlign w:val="subscript"/>
                <w:lang w:val="en-US"/>
              </w:rPr>
              <w:t>2(e)</w:t>
            </w:r>
            <w:r w:rsidRPr="000B7E24">
              <w:rPr>
                <w:rFonts w:ascii="Arial" w:eastAsiaTheme="minorHAnsi" w:hAnsi="Arial" w:cs="Arial"/>
                <w:noProof w:val="0"/>
                <w:color w:val="000000"/>
                <w:sz w:val="22"/>
                <w:szCs w:val="22"/>
                <w:lang w:val="en-US"/>
              </w:rPr>
              <w:t>/t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p>
        </w:tc>
      </w:tr>
    </w:tbl>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6</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МИНИМАЛНА УЧЕСТАЛОСТ АНАЛИЗА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24"/>
        <w:gridCol w:w="5443"/>
      </w:tblGrid>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Гориво/материјал</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Минимална учесталост анализа</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Природни гас</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Најмање једном недељно</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Остали гасови, посебно синтезни гас и процесни гас као рафинеријски мешовити гас, гас из коксара, гас из високих пећи, конвертерски гас), гас са нафтних и гасних поља</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Најмање једном дневно – користећи одговарајуће поступке у различитим деловима дана</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Лож уље (на пример лако, средње, тешко лож уље, битумен)</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сваких 20.000 t горива и најмање шест пута годишње</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Угаљ, коксни угаљ, кокс, нафтни кокс, тресет</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сваких 20.000 t горива/материјала најмање шест пута годишње</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Остала горива</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сваких 10.000 t горива и најмање четири пута годишње</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Необрађен чврст отпад (чист фосилни или мешан од биомасе и фосила)</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сваких 5.000 t отпада и најмање четири пута годишње</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Течни отпад, претходно обрађен чврст одпад</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сваких 10 000 t отпада и најмање четири пута годишње</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Карбонатни минерали (укључујући кречњак и доломит)</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 сваких 50.000 t материјала и најмање четири пута годишње</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Глине и шкриљци</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Количине материјала које одговарају 50.000 t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 најмање четири пута годишње</w:t>
            </w:r>
          </w:p>
        </w:tc>
      </w:tr>
      <w:tr w:rsidR="000B7E24" w:rsidRPr="000B7E24" w:rsidTr="00CA5B64">
        <w:trPr>
          <w:trHeight w:val="45"/>
          <w:tblCellSpacing w:w="0" w:type="auto"/>
        </w:trPr>
        <w:tc>
          <w:tcPr>
            <w:tcW w:w="68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Остали материјали (примарни, међупроизводи и коначни производи)</w:t>
            </w:r>
          </w:p>
        </w:tc>
        <w:tc>
          <w:tcPr>
            <w:tcW w:w="751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 зависности од врсте материјала и варијације, количине материјала које одговарају 50.000 t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 најмање четири пута годишње</w:t>
            </w:r>
          </w:p>
        </w:tc>
      </w:tr>
    </w:tbl>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7</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МЕТОДОЛОГИЈЕ НА ОСНОВУ МЕРЕЊА</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Oдељак 1.</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Дефиниције новоа за методологије на основу мерења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Методологије на основу мерења одобравају се у складу са нивоима са следећим максимално дозвољеним несигурностима за годишње просечне једночасовне емисије израчунате у складу са једначином 2 која је дата у Одељку 3.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Tабела 1. Нивои за SKME (максимално дозвољена несигурност за сваки ниво)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 случају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несигурност треба да се примени на укупну измерену количину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Када се удео утврђује коришћењем методологије на основу мерења, на удео биомасе примењује се иста дефиниција нивоа као за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1"/>
        <w:gridCol w:w="2113"/>
        <w:gridCol w:w="2276"/>
        <w:gridCol w:w="1819"/>
        <w:gridCol w:w="2278"/>
      </w:tblGrid>
      <w:tr w:rsidR="000B7E24" w:rsidRPr="000B7E24" w:rsidTr="00CA5B64">
        <w:trPr>
          <w:trHeight w:val="45"/>
          <w:tblCellSpacing w:w="0" w:type="auto"/>
        </w:trPr>
        <w:tc>
          <w:tcPr>
            <w:tcW w:w="244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29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1</w:t>
            </w:r>
          </w:p>
        </w:tc>
        <w:tc>
          <w:tcPr>
            <w:tcW w:w="32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2</w:t>
            </w:r>
          </w:p>
        </w:tc>
        <w:tc>
          <w:tcPr>
            <w:tcW w:w="250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3</w:t>
            </w:r>
          </w:p>
        </w:tc>
        <w:tc>
          <w:tcPr>
            <w:tcW w:w="32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Ниво 4</w:t>
            </w:r>
          </w:p>
        </w:tc>
      </w:tr>
      <w:tr w:rsidR="000B7E24" w:rsidRPr="000B7E24" w:rsidTr="00CA5B64">
        <w:trPr>
          <w:trHeight w:val="45"/>
          <w:tblCellSpacing w:w="0" w:type="auto"/>
        </w:trPr>
        <w:tc>
          <w:tcPr>
            <w:tcW w:w="244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Извори емисија CO</w:t>
            </w:r>
            <w:r w:rsidRPr="000B7E24">
              <w:rPr>
                <w:rFonts w:ascii="Arial" w:eastAsiaTheme="minorHAnsi" w:hAnsi="Arial" w:cs="Arial"/>
                <w:noProof w:val="0"/>
                <w:color w:val="000000"/>
                <w:sz w:val="22"/>
                <w:szCs w:val="22"/>
                <w:vertAlign w:val="subscript"/>
                <w:lang w:val="en-US"/>
              </w:rPr>
              <w:t>2</w:t>
            </w:r>
          </w:p>
        </w:tc>
        <w:tc>
          <w:tcPr>
            <w:tcW w:w="29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10 %</w:t>
            </w:r>
          </w:p>
        </w:tc>
        <w:tc>
          <w:tcPr>
            <w:tcW w:w="32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50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32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r>
      <w:tr w:rsidR="000B7E24" w:rsidRPr="000B7E24" w:rsidTr="00CA5B64">
        <w:trPr>
          <w:trHeight w:val="45"/>
          <w:tblCellSpacing w:w="0" w:type="auto"/>
        </w:trPr>
        <w:tc>
          <w:tcPr>
            <w:tcW w:w="244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Извори емисија 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w:t>
            </w:r>
          </w:p>
        </w:tc>
        <w:tc>
          <w:tcPr>
            <w:tcW w:w="29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10 %</w:t>
            </w:r>
          </w:p>
        </w:tc>
        <w:tc>
          <w:tcPr>
            <w:tcW w:w="32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50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32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н.п.*</w:t>
            </w:r>
          </w:p>
        </w:tc>
      </w:tr>
      <w:tr w:rsidR="000B7E24" w:rsidRPr="000B7E24" w:rsidTr="00CA5B64">
        <w:trPr>
          <w:trHeight w:val="45"/>
          <w:tblCellSpacing w:w="0" w:type="auto"/>
        </w:trPr>
        <w:tc>
          <w:tcPr>
            <w:tcW w:w="244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Трансфер CO</w:t>
            </w:r>
            <w:r w:rsidRPr="000B7E24">
              <w:rPr>
                <w:rFonts w:ascii="Arial" w:eastAsiaTheme="minorHAnsi" w:hAnsi="Arial" w:cs="Arial"/>
                <w:noProof w:val="0"/>
                <w:color w:val="000000"/>
                <w:sz w:val="22"/>
                <w:szCs w:val="22"/>
                <w:vertAlign w:val="subscript"/>
                <w:lang w:val="en-US"/>
              </w:rPr>
              <w:t>2</w:t>
            </w:r>
          </w:p>
        </w:tc>
        <w:tc>
          <w:tcPr>
            <w:tcW w:w="29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10 %</w:t>
            </w:r>
          </w:p>
        </w:tc>
        <w:tc>
          <w:tcPr>
            <w:tcW w:w="32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7,5 %</w:t>
            </w:r>
          </w:p>
        </w:tc>
        <w:tc>
          <w:tcPr>
            <w:tcW w:w="250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5 %</w:t>
            </w:r>
          </w:p>
        </w:tc>
        <w:tc>
          <w:tcPr>
            <w:tcW w:w="32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2,5 %</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Напомена: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н.п. значи није примењиво</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2.</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Минимални захтеви за постројења А катагорије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Табела 2. Минимални нивои који треба да се примене за постројења А категорије за методологије на основу мерења у складу са чланом 38. став 1. тачка 1) овог правилника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40"/>
        <w:gridCol w:w="2927"/>
      </w:tblGrid>
      <w:tr w:rsidR="000B7E24" w:rsidRPr="000B7E24" w:rsidTr="00CA5B64">
        <w:trPr>
          <w:trHeight w:val="45"/>
          <w:tblCellSpacing w:w="0" w:type="auto"/>
        </w:trPr>
        <w:tc>
          <w:tcPr>
            <w:tcW w:w="107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GHG</w:t>
            </w:r>
          </w:p>
        </w:tc>
        <w:tc>
          <w:tcPr>
            <w:tcW w:w="36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Тражени минимални ниво</w:t>
            </w:r>
          </w:p>
        </w:tc>
      </w:tr>
      <w:tr w:rsidR="000B7E24" w:rsidRPr="000B7E24" w:rsidTr="00CA5B64">
        <w:trPr>
          <w:trHeight w:val="45"/>
          <w:tblCellSpacing w:w="0" w:type="auto"/>
        </w:trPr>
        <w:tc>
          <w:tcPr>
            <w:tcW w:w="107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CO</w:t>
            </w:r>
            <w:r w:rsidRPr="000B7E24">
              <w:rPr>
                <w:rFonts w:ascii="Arial" w:eastAsiaTheme="minorHAnsi" w:hAnsi="Arial" w:cs="Arial"/>
                <w:noProof w:val="0"/>
                <w:color w:val="000000"/>
                <w:sz w:val="22"/>
                <w:szCs w:val="22"/>
                <w:vertAlign w:val="subscript"/>
                <w:lang w:val="en-US"/>
              </w:rPr>
              <w:t>2</w:t>
            </w:r>
          </w:p>
        </w:tc>
        <w:tc>
          <w:tcPr>
            <w:tcW w:w="36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r>
      <w:tr w:rsidR="000B7E24" w:rsidRPr="000B7E24" w:rsidTr="00CA5B64">
        <w:trPr>
          <w:trHeight w:val="45"/>
          <w:tblCellSpacing w:w="0" w:type="auto"/>
        </w:trPr>
        <w:tc>
          <w:tcPr>
            <w:tcW w:w="107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N</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O</w:t>
            </w:r>
          </w:p>
        </w:tc>
        <w:tc>
          <w:tcPr>
            <w:tcW w:w="361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w:t>
            </w:r>
          </w:p>
        </w:tc>
      </w:tr>
    </w:tbl>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3.</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Утврђивање емисија GHG користећи методологију на основу мерења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Једначина 1: Прорачун емисија у складу са чланом 40. ст. 1–4. овог правилника</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6" w:name="_idContainer027"/>
      <w:r w:rsidRPr="000B7E24">
        <w:rPr>
          <w:rFonts w:ascii="Arial" w:eastAsiaTheme="minorHAnsi" w:hAnsi="Arial" w:cs="Arial"/>
          <w:sz w:val="22"/>
          <w:szCs w:val="22"/>
          <w:lang w:eastAsia="sr-Latn-RS"/>
        </w:rPr>
        <w:drawing>
          <wp:inline distT="0" distB="0" distL="0" distR="0" wp14:anchorId="07AFD2B1" wp14:editId="7F32856C">
            <wp:extent cx="3237255" cy="4145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7255" cy="414566"/>
                    </a:xfrm>
                    <a:prstGeom prst="rect">
                      <a:avLst/>
                    </a:prstGeom>
                  </pic:spPr>
                </pic:pic>
              </a:graphicData>
            </a:graphic>
          </wp:inline>
        </w:drawing>
      </w:r>
    </w:p>
    <w:bookmarkEnd w:id="6"/>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Једначина 2: Утврђивање просечних једночасовних емисија:</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7" w:name="_idContainer028"/>
      <w:r w:rsidRPr="000B7E24">
        <w:rPr>
          <w:rFonts w:ascii="Arial" w:eastAsiaTheme="minorHAnsi" w:hAnsi="Arial" w:cs="Arial"/>
          <w:sz w:val="22"/>
          <w:szCs w:val="22"/>
          <w:lang w:eastAsia="sr-Latn-RS"/>
        </w:rPr>
        <w:drawing>
          <wp:inline distT="0" distB="0" distL="0" distR="0" wp14:anchorId="5035781E" wp14:editId="2E4E08B7">
            <wp:extent cx="3237255" cy="371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7255" cy="371894"/>
                    </a:xfrm>
                    <a:prstGeom prst="rect">
                      <a:avLst/>
                    </a:prstGeom>
                  </pic:spPr>
                </pic:pic>
              </a:graphicData>
            </a:graphic>
          </wp:inline>
        </w:drawing>
      </w:r>
    </w:p>
    <w:bookmarkEnd w:id="7"/>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Једначина 2a: Утврђивање просечне једночасовне концентрације GHG у циљу извештавања у складу са тачком 9 (2) Одељка 1. у Прилогу 9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8" w:name="_idContainer029"/>
      <w:r w:rsidRPr="000B7E24">
        <w:rPr>
          <w:rFonts w:ascii="Arial" w:eastAsiaTheme="minorHAnsi" w:hAnsi="Arial" w:cs="Arial"/>
          <w:sz w:val="22"/>
          <w:szCs w:val="22"/>
          <w:lang w:eastAsia="sr-Latn-RS"/>
        </w:rPr>
        <w:drawing>
          <wp:inline distT="0" distB="0" distL="0" distR="0" wp14:anchorId="02B12AF4" wp14:editId="61C97747">
            <wp:extent cx="3237255" cy="408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255" cy="408470"/>
                    </a:xfrm>
                    <a:prstGeom prst="rect">
                      <a:avLst/>
                    </a:prstGeom>
                  </pic:spPr>
                </pic:pic>
              </a:graphicData>
            </a:graphic>
          </wp:inline>
        </w:drawing>
      </w:r>
    </w:p>
    <w:bookmarkEnd w:id="8"/>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Једначина 2б: Утврђивање просечне једночасовне концентрације протока димног гаса у циљу извештавања у складу са тачком 9 (2) Одељка 1. у Прилогу 9 овог правилника:</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9" w:name="_idContainer030"/>
      <w:r w:rsidRPr="000B7E24">
        <w:rPr>
          <w:rFonts w:ascii="Arial" w:eastAsiaTheme="minorHAnsi" w:hAnsi="Arial" w:cs="Arial"/>
          <w:sz w:val="22"/>
          <w:szCs w:val="22"/>
          <w:lang w:eastAsia="sr-Latn-RS"/>
        </w:rPr>
        <w:drawing>
          <wp:inline distT="0" distB="0" distL="0" distR="0" wp14:anchorId="08F1D82F" wp14:editId="40FF3115">
            <wp:extent cx="3237255" cy="4023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255" cy="402374"/>
                    </a:xfrm>
                    <a:prstGeom prst="rect">
                      <a:avLst/>
                    </a:prstGeom>
                  </pic:spPr>
                </pic:pic>
              </a:graphicData>
            </a:graphic>
          </wp:inline>
        </w:drawing>
      </w:r>
    </w:p>
    <w:bookmarkEnd w:id="9"/>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Једначина 2в: Прорачун годишњих емисија у циљу израде годишњег извештаја о емисијама у складу са тачком 9 (2) Одељка 1. у Прилогу 9 овог правилника:</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10" w:name="_idContainer031"/>
      <w:r w:rsidRPr="000B7E24">
        <w:rPr>
          <w:rFonts w:ascii="Arial" w:eastAsiaTheme="minorHAnsi" w:hAnsi="Arial" w:cs="Arial"/>
          <w:sz w:val="22"/>
          <w:szCs w:val="22"/>
          <w:lang w:eastAsia="sr-Latn-RS"/>
        </w:rPr>
        <w:drawing>
          <wp:inline distT="0" distB="0" distL="0" distR="0" wp14:anchorId="190ABA57" wp14:editId="4B9B4890">
            <wp:extent cx="3237255" cy="2072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7255" cy="207277"/>
                    </a:xfrm>
                    <a:prstGeom prst="rect">
                      <a:avLst/>
                    </a:prstGeom>
                  </pic:spPr>
                </pic:pic>
              </a:graphicData>
            </a:graphic>
          </wp:inline>
        </w:drawing>
      </w:r>
    </w:p>
    <w:bookmarkEnd w:id="10"/>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 једначинама од 1 до 2в користе се следеће скраћенице: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Индекс </w:t>
      </w:r>
      <w:r w:rsidRPr="000B7E24">
        <w:rPr>
          <w:rFonts w:ascii="Arial" w:eastAsiaTheme="minorHAnsi" w:hAnsi="Arial" w:cs="Arial"/>
          <w:i/>
          <w:noProof w:val="0"/>
          <w:color w:val="000000"/>
          <w:sz w:val="22"/>
          <w:szCs w:val="22"/>
          <w:lang w:val="en-US"/>
        </w:rPr>
        <w:t>i</w:t>
      </w:r>
      <w:r w:rsidRPr="000B7E24">
        <w:rPr>
          <w:rFonts w:ascii="Arial" w:eastAsiaTheme="minorHAnsi" w:hAnsi="Arial" w:cs="Arial"/>
          <w:noProof w:val="0"/>
          <w:color w:val="000000"/>
          <w:sz w:val="22"/>
          <w:szCs w:val="22"/>
          <w:lang w:val="en-US"/>
        </w:rPr>
        <w:t xml:space="preserve"> односи се на појединачне часове рада. Када оператер користи краће референтне периоде у складу са чланом 41. ст. 1–2 овог правилника, тај референтни период се користи уместо часова за те прорачуне.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GHG Em</w:t>
      </w:r>
      <w:r w:rsidRPr="000B7E24">
        <w:rPr>
          <w:rFonts w:ascii="Arial" w:eastAsiaTheme="minorHAnsi" w:hAnsi="Arial" w:cs="Arial"/>
          <w:noProof w:val="0"/>
          <w:color w:val="000000"/>
          <w:sz w:val="22"/>
          <w:szCs w:val="22"/>
          <w:vertAlign w:val="subscript"/>
          <w:lang w:val="en-US"/>
        </w:rPr>
        <w:t>укупно</w:t>
      </w:r>
      <w:r w:rsidRPr="000B7E24">
        <w:rPr>
          <w:rFonts w:ascii="Arial" w:eastAsiaTheme="minorHAnsi" w:hAnsi="Arial" w:cs="Arial"/>
          <w:noProof w:val="0"/>
          <w:color w:val="000000"/>
          <w:sz w:val="22"/>
          <w:szCs w:val="22"/>
          <w:lang w:val="en-US"/>
        </w:rPr>
        <w:t xml:space="preserve"> = укупне годишње емисије GHG у тонама;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GHG KONC</w:t>
      </w:r>
      <w:r w:rsidRPr="000B7E24">
        <w:rPr>
          <w:rFonts w:ascii="Arial" w:eastAsiaTheme="minorHAnsi" w:hAnsi="Arial" w:cs="Arial"/>
          <w:noProof w:val="0"/>
          <w:color w:val="000000"/>
          <w:sz w:val="22"/>
          <w:szCs w:val="22"/>
          <w:vertAlign w:val="subscript"/>
          <w:lang w:val="en-US"/>
        </w:rPr>
        <w:t>сатни, I</w:t>
      </w:r>
      <w:r w:rsidRPr="000B7E24">
        <w:rPr>
          <w:rFonts w:ascii="Arial" w:eastAsiaTheme="minorHAnsi" w:hAnsi="Arial" w:cs="Arial"/>
          <w:noProof w:val="0"/>
          <w:color w:val="000000"/>
          <w:sz w:val="22"/>
          <w:szCs w:val="22"/>
          <w:lang w:val="en-US"/>
        </w:rPr>
        <w:t xml:space="preserve"> = једночасовне концентрације емисија GHG у g/Nm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 xml:space="preserve"> у протоку димног гаса мерено у току рада по часу </w:t>
      </w:r>
      <w:r w:rsidRPr="000B7E24">
        <w:rPr>
          <w:rFonts w:ascii="Arial" w:eastAsiaTheme="minorHAnsi" w:hAnsi="Arial" w:cs="Arial"/>
          <w:i/>
          <w:noProof w:val="0"/>
          <w:color w:val="000000"/>
          <w:sz w:val="22"/>
          <w:szCs w:val="22"/>
          <w:lang w:val="en-US"/>
        </w:rPr>
        <w:t>i</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V</w:t>
      </w:r>
      <w:r w:rsidRPr="000B7E24">
        <w:rPr>
          <w:rFonts w:ascii="Arial" w:eastAsiaTheme="minorHAnsi" w:hAnsi="Arial" w:cs="Arial"/>
          <w:noProof w:val="0"/>
          <w:color w:val="000000"/>
          <w:sz w:val="22"/>
          <w:szCs w:val="22"/>
          <w:vertAlign w:val="subscript"/>
          <w:lang w:val="en-US"/>
        </w:rPr>
        <w:t>сатни, I</w:t>
      </w:r>
      <w:r w:rsidRPr="000B7E24">
        <w:rPr>
          <w:rFonts w:ascii="Arial" w:eastAsiaTheme="minorHAnsi" w:hAnsi="Arial" w:cs="Arial"/>
          <w:noProof w:val="0"/>
          <w:color w:val="000000"/>
          <w:sz w:val="22"/>
          <w:szCs w:val="22"/>
          <w:lang w:val="en-US"/>
        </w:rPr>
        <w:t xml:space="preserve"> = запремина димног гаса у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 xml:space="preserve"> по часу </w:t>
      </w:r>
      <w:r w:rsidRPr="000B7E24">
        <w:rPr>
          <w:rFonts w:ascii="Arial" w:eastAsiaTheme="minorHAnsi" w:hAnsi="Arial" w:cs="Arial"/>
          <w:i/>
          <w:noProof w:val="0"/>
          <w:color w:val="000000"/>
          <w:sz w:val="22"/>
          <w:szCs w:val="22"/>
          <w:lang w:val="en-US"/>
        </w:rPr>
        <w:t>i (тј. Интегрисан проток у току часа или краћи референтни период)</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GHG Em</w:t>
      </w:r>
      <w:r w:rsidRPr="000B7E24">
        <w:rPr>
          <w:rFonts w:ascii="Arial" w:eastAsiaTheme="minorHAnsi" w:hAnsi="Arial" w:cs="Arial"/>
          <w:noProof w:val="0"/>
          <w:color w:val="000000"/>
          <w:sz w:val="22"/>
          <w:szCs w:val="22"/>
          <w:vertAlign w:val="subscript"/>
          <w:lang w:val="en-US"/>
        </w:rPr>
        <w:t>просек</w:t>
      </w:r>
      <w:r w:rsidRPr="000B7E24">
        <w:rPr>
          <w:rFonts w:ascii="Arial" w:eastAsiaTheme="minorHAnsi" w:hAnsi="Arial" w:cs="Arial"/>
          <w:noProof w:val="0"/>
          <w:color w:val="000000"/>
          <w:sz w:val="22"/>
          <w:szCs w:val="22"/>
          <w:lang w:val="en-US"/>
        </w:rPr>
        <w:t xml:space="preserve"> = годишње просечне једночасовне емисије у kg/h из извора;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Време рада</w:t>
      </w:r>
      <w:r w:rsidRPr="000B7E24">
        <w:rPr>
          <w:rFonts w:ascii="Arial" w:eastAsiaTheme="minorHAnsi" w:hAnsi="Arial" w:cs="Arial"/>
          <w:noProof w:val="0"/>
          <w:color w:val="000000"/>
          <w:sz w:val="22"/>
          <w:szCs w:val="22"/>
          <w:lang w:val="en-US"/>
        </w:rPr>
        <w:t xml:space="preserve"> = укупан број часова за које се примењује методологија на основу мерења, укључујући часове за које су подаци замењени у складу са чланом 42. ст. 2–5.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GHG konc</w:t>
      </w:r>
      <w:r w:rsidRPr="000B7E24">
        <w:rPr>
          <w:rFonts w:ascii="Arial" w:eastAsiaTheme="minorHAnsi" w:hAnsi="Arial" w:cs="Arial"/>
          <w:noProof w:val="0"/>
          <w:color w:val="000000"/>
          <w:sz w:val="22"/>
          <w:szCs w:val="22"/>
          <w:vertAlign w:val="subscript"/>
          <w:lang w:val="en-US"/>
        </w:rPr>
        <w:t>просек</w:t>
      </w:r>
      <w:r w:rsidRPr="000B7E24">
        <w:rPr>
          <w:rFonts w:ascii="Arial" w:eastAsiaTheme="minorHAnsi" w:hAnsi="Arial" w:cs="Arial"/>
          <w:noProof w:val="0"/>
          <w:color w:val="000000"/>
          <w:sz w:val="22"/>
          <w:szCs w:val="22"/>
          <w:lang w:val="en-US"/>
        </w:rPr>
        <w:t xml:space="preserve"> = годишње просечне једночасовне концентрације емисија GHG у g/Nm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i/>
          <w:noProof w:val="0"/>
          <w:color w:val="000000"/>
          <w:sz w:val="22"/>
          <w:szCs w:val="22"/>
          <w:lang w:val="en-US"/>
        </w:rPr>
        <w:t>PROTOK</w:t>
      </w:r>
      <w:r w:rsidRPr="000B7E24">
        <w:rPr>
          <w:rFonts w:ascii="Arial" w:eastAsiaTheme="minorHAnsi" w:hAnsi="Arial" w:cs="Arial"/>
          <w:noProof w:val="0"/>
          <w:color w:val="000000"/>
          <w:sz w:val="22"/>
          <w:szCs w:val="22"/>
          <w:vertAlign w:val="subscript"/>
          <w:lang w:val="en-US"/>
        </w:rPr>
        <w:t>просек</w:t>
      </w:r>
      <w:r w:rsidRPr="000B7E24">
        <w:rPr>
          <w:rFonts w:ascii="Arial" w:eastAsiaTheme="minorHAnsi" w:hAnsi="Arial" w:cs="Arial"/>
          <w:noProof w:val="0"/>
          <w:color w:val="000000"/>
          <w:sz w:val="22"/>
          <w:szCs w:val="22"/>
          <w:lang w:val="en-US"/>
        </w:rPr>
        <w:t xml:space="preserve"> = годишњи просечни проток димног гаса у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/h.</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4.</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Прорачун концентрације користећи индиректно мерење концентрације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Једначина 3. Прорачун концентрације</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11" w:name="_idContainer032"/>
      <w:r w:rsidRPr="000B7E24">
        <w:rPr>
          <w:rFonts w:ascii="Arial" w:eastAsiaTheme="minorHAnsi" w:hAnsi="Arial" w:cs="Arial"/>
          <w:sz w:val="22"/>
          <w:szCs w:val="22"/>
          <w:lang w:eastAsia="sr-Latn-RS"/>
        </w:rPr>
        <w:drawing>
          <wp:inline distT="0" distB="0" distL="0" distR="0" wp14:anchorId="1F3B958E" wp14:editId="4BE528E0">
            <wp:extent cx="3237255" cy="5121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7255" cy="512102"/>
                    </a:xfrm>
                    <a:prstGeom prst="rect">
                      <a:avLst/>
                    </a:prstGeom>
                  </pic:spPr>
                </pic:pic>
              </a:graphicData>
            </a:graphic>
          </wp:inline>
        </w:drawing>
      </w:r>
    </w:p>
    <w:bookmarkEnd w:id="11"/>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Одељак 5.</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Замена за податке о концентрацији који недостају за методологије на основу мерења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Једначина 4. Замена за податке који недостају за методологије на основу мерења</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12" w:name="_idContainer033"/>
      <w:r w:rsidRPr="000B7E24">
        <w:rPr>
          <w:rFonts w:ascii="Arial" w:eastAsiaTheme="minorHAnsi" w:hAnsi="Arial" w:cs="Arial"/>
          <w:sz w:val="22"/>
          <w:szCs w:val="22"/>
          <w:lang w:eastAsia="sr-Latn-RS"/>
        </w:rPr>
        <w:drawing>
          <wp:inline distT="0" distB="0" distL="0" distR="0" wp14:anchorId="315DED5F" wp14:editId="7B6820BD">
            <wp:extent cx="3237255" cy="1889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7255" cy="188989"/>
                    </a:xfrm>
                    <a:prstGeom prst="rect">
                      <a:avLst/>
                    </a:prstGeom>
                  </pic:spPr>
                </pic:pic>
              </a:graphicData>
            </a:graphic>
          </wp:inline>
        </w:drawing>
      </w:r>
    </w:p>
    <w:bookmarkEnd w:id="12"/>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Где 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3"/>
        <w:gridCol w:w="849"/>
        <w:gridCol w:w="8105"/>
      </w:tblGrid>
      <w:tr w:rsidR="000B7E24" w:rsidRPr="000B7E24" w:rsidTr="00CA5B64">
        <w:trPr>
          <w:trHeight w:val="45"/>
          <w:tblCellSpacing w:w="0" w:type="auto"/>
        </w:trPr>
        <w:tc>
          <w:tcPr>
            <w:tcW w:w="195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64BCDA95" wp14:editId="3C1A83EF">
                  <wp:extent cx="213373" cy="164605"/>
                  <wp:effectExtent l="0" t="0" r="0" b="0"/>
                  <wp:docPr id="29" name="Picture 2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73" cy="164605"/>
                          </a:xfrm>
                          <a:prstGeom prst="rect">
                            <a:avLst/>
                          </a:prstGeom>
                        </pic:spPr>
                      </pic:pic>
                    </a:graphicData>
                  </a:graphic>
                </wp:inline>
              </w:drawing>
            </w:r>
          </w:p>
        </w:tc>
        <w:tc>
          <w:tcPr>
            <w:tcW w:w="110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134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Аритметичка средина концентрације специфичног параметра у току целог периода извештавања или, у случају када важе посебне околности кад дође до губитка података, одговарајући период који одражава те посебне околности;</w:t>
            </w:r>
          </w:p>
        </w:tc>
      </w:tr>
      <w:tr w:rsidR="000B7E24" w:rsidRPr="000B7E24" w:rsidTr="00CA5B64">
        <w:trPr>
          <w:trHeight w:val="45"/>
          <w:tblCellSpacing w:w="0" w:type="auto"/>
        </w:trPr>
        <w:tc>
          <w:tcPr>
            <w:tcW w:w="195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σC_</w:t>
            </w:r>
          </w:p>
        </w:tc>
        <w:tc>
          <w:tcPr>
            <w:tcW w:w="110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134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Најбоља процена стандардног одступања од концентрације специфичног параметра у целом извештајном периоду или у случају када важе посебне околности када дође до губитка података, одговарајући период који одражава те посебне околности.</w:t>
            </w:r>
          </w:p>
        </w:tc>
      </w:tr>
    </w:tbl>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8</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МИНИМАЛНИ ПОДАЦИ ЗА КОЈЕ ЈЕ ПРОПИСАНА ОБАВЕЗА ВОЂЕЊА ЕВИДЕНЦИЈЕ И ЧУВАЊА У СКЛАДУ СА ЧЛАНОМ 57.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Оператери чувају следеће документе: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ОПШТИ ЕЛЕМЕНТИ ЗА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план мониторинга који је одобрио надлежни орган;</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документа која правдају избор методологије мониторинга и документа која правдају привремене или сталне измене методологија мониторинга и нивоа, а које је одобрио надлежни орган;</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свако релевантно ажурирање планова мониторинга о којима је обавештен надлежни орган, као и одговори надлежног органа;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сви писани поступци на које се упућује у плану мониторинга, укључујући план узорковања, поступке за активности тока података и поступке за контролне активности;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попис свих коришћених верзија плана мониторинга и свих повезаних поступака;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документација о задужењима за мониторинг и извештавање;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процена ризика коју врши оператер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 извештаји о побољшању методологије мониторинга, у складу са чланом 59.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 верификовани годишњи извештај о емисијама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 извештај о верификацији;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11) све друге информације за које се утврди да су неопходне за верификацију годишњих извештаја о емисијама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СПЕЦИФИЧНИ ЕЛЕМЕНТИ ЗА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дозвола за емисију гасова и њене евентуалне измене;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свака процена несигурности, где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за методологије на основу прорачуна које се примењују у постројењима: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подаци о активностима који се користе за рачунање емисија гасова за сваки ток извора, категорисане у складу са процесом и горивом или врстом материјала;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попис свих стандардних вредности које се користе као обрачунски фактори, где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попис резултата узорковања и анализе за утврђивање обрачунских фактора;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документација о свим исправљеним неделотворним поступцима и о корективним мерама предузетим у складу са чланом 59.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сви резултати калибрисања и одржавања мерних инструмената;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за методологије на основу мерења у постројењима: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документација којом се правда избор методологије засноване на мерењу;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подаци који се користе за анализу несигурности емисија гасова из сваког извора емисије, категорисани у складу са процесом;</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подаци који се користе да се потврде прорачуни и резултати прорачуна;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детаљан технички опис система континуираног мерења укључујући одобрења надлежног органа;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необрађени и прикупљени подаци из система континуираног мерења, укључујући податке о променама, дневник о тестирањима, време застоја, калибрације, сервисирање и одржавање;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документација о свакој промени система за континуирано мерење;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сваки резултат калибрације и одржавања мерних инструмената;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 где је применљиво, модел масеног или енергетског биланса који се користи у циљу утврђивања посредних података у складу са чланом 42. ст. 5. и 6. овог правилника и претпоставки које су основ за замену;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за алтернативну методологију из члана 19. овог правилника, сви подаци неопходни за утврђивање емисија гасова за изворе емисија и токове емисија за које се примењује та методологија, као и посредни подаци за податке о активностима, обрачунски фактори и остали параметри који би се примењивали по методологији неког нивоа;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за производњу примарног алуминијума: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документација резултата из мерних активности за утврђивање емисионих фактора који су специфични за постројење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и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документација резултата утврђивања ефикасности сакупљања за фугитивне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сви релевантни подаци о производњи примарног алуминијума, учесталости и трајања анодног ефекта или података о пренапону;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за активности хватања, превоза и геолошког складиштења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где је примењиво, следеће додатне елементе: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документација о количини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коју су инсталације које изводе геолошко складиштење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убациле у складишни комплекс;</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репрезентативно сакупљени подаци о температури и притиску из транспортне мреже;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примерак дозволе за складиштење, укључујући одобрен план мониторинга, у складу са законом;</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извештаји достављени у складу са законом;</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извештаји о резултатима контрола спроведених у складу са законом;</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документација о корективним мерама које су предузете у складу са законом.</w:t>
      </w:r>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9</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МИНИМАЛНИ САДРЖАЈ ИЗВЕШТАЈА О ГОДИШЊИМ ЕМИСИЈАМА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ГОДИШЊИ ИЗВЕШТАЈ О ЕМИСИЈАМА GHG ИЗ ПОСТРОЈЕЊА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Годишњи извештај о емисијама GHG из постројења садржи најмање следеће податке: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подаци за идентификацију постројења и јединствени број дозволе;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назив и адреса верификатора извештаја;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година извештавања;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упућивање на верзију најновијег одобреног плана мониторинга, као и њен број и датум од ког се примењује, као и позивање на верзију било ког другог плана мониторинга релевантног за годину извештавања и њен број;</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релевантне измене у раду постројења и измене као и привремена одступања од плана мониторинга која су се десила за време периода извештавања, а које је одобрио надлежни орган , укључујући привремене или сталне промене нивоа, разлоге за такве промене, датум почетка важења промене, као и датум почетка и престанка важења привремених промена;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информације за све изворе емисија и токове извора који обухватају најмање: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укупне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(е) изражене у тонама, укључујући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токова извора биомасе који нису у складу са одредбама члана 35. ст. 6–10.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ако се испуштају други GHG осим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укупне емисије изражене у тонама;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да ли се примењује методологија на основу мерења или прорачуна из члана 18.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примењени нивои;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подаци о активностима: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у случају горива, одвојено се извештава о количини горива (изражена у виду тона или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 и о нето калоријској вредности (GJ/t или GJ/Nm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за све остале токове извора количина изражена у виду тона или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емисиони фактори изражени у складу са чланом 33. ст. 2. и 3. овог правилника; удео биомасе, оксидациони и фактори конверзије изражени као бездимензиони удели;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ако се емисиони фактори за горива односе на масу или запремину уместо на енергију, вредности утврђене на основу члана 23. став 7. овог правилника за нето калоријску вредност конкретног тока извора;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ако се примењује методологија биланса масе, ток масе и садржај угљеника за сваки ток извора у постројењу и из постројења; удео биомасе и нето калоријска вредност,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 информације о којима се извештава у облику напомене, које обухватају:</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количину сагореле биомасе изражену у TJ или коришћене у процесима изражене у тонама или Nm</w:t>
      </w:r>
      <w:r w:rsidRPr="000B7E24">
        <w:rPr>
          <w:rFonts w:ascii="Arial" w:eastAsiaTheme="minorHAnsi" w:hAnsi="Arial" w:cs="Arial"/>
          <w:noProof w:val="0"/>
          <w:color w:val="000000"/>
          <w:sz w:val="22"/>
          <w:szCs w:val="22"/>
          <w:vertAlign w:val="superscript"/>
          <w:lang w:val="en-US"/>
        </w:rPr>
        <w:t>3</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биомасе изражене у тонама ако се користи методологија на основу мерења да се утврде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замена за нето калоријску вредност токова извора биомасе који се користе као гориво, ако је применљиво;</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емисије, количине и садржај енергије горива из биомасе и биотечности које су сагореле изражено у тонама и ТЈ, те информације да ли су таква горива из биомасе и биотечности у складу са одредбама члана 35. ст. 6–10.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или NО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 у постројење или примљен из постројења, када се примењује чл. 46. или 47. овог правилника, изражен у тонама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инхерентни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 у постројење или примљен из постројења, када се примењује члан 45. овог правилника, изражен у тонама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(7) ако је примењиво, назив инсталација и њихова идентификациона ознака од:</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једне или више инсталација у које 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или NО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пренесен у складу са тач. 5) и 6) тачке 8);</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једне или више инсталација из којих 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или NО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примљен у складу са тач. 5) и 6) тачке 8); ако то постројење нема ту идентификациону ознаку, наводе се име и адреса постројења, односно релевантни подаци особе за контакт;</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 пренесен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из биомасе изражен у тонама;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 ако се примењује методологија на основу мерења: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ако се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мери као годишње емисије фосилног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и годишње емисије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од биомасе;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часови рада континуираног система за мерење емисија (CEMS), измерене концентрације GHG и ток димног гаса израженог као годишњи једночасовни просек и као годишња укупна вредност;</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 ако се примењује методологија мониторинга која се не заснива на нивоима из члана 19. овог правилника, сви подаци неопходни за утврђивање емисија гасова за изворе емисија и токове извора за које се примењује та методологија, као и посредни подаци за податке о активностима, обрачунски фактори и остали параметри о којима се извештава у оквиру методологије нивоа;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11) ако недостају подаци који су замењени посредним подацима у складу са чланом 56. став 1.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ток извора или извор емисије на који се односи сваки недостатак;</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разлози за сваки недостатак;</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датум почетка недостајања неког податка и окончања таквог недостатка;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емисије гасова израчунате на основу посредних података;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ако метода процене за заменске податке није још укључена у план мониторинга, детаљан опис методе процене укључујући доказ да коришћена методологија не води до потцењивања емисија за конкретни временски период;</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12) све друге промене у постројењу за време периода извештавања које су значајне за емисије гасова за то постројење у току године извештавања;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13) ако је применљиво, ниво производње примарног алуминијума, учесталост и просечно трајање анодних ефеката за време периода извештавања, или подаци о пренапону анодног ефекта за време периода извештавања, као и резултати најскоријег утврђивања емисионих фактора специфичних за постројење за CF</w:t>
      </w:r>
      <w:r w:rsidRPr="000B7E24">
        <w:rPr>
          <w:rFonts w:ascii="Arial" w:eastAsiaTheme="minorHAnsi" w:hAnsi="Arial" w:cs="Arial"/>
          <w:noProof w:val="0"/>
          <w:color w:val="000000"/>
          <w:sz w:val="22"/>
          <w:szCs w:val="22"/>
          <w:vertAlign w:val="subscript"/>
          <w:lang w:val="en-US"/>
        </w:rPr>
        <w:t>4</w:t>
      </w:r>
      <w:r w:rsidRPr="000B7E24">
        <w:rPr>
          <w:rFonts w:ascii="Arial" w:eastAsiaTheme="minorHAnsi" w:hAnsi="Arial" w:cs="Arial"/>
          <w:noProof w:val="0"/>
          <w:color w:val="000000"/>
          <w:sz w:val="22"/>
          <w:szCs w:val="22"/>
          <w:lang w:val="en-US"/>
        </w:rPr>
        <w:t xml:space="preserve"> и C</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F</w:t>
      </w:r>
      <w:r w:rsidRPr="000B7E24">
        <w:rPr>
          <w:rFonts w:ascii="Arial" w:eastAsiaTheme="minorHAnsi" w:hAnsi="Arial" w:cs="Arial"/>
          <w:noProof w:val="0"/>
          <w:color w:val="000000"/>
          <w:sz w:val="22"/>
          <w:szCs w:val="22"/>
          <w:vertAlign w:val="subscript"/>
          <w:lang w:val="en-US"/>
        </w:rPr>
        <w:t>6</w:t>
      </w:r>
      <w:r w:rsidRPr="000B7E24">
        <w:rPr>
          <w:rFonts w:ascii="Arial" w:eastAsiaTheme="minorHAnsi" w:hAnsi="Arial" w:cs="Arial"/>
          <w:noProof w:val="0"/>
          <w:color w:val="000000"/>
          <w:sz w:val="22"/>
          <w:szCs w:val="22"/>
          <w:lang w:val="en-US"/>
        </w:rPr>
        <w:t>, како је одређено у Прилогу 3 овог правилника, и резултати најновијег утврђивања ефикасности сакупљања цеви.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За емисије које долазе из различитих извора емисије или токова извора истог типа из једног постројења које припадају истом типу активности, извештавање се може вршити на збирни начин за ту врсту активности.</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су нивои промењени у току периода извештавања, оператер рачуна и извештава о емисијама гасова у засебним деловима годишњег извештаја за одговарајуће периоде.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Оператери локација за складиштење CО</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могу користити поједностављене извештаје о емисијама гасова након затварања локације за складиштење, у складу са прописом којим се уређује хватање и складиштење угљеника, који морају садржати најмање елементе из тач. 1) до 5), ако дозвола за емисију гасова не садржи изворе емисија.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604440B0" wp14:editId="35728A1D">
            <wp:extent cx="5732145" cy="80460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06293CC7" wp14:editId="770D4148">
            <wp:extent cx="5732145" cy="80460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528E60B0" wp14:editId="3B2031C1">
            <wp:extent cx="5732145" cy="80460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5D218F94" wp14:editId="6B8E1221">
            <wp:extent cx="5732145" cy="80460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445A755F" wp14:editId="5D55A13D">
            <wp:extent cx="5732145" cy="804604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3917984C" wp14:editId="593A6E1B">
            <wp:extent cx="5732145" cy="804604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319EDB20" wp14:editId="364921E2">
            <wp:extent cx="5732145" cy="804604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2EA5AAFA" wp14:editId="249D046D">
            <wp:extent cx="5732145" cy="804604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36BF87A4" wp14:editId="6CC36156">
            <wp:extent cx="5732145" cy="804604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1E7A1A61" wp14:editId="4D52B1B6">
            <wp:extent cx="5732145" cy="804604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78786EFA" wp14:editId="3F46612F">
            <wp:extent cx="5732145" cy="804604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0A0B255D" wp14:editId="68A519BA">
            <wp:extent cx="5732145" cy="804604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20D8F693" wp14:editId="3E781E80">
            <wp:extent cx="5732145" cy="804604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2136D7B6" wp14:editId="4FFE3855">
            <wp:extent cx="5732145" cy="804604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66C3FF33" wp14:editId="08223E11">
            <wp:extent cx="5732145" cy="804604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24B3D34A" wp14:editId="21BD91CE">
            <wp:extent cx="5732145" cy="804604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008F501A" wp14:editId="150094C5">
            <wp:extent cx="5732145" cy="804604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5257FA32" wp14:editId="14263116">
            <wp:extent cx="5732145" cy="804604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1835DDC7" wp14:editId="6589EB64">
            <wp:extent cx="5732145" cy="804604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77183BD5" wp14:editId="77BC58C8">
            <wp:extent cx="5732145" cy="804604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0FA6DAFC" wp14:editId="0F2B9F6F">
            <wp:extent cx="5732145" cy="804604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17902D68" wp14:editId="112ABE95">
            <wp:extent cx="5732145" cy="804604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2FDE1EC4" wp14:editId="774F075D">
            <wp:extent cx="5732145" cy="804604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2DDA6389" wp14:editId="2E295636">
            <wp:extent cx="5732145" cy="804604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02DD2E7C" wp14:editId="7A4D0EDB">
            <wp:extent cx="5732145" cy="804604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793FD028" wp14:editId="20219554">
            <wp:extent cx="5732145" cy="804604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436A88AA" wp14:editId="6909B0BB">
            <wp:extent cx="5732145" cy="804604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33CDE102" wp14:editId="7C3DD2DA">
            <wp:extent cx="5732145" cy="804604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6ACF002F" wp14:editId="2247092E">
            <wp:extent cx="5732145" cy="804604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1A37F82A" wp14:editId="70381D8D">
            <wp:extent cx="5732145" cy="804604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33D29033" wp14:editId="2FF2D69C">
            <wp:extent cx="5732145" cy="804604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121FEF99" wp14:editId="6E377AA6">
            <wp:extent cx="5732145" cy="804604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11</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OБАВЕШТЕЊЕ О ПРЕДЛОЗИМА ЗА ИЗМЕНУ ПЛАНА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 Подаци о оператеру постројења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42"/>
        <w:gridCol w:w="1125"/>
      </w:tblGrid>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подносиоца захтева</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Mатични број, ПИБ и датум регистрације у Регистру привредних субјеката Агенције за привредне регистре</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Oдговорно лице</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Aдреса</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Oпштина</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Место</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Поштански број</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Tелефон</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E-маил</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 Подаци о постројењу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13"/>
        <w:gridCol w:w="1454"/>
      </w:tblGrid>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ID постројeња</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дозволе за емисију GHG</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III. Постојећи план мониторинга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68"/>
        <w:gridCol w:w="1599"/>
      </w:tblGrid>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верзије</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Референтни датум</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Статус на дан референтног датума</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Датум примене</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датотеке плана мониторинга у прилогу</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IV. Разлози за измену плана мониторинга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63"/>
        <w:gridCol w:w="1704"/>
      </w:tblGrid>
      <w:tr w:rsidR="000B7E24" w:rsidRPr="000B7E24" w:rsidTr="00CA5B64">
        <w:trPr>
          <w:trHeight w:val="45"/>
          <w:tblCellSpacing w:w="0" w:type="auto"/>
        </w:trPr>
        <w:tc>
          <w:tcPr>
            <w:tcW w:w="122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настају нове емисије GHG због нових активности или због коришћења нових горива или материјала који још увек садржани у плану мониторингу;</w:t>
            </w:r>
          </w:p>
        </w:tc>
        <w:tc>
          <w:tcPr>
            <w:tcW w:w="21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2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промена у доступности података услед коришћења нових типова мерних инструмената, метода узорковања или метода анализе или из других разлога води већој тачности у утврђивању емисија GHG;</w:t>
            </w:r>
          </w:p>
        </w:tc>
        <w:tc>
          <w:tcPr>
            <w:tcW w:w="21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2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утврђено је да су подаци који су резултат претходно примењене методологије мониторинга нетачни;</w:t>
            </w:r>
          </w:p>
        </w:tc>
        <w:tc>
          <w:tcPr>
            <w:tcW w:w="21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2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измена плана мониторинга повећава тачност података о којима се извештава, осим, ако није технички изводљиво или води до неоправдано високих трошкова;</w:t>
            </w:r>
          </w:p>
        </w:tc>
        <w:tc>
          <w:tcPr>
            <w:tcW w:w="21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2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план мониторинга није у складу са овим правилником и надлежни орган захтева од оператера да га измени;</w:t>
            </w:r>
          </w:p>
        </w:tc>
        <w:tc>
          <w:tcPr>
            <w:tcW w:w="21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29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ако је неопходно реаговати на препоруке за побољшање плана мониторинга које су садржане у извештају о верификацији.</w:t>
            </w:r>
          </w:p>
        </w:tc>
        <w:tc>
          <w:tcPr>
            <w:tcW w:w="21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 Значајне измене плана мониторинга – стационарна постројења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923"/>
        <w:gridCol w:w="1544"/>
      </w:tblGrid>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 промене категорије постројења где такве промене захтевају промене методологије мониторинга или воде до промене применљивог нивоа материјалности, у складу са прописом којим се уређује верификација и акредитација извештаја о емисијама GHG;</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не доводећи у питање члан 44. став 8. овог правилника, измене везане за питање да ли се постројење сматра постројењем са ниским емисијама GHG;</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3) промене извора емисија GHG;</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4) прелазак са методологије на основу прорачуна на методологију на основу мерења или обрнуто, или са алтернативне методологије на методологију на основу нивоа који се примењује за утврђивање емисија GHG или обрнуто;</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5) промена нивоа који се примењује;</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6) увођење нових токова извора;</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7) промена у категоризацији токова извора, односно промена између главних, манјих или </w:t>
            </w:r>
            <w:r w:rsidRPr="000B7E24">
              <w:rPr>
                <w:rFonts w:ascii="Arial" w:eastAsiaTheme="minorHAnsi" w:hAnsi="Arial" w:cs="Arial"/>
                <w:i/>
                <w:noProof w:val="0"/>
                <w:color w:val="000000"/>
                <w:sz w:val="22"/>
                <w:szCs w:val="22"/>
                <w:lang w:val="en-US"/>
              </w:rPr>
              <w:t>de minimis</w:t>
            </w:r>
            <w:r w:rsidRPr="000B7E24">
              <w:rPr>
                <w:rFonts w:ascii="Arial" w:eastAsiaTheme="minorHAnsi" w:hAnsi="Arial" w:cs="Arial"/>
                <w:noProof w:val="0"/>
                <w:color w:val="000000"/>
                <w:sz w:val="22"/>
                <w:szCs w:val="22"/>
                <w:lang w:val="en-US"/>
              </w:rPr>
              <w:t xml:space="preserve"> токова извора, где таква промена захтева промену методологије мониторинга;</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8) промена стандардне вредности фактора прорачуна при чему се вредност утврђује у плану мониторинга;</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9) увођење нових метода или промена постојећих метода везаних за узорковање, анализу или калибрацију, где то има непосредан утицај на тачност података о емисијама GHG</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r w:rsidR="000B7E24" w:rsidRPr="000B7E24" w:rsidTr="00CA5B64">
        <w:trPr>
          <w:trHeight w:val="45"/>
          <w:tblCellSpacing w:w="0" w:type="auto"/>
        </w:trPr>
        <w:tc>
          <w:tcPr>
            <w:tcW w:w="125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10) употреба или прилагођавање методологије за квантификацију емисија GHG које настају код пропуштања из места складиштења.</w:t>
            </w:r>
          </w:p>
        </w:tc>
        <w:tc>
          <w:tcPr>
            <w:tcW w:w="18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ДA/НE</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 Опис значајних измена плана мониторинга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0B7E24" w:rsidRPr="000B7E24" w:rsidTr="00CA5B6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VII. Опис измена плана мониторинга које нису значајне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0B7E24" w:rsidRPr="000B7E24" w:rsidTr="00CA5B6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VIII. Измењени план мониторинга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53"/>
        <w:gridCol w:w="1414"/>
      </w:tblGrid>
      <w:tr w:rsidR="000B7E24" w:rsidRPr="000B7E24" w:rsidTr="00CA5B64">
        <w:trPr>
          <w:trHeight w:val="45"/>
          <w:tblCellSpacing w:w="0" w:type="auto"/>
        </w:trPr>
        <w:tc>
          <w:tcPr>
            <w:tcW w:w="124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верзије</w:t>
            </w:r>
          </w:p>
        </w:tc>
        <w:tc>
          <w:tcPr>
            <w:tcW w:w="19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4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Референтни датум</w:t>
            </w:r>
          </w:p>
        </w:tc>
        <w:tc>
          <w:tcPr>
            <w:tcW w:w="19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4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Статус на дан референтног датума</w:t>
            </w:r>
          </w:p>
        </w:tc>
        <w:tc>
          <w:tcPr>
            <w:tcW w:w="19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4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Датум примене</w:t>
            </w:r>
          </w:p>
        </w:tc>
        <w:tc>
          <w:tcPr>
            <w:tcW w:w="19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43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датотеке измењеног плана мониторинга у прилогу</w:t>
            </w:r>
          </w:p>
        </w:tc>
        <w:tc>
          <w:tcPr>
            <w:tcW w:w="196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12</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ЗАХТЕВ ЗА ОДОБРЕЊЕ КОРИШЋЕЊА ПОЈЕДНОСТАВЉЕНОГ ПЛАНА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 Подаци о оператеру постројења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42"/>
        <w:gridCol w:w="1125"/>
      </w:tblGrid>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подносиоца захтева</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Mатични број, ПИБ и датум регистрације у Регистру привредних субјеката Агенције за привредне регистре</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Oдговорно лице</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Aдреса</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Oпштина</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Место</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Поштански број</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Tелефон</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E-маил</w:t>
            </w:r>
          </w:p>
        </w:tc>
        <w:tc>
          <w:tcPr>
            <w:tcW w:w="15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 Подаци о постројењу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69"/>
        <w:gridCol w:w="1098"/>
      </w:tblGrid>
      <w:tr w:rsidR="000B7E24" w:rsidRPr="000B7E24" w:rsidTr="00CA5B64">
        <w:trPr>
          <w:trHeight w:val="45"/>
          <w:tblCellSpacing w:w="0" w:type="auto"/>
        </w:trPr>
        <w:tc>
          <w:tcPr>
            <w:tcW w:w="1293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ID постројања (од стране надлежног органа)</w:t>
            </w:r>
          </w:p>
        </w:tc>
        <w:tc>
          <w:tcPr>
            <w:tcW w:w="146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93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дозволе за емисије GHG (ако је примењиво)</w:t>
            </w:r>
          </w:p>
        </w:tc>
        <w:tc>
          <w:tcPr>
            <w:tcW w:w="146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III. Подаци потребни за утврђивање испуњавања услова из члана 44. овог правилника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98"/>
        <w:gridCol w:w="1369"/>
      </w:tblGrid>
      <w:tr w:rsidR="000B7E24" w:rsidRPr="000B7E24" w:rsidTr="00CA5B64">
        <w:trPr>
          <w:trHeight w:val="45"/>
          <w:tblCellSpacing w:w="0" w:type="auto"/>
        </w:trPr>
        <w:tc>
          <w:tcPr>
            <w:tcW w:w="128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 ли постројење већ има верификован годишњи извештај о емисијама?</w:t>
            </w:r>
          </w:p>
        </w:tc>
        <w:tc>
          <w:tcPr>
            <w:tcW w:w="15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281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 ли је дошло до измена у границама постројења или измена у условима рада постројења?</w:t>
            </w:r>
          </w:p>
        </w:tc>
        <w:tc>
          <w:tcPr>
            <w:tcW w:w="158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постројење има верификован годишњи извештај о емисијама за годину која претходи години подношења захтева вршење мониторинга по поједностављеном плану мониторинга, уз захтев приложити верификован годишњи извештај о емисијама за годину која претходи години подношења.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постројење још нема верификован годишњи извештај о емисијама за годину која претходи години подношења захтева, уз захтев приложити следеће: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годишњи извештај о емисијама из постројења за годину која предстоји години подношења извештаја, при томе да се за факторе прорачуна користи Ниво 1.</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копије документације која потврђује потрошњу сваког појединачног тока извора из годишњег извештаја о емисијама.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Надлежни орган са провером на лицу места утврђује оправданост захтева за спровођење поједностављеног плана мониторинга.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оператер сматра да су за постројење испуњени услови из члана 44. став 1. тачка 2) овог правилника, уз захтев доставља сву документацију и прорачуне из којих је могуће утврдити да ће просечне годишње емисије GHG тог постројења за наредних пет година, не рачунајући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xml:space="preserve"> који потиче од биомасе и пре одузимања пренесеног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 износити мање од 25.000 t CO</w:t>
      </w:r>
      <w:r w:rsidRPr="000B7E24">
        <w:rPr>
          <w:rFonts w:ascii="Arial" w:eastAsiaTheme="minorHAnsi" w:hAnsi="Arial" w:cs="Arial"/>
          <w:noProof w:val="0"/>
          <w:color w:val="000000"/>
          <w:sz w:val="22"/>
          <w:szCs w:val="22"/>
          <w:vertAlign w:val="subscript"/>
          <w:lang w:val="en-US"/>
        </w:rPr>
        <w:t>2</w:t>
      </w:r>
      <w:r w:rsidRPr="000B7E24">
        <w:rPr>
          <w:rFonts w:ascii="Arial" w:eastAsiaTheme="minorHAnsi" w:hAnsi="Arial" w:cs="Arial"/>
          <w:noProof w:val="0"/>
          <w:color w:val="000000"/>
          <w:sz w:val="22"/>
          <w:szCs w:val="22"/>
          <w:lang w:val="en-US"/>
        </w:rPr>
        <w:t>(е) годишње.</w:t>
      </w:r>
    </w:p>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bookmarkStart w:id="13" w:name="_idContainer067"/>
      <w:r w:rsidRPr="000B7E24">
        <w:rPr>
          <w:rFonts w:ascii="Arial" w:eastAsiaTheme="minorHAnsi" w:hAnsi="Arial" w:cs="Arial"/>
          <w:sz w:val="22"/>
          <w:szCs w:val="22"/>
          <w:lang w:eastAsia="sr-Latn-RS"/>
        </w:rPr>
        <w:drawing>
          <wp:inline distT="0" distB="0" distL="0" distR="0" wp14:anchorId="616929BD" wp14:editId="1A73262F">
            <wp:extent cx="5732145" cy="405983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4059833"/>
                    </a:xfrm>
                    <a:prstGeom prst="rect">
                      <a:avLst/>
                    </a:prstGeom>
                  </pic:spPr>
                </pic:pic>
              </a:graphicData>
            </a:graphic>
          </wp:inline>
        </w:drawing>
      </w:r>
    </w:p>
    <w:bookmarkEnd w:id="13"/>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4E8C897A" wp14:editId="0082F433">
            <wp:extent cx="5732145" cy="804604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3ADF0B10" wp14:editId="19B84A0B">
            <wp:extent cx="5732145" cy="804604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4DFD5625" wp14:editId="0ADEB498">
            <wp:extent cx="5732145" cy="804604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1CC2D4F5" wp14:editId="79707525">
            <wp:extent cx="5732145" cy="80460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6A4B0AD8" wp14:editId="5BEBEACA">
            <wp:extent cx="5732145" cy="804604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049B3DEC" wp14:editId="52A347D9">
            <wp:extent cx="5732145" cy="804604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5D0823C0" wp14:editId="1C506760">
            <wp:extent cx="5732145" cy="804604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539A938F" wp14:editId="6C1BABF0">
            <wp:extent cx="5732145" cy="804604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7CA011F7" wp14:editId="23DE33A2">
            <wp:extent cx="5732145" cy="804604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1E6F8DEB" wp14:editId="38A42F76">
            <wp:extent cx="5732145" cy="804604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0DBD9976" wp14:editId="3DB5044E">
            <wp:extent cx="5732145" cy="804604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64730644" wp14:editId="2BC4480E">
            <wp:extent cx="5732145" cy="804604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240D0366" wp14:editId="22483061">
            <wp:extent cx="5732145" cy="804604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sz w:val="22"/>
          <w:szCs w:val="22"/>
          <w:lang w:eastAsia="sr-Latn-RS"/>
        </w:rPr>
        <w:drawing>
          <wp:inline distT="0" distB="0" distL="0" distR="0" wp14:anchorId="4674C84A" wp14:editId="09348A90">
            <wp:extent cx="5732145" cy="804604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8046048"/>
                    </a:xfrm>
                    <a:prstGeom prst="rect">
                      <a:avLst/>
                    </a:prstGeom>
                  </pic:spPr>
                </pic:pic>
              </a:graphicData>
            </a:graphic>
          </wp:inline>
        </w:drawing>
      </w:r>
    </w:p>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15</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ЗАХТЕВ ЗА ИЗДАВАЊЕ ДОЗВОЛЕ ЗА ЕМИСИЈУ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 Подаци о оператеру постројења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02"/>
        <w:gridCol w:w="1165"/>
      </w:tblGrid>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подносиоца захтева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Матични број, ПИБ и датум регистрације у регистру привредних субјеката Агенције за привредне регистре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Одговорно лице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Aдреса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Oпштина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Место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Поштански број</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Teлефон</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E-маил</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интегрисане дозволе (ако је применљиво)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PRTR (ако је применљиво)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Лице одговорно за управљање постројењем</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Примарно овлашћено лице за давање информација везаних за дозволу и план мониторинга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Позиција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Презиме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Назив организације (ако се разликује од оператера)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Примарно овлашћено лице за давање информација везаних за дозволу и план мониторинга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Друго овлашћено лице за давање информација везаних за дозволу и план мониторинга ако примарно лице није доступно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Позиција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Презиме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Назив организације (ако се разликује од оператера)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Примарно овлашћено лице за давање информација везаних за дозволу и план мониторинга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 Опис и локација постројења и активности које се обављају у постројењу, укључујући технологије које се користе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145"/>
        <w:gridCol w:w="322"/>
      </w:tblGrid>
      <w:tr w:rsidR="000B7E24" w:rsidRPr="000B7E24" w:rsidTr="00CA5B64">
        <w:trPr>
          <w:trHeight w:val="45"/>
          <w:tblCellSpacing w:w="0" w:type="auto"/>
        </w:trPr>
        <w:tc>
          <w:tcPr>
            <w:tcW w:w="140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постројења</w:t>
            </w:r>
          </w:p>
        </w:tc>
        <w:tc>
          <w:tcPr>
            <w:tcW w:w="3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40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Aдреса</w:t>
            </w:r>
          </w:p>
        </w:tc>
        <w:tc>
          <w:tcPr>
            <w:tcW w:w="3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40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Teлефон</w:t>
            </w:r>
          </w:p>
        </w:tc>
        <w:tc>
          <w:tcPr>
            <w:tcW w:w="3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40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E-маил</w:t>
            </w:r>
          </w:p>
        </w:tc>
        <w:tc>
          <w:tcPr>
            <w:tcW w:w="3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40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Краћи опис локације: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Maкролокација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Mикролокација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Oријентација локације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Опис локације (транспортна инфраструктура)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Oбјекти у околини постројења које може утицати na емисије GHG (друга постројења са којим је постројење инфрструктурно повезано,...)</w:t>
            </w:r>
          </w:p>
        </w:tc>
        <w:tc>
          <w:tcPr>
            <w:tcW w:w="3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40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Активности које се обављају у постројењу, укључујући технологије које се користе</w:t>
            </w:r>
            <w:r w:rsidRPr="000B7E24">
              <w:rPr>
                <w:rFonts w:ascii="Arial" w:eastAsiaTheme="minorHAnsi" w:hAnsi="Arial" w:cs="Arial"/>
                <w:noProof w:val="0"/>
                <w:color w:val="000000"/>
                <w:sz w:val="22"/>
                <w:szCs w:val="22"/>
                <w:vertAlign w:val="superscript"/>
                <w:lang w:val="en-US"/>
              </w:rPr>
              <w:t>1</w:t>
            </w:r>
          </w:p>
        </w:tc>
        <w:tc>
          <w:tcPr>
            <w:tcW w:w="3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xml:space="preserve">1Активности у складу са Прилогом 1. Уредбе о врстама активности и гасовима са ефектом стаклене баште („Службени гласник РС”, Број 13/22).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9"/>
        <w:gridCol w:w="1393"/>
        <w:gridCol w:w="1501"/>
        <w:gridCol w:w="1515"/>
        <w:gridCol w:w="2379"/>
        <w:gridCol w:w="1580"/>
      </w:tblGrid>
      <w:tr w:rsidR="000B7E24" w:rsidRPr="000B7E24" w:rsidTr="00CA5B64">
        <w:trPr>
          <w:trHeight w:val="45"/>
          <w:tblCellSpacing w:w="0" w:type="auto"/>
        </w:trPr>
        <w:tc>
          <w:tcPr>
            <w:tcW w:w="42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 (A1, A2…)</w:t>
            </w:r>
          </w:p>
        </w:tc>
        <w:tc>
          <w:tcPr>
            <w:tcW w:w="14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Активност из Прилога 1 Уредбе</w:t>
            </w:r>
          </w:p>
        </w:tc>
        <w:tc>
          <w:tcPr>
            <w:tcW w:w="6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Укупни капацитет активности</w:t>
            </w:r>
          </w:p>
        </w:tc>
        <w:tc>
          <w:tcPr>
            <w:tcW w:w="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Јединице капацитета</w:t>
            </w:r>
          </w:p>
        </w:tc>
        <w:tc>
          <w:tcPr>
            <w:tcW w:w="554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Номинална топлотна снага на улазу у MW(th) (ако је капацитет изражен у тонама)</w:t>
            </w:r>
          </w:p>
        </w:tc>
        <w:tc>
          <w:tcPr>
            <w:tcW w:w="209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Емитовани GHG</w:t>
            </w:r>
          </w:p>
        </w:tc>
      </w:tr>
      <w:tr w:rsidR="000B7E24" w:rsidRPr="000B7E24" w:rsidTr="00CA5B64">
        <w:trPr>
          <w:trHeight w:val="45"/>
          <w:tblCellSpacing w:w="0" w:type="auto"/>
        </w:trPr>
        <w:tc>
          <w:tcPr>
            <w:tcW w:w="42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A1</w:t>
            </w:r>
          </w:p>
        </w:tc>
        <w:tc>
          <w:tcPr>
            <w:tcW w:w="14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554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209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III Подаци о врсти и извору емисија GHG</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54"/>
        <w:gridCol w:w="1432"/>
        <w:gridCol w:w="4281"/>
      </w:tblGrid>
      <w:tr w:rsidR="000B7E24" w:rsidRPr="000B7E24" w:rsidTr="00CA5B64">
        <w:trPr>
          <w:trHeight w:val="45"/>
          <w:tblCellSpacing w:w="0" w:type="auto"/>
        </w:trPr>
        <w:tc>
          <w:tcPr>
            <w:tcW w:w="67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извор емисије (S1, S2,…)</w:t>
            </w:r>
          </w:p>
        </w:tc>
        <w:tc>
          <w:tcPr>
            <w:tcW w:w="16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Извор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опис)</w:t>
            </w:r>
          </w:p>
        </w:tc>
        <w:tc>
          <w:tcPr>
            <w:tcW w:w="60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 (A1, A2,..)</w:t>
            </w:r>
          </w:p>
        </w:tc>
      </w:tr>
      <w:tr w:rsidR="000B7E24" w:rsidRPr="000B7E24" w:rsidTr="00CA5B64">
        <w:trPr>
          <w:trHeight w:val="45"/>
          <w:tblCellSpacing w:w="0" w:type="auto"/>
        </w:trPr>
        <w:tc>
          <w:tcPr>
            <w:tcW w:w="67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S1</w:t>
            </w:r>
          </w:p>
        </w:tc>
        <w:tc>
          <w:tcPr>
            <w:tcW w:w="16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0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67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S2</w:t>
            </w:r>
          </w:p>
        </w:tc>
        <w:tc>
          <w:tcPr>
            <w:tcW w:w="16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0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676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6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00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22"/>
        <w:gridCol w:w="1231"/>
        <w:gridCol w:w="1497"/>
        <w:gridCol w:w="1497"/>
        <w:gridCol w:w="2120"/>
      </w:tblGrid>
      <w:tr w:rsidR="000B7E24" w:rsidRPr="000B7E24" w:rsidTr="00CA5B64">
        <w:trPr>
          <w:trHeight w:val="45"/>
          <w:tblCellSpacing w:w="0" w:type="auto"/>
        </w:trPr>
        <w:tc>
          <w:tcPr>
            <w:tcW w:w="77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тачку емисије (EP1, EP2,..)</w:t>
            </w:r>
          </w:p>
        </w:tc>
        <w:tc>
          <w:tcPr>
            <w:tcW w:w="140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Опис тачке емисије</w:t>
            </w:r>
          </w:p>
        </w:tc>
        <w:tc>
          <w:tcPr>
            <w:tcW w:w="9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w:t>
            </w:r>
          </w:p>
        </w:tc>
        <w:tc>
          <w:tcPr>
            <w:tcW w:w="12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извор емисије</w:t>
            </w:r>
          </w:p>
        </w:tc>
        <w:tc>
          <w:tcPr>
            <w:tcW w:w="30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Емитовани GHG</w:t>
            </w:r>
          </w:p>
        </w:tc>
      </w:tr>
      <w:tr w:rsidR="000B7E24" w:rsidRPr="000B7E24" w:rsidTr="00CA5B64">
        <w:trPr>
          <w:trHeight w:val="45"/>
          <w:tblCellSpacing w:w="0" w:type="auto"/>
        </w:trPr>
        <w:tc>
          <w:tcPr>
            <w:tcW w:w="77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EP1</w:t>
            </w:r>
          </w:p>
        </w:tc>
        <w:tc>
          <w:tcPr>
            <w:tcW w:w="140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9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2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30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77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EP2</w:t>
            </w:r>
          </w:p>
        </w:tc>
        <w:tc>
          <w:tcPr>
            <w:tcW w:w="140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9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30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777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40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92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307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IV. Подаци о сировинама и другим материјалима (токови извора) чија употреба може да доведе до емисије GHG</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33"/>
        <w:gridCol w:w="1060"/>
        <w:gridCol w:w="1061"/>
        <w:gridCol w:w="1497"/>
        <w:gridCol w:w="1508"/>
        <w:gridCol w:w="1508"/>
      </w:tblGrid>
      <w:tr w:rsidR="000B7E24" w:rsidRPr="000B7E24" w:rsidTr="00CA5B64">
        <w:trPr>
          <w:trHeight w:val="45"/>
          <w:tblCellSpacing w:w="0" w:type="auto"/>
        </w:trPr>
        <w:tc>
          <w:tcPr>
            <w:tcW w:w="78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ток извора F1, F2,…)</w:t>
            </w: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тока извора</w:t>
            </w: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Врста тока извора</w:t>
            </w: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w:t>
            </w: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извор емисије</w:t>
            </w: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тачку емисије</w:t>
            </w:r>
          </w:p>
        </w:tc>
      </w:tr>
      <w:tr w:rsidR="000B7E24" w:rsidRPr="000B7E24" w:rsidTr="00CA5B64">
        <w:trPr>
          <w:trHeight w:val="45"/>
          <w:tblCellSpacing w:w="0" w:type="auto"/>
        </w:trPr>
        <w:tc>
          <w:tcPr>
            <w:tcW w:w="78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F1</w:t>
            </w: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78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F2</w:t>
            </w: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788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5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5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 Нетехнички резиме података који се односи на податке из тач. I–IV овог прилога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0B7E24" w:rsidRPr="000B7E24" w:rsidTr="00CA5B6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 План мониторинга (ПРИЛОГ 10)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68"/>
        <w:gridCol w:w="1599"/>
      </w:tblGrid>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верзије</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Референтни датум</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Статус на дан референтног датума</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Датум примене</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датотеке плана мониторинга у прилогу</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16</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ОБАВЕШТЕЊЕ</w:t>
      </w:r>
      <w:r w:rsidRPr="000B7E24">
        <w:rPr>
          <w:rFonts w:ascii="Arial" w:eastAsiaTheme="minorHAnsi" w:hAnsi="Arial" w:cs="Arial"/>
          <w:noProof w:val="0"/>
          <w:sz w:val="22"/>
          <w:szCs w:val="22"/>
          <w:lang w:val="en-US"/>
        </w:rPr>
        <w:br/>
      </w:r>
      <w:r w:rsidRPr="000B7E24">
        <w:rPr>
          <w:rFonts w:ascii="Arial" w:eastAsiaTheme="minorHAnsi" w:hAnsi="Arial" w:cs="Arial"/>
          <w:b/>
          <w:noProof w:val="0"/>
          <w:color w:val="000000"/>
          <w:sz w:val="22"/>
          <w:szCs w:val="22"/>
          <w:lang w:val="en-US"/>
        </w:rPr>
        <w:t>О НАМЕРАВАНОЈ ПРОМЕНИ ВРСТЕ АКТИВНОСТИ, ПРОМЕНИ КАПАЦИТЕТА ПОСТОЈЕЋИХ ПОСТРОЈЕЊА И ИЗГРАДЊИ НОВИХ ПОСТРОЈЕЊА НА ЛОКАЦИЈИ, ПРОМЕНИ ГОРИВА И ГЛАВНИХ СИРОВИНА КОЈЕ СЕ КОРИСТЕ У ПОСТРОЈЕЊУ У СКЛАДУ СА ЧЛАНОМ 31. ЗАКОНА О КЛИМАТСКИМ ПРОМЕНАМА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 Подаци о оператеру постројења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63"/>
        <w:gridCol w:w="1304"/>
      </w:tblGrid>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подносиоца захтева</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Матични број, ПИБ и датум регистрације у регистру привредних субјеката Агенције за привредне регистре</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Одговорно лице</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Aдреса</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Oпштина</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Место</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Поштански број</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Teлефон</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E-маил</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 Подаци о постројењу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20"/>
        <w:gridCol w:w="1447"/>
      </w:tblGrid>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ID постројења</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дозволе за емисију GHG</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Верзија важећег плана мониторинга</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III. Намераване промене оператера, односно података о оператеру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36"/>
        <w:gridCol w:w="3131"/>
      </w:tblGrid>
      <w:tr w:rsidR="000B7E24" w:rsidRPr="000B7E24" w:rsidTr="00CA5B64">
        <w:trPr>
          <w:trHeight w:val="45"/>
          <w:tblCellSpacing w:w="0" w:type="auto"/>
        </w:trPr>
        <w:tc>
          <w:tcPr>
            <w:tcW w:w="101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Намераване промене оператера</w:t>
            </w:r>
          </w:p>
        </w:tc>
        <w:tc>
          <w:tcPr>
            <w:tcW w:w="42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01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Намераване промене података о оператеру</w:t>
            </w:r>
          </w:p>
        </w:tc>
        <w:tc>
          <w:tcPr>
            <w:tcW w:w="422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IV. Намераване промене врсте активности, променe капацитета постојећих постројења и изградњи нових постројења на локацији, промени горива и главних сировина које се користе у постројењу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229"/>
        <w:gridCol w:w="2238"/>
      </w:tblGrid>
      <w:tr w:rsidR="000B7E24" w:rsidRPr="000B7E24" w:rsidTr="00CA5B64">
        <w:trPr>
          <w:trHeight w:val="45"/>
          <w:tblCellSpacing w:w="0" w:type="auto"/>
        </w:trPr>
        <w:tc>
          <w:tcPr>
            <w:tcW w:w="114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врсте активности</w:t>
            </w:r>
          </w:p>
        </w:tc>
        <w:tc>
          <w:tcPr>
            <w:tcW w:w="29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14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капацитета постројења</w:t>
            </w:r>
          </w:p>
        </w:tc>
        <w:tc>
          <w:tcPr>
            <w:tcW w:w="29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14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Изградња нових постројења/јединица постројења на локацији</w:t>
            </w:r>
          </w:p>
        </w:tc>
        <w:tc>
          <w:tcPr>
            <w:tcW w:w="29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14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горива које се користи у постројењу</w:t>
            </w:r>
          </w:p>
        </w:tc>
        <w:tc>
          <w:tcPr>
            <w:tcW w:w="29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14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главних сировина које се корсите у постројењу</w:t>
            </w:r>
          </w:p>
        </w:tc>
        <w:tc>
          <w:tcPr>
            <w:tcW w:w="29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 Опис намераваних промена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0B7E24" w:rsidRPr="000B7E24" w:rsidTr="00CA5B6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jc w:val="right"/>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ПРИЛОГ 17</w:t>
      </w:r>
    </w:p>
    <w:p w:rsidR="000B7E24" w:rsidRPr="000B7E24" w:rsidRDefault="000B7E24" w:rsidP="000B7E24">
      <w:pPr>
        <w:spacing w:after="120" w:line="276" w:lineRule="auto"/>
        <w:contextualSpacing w:val="0"/>
        <w:jc w:val="center"/>
        <w:rPr>
          <w:rFonts w:ascii="Arial" w:eastAsiaTheme="minorHAnsi" w:hAnsi="Arial" w:cs="Arial"/>
          <w:noProof w:val="0"/>
          <w:sz w:val="22"/>
          <w:szCs w:val="22"/>
          <w:lang w:val="en-US"/>
        </w:rPr>
      </w:pPr>
      <w:r w:rsidRPr="000B7E24">
        <w:rPr>
          <w:rFonts w:ascii="Arial" w:eastAsiaTheme="minorHAnsi" w:hAnsi="Arial" w:cs="Arial"/>
          <w:b/>
          <w:noProof w:val="0"/>
          <w:color w:val="000000"/>
          <w:sz w:val="22"/>
          <w:szCs w:val="22"/>
          <w:lang w:val="en-US"/>
        </w:rPr>
        <w:t>ЗАХТЕВ ЗА ИЗМЕНУ ДОЗВОЛЕ ЗА ЕМИСИЈУ GHG</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 Подаци о оператеру постројења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63"/>
        <w:gridCol w:w="1304"/>
      </w:tblGrid>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подносиоца захтева</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Матични број, ПИБ и датум регистрације у регистру привредних субјеката Агенције за привредне регистре</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Одговорно лице</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Aдреса</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Oпштина</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Место</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Поштански број</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Teлефон</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62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E-маил</w:t>
            </w:r>
          </w:p>
        </w:tc>
        <w:tc>
          <w:tcPr>
            <w:tcW w:w="17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 Подаци о постројењу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20"/>
        <w:gridCol w:w="1447"/>
      </w:tblGrid>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ID постројења</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дозволе за емисију GHG</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419"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Верзија важећег плана мониторинга</w:t>
            </w:r>
          </w:p>
        </w:tc>
        <w:tc>
          <w:tcPr>
            <w:tcW w:w="198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III. Oпис намераваних промена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63"/>
        <w:gridCol w:w="3604"/>
      </w:tblGrid>
      <w:tr w:rsidR="000B7E24" w:rsidRPr="000B7E24" w:rsidTr="00CA5B64">
        <w:trPr>
          <w:trHeight w:val="45"/>
          <w:tblCellSpacing w:w="0" w:type="auto"/>
        </w:trPr>
        <w:tc>
          <w:tcPr>
            <w:tcW w:w="950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оператера</w:t>
            </w:r>
          </w:p>
        </w:tc>
        <w:tc>
          <w:tcPr>
            <w:tcW w:w="489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950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података о оператеру</w:t>
            </w:r>
          </w:p>
        </w:tc>
        <w:tc>
          <w:tcPr>
            <w:tcW w:w="489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је дошло до промене оператера односно података о постојећем оператеру попунити податке из тач. IV.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IV. Нови подаци о оператеру постројења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24"/>
        <w:gridCol w:w="1245"/>
        <w:gridCol w:w="1198"/>
      </w:tblGrid>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оператера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Матични број, ПИБ и датум регистрације у регистру привредних субјеката Агенције за привредне регистре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Одговорно лице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Aдреса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Oпштина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Место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Поштански број</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Teлефон</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E-маил</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интегрисане дозволе (ако је применљиво)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PRTR (ако је применљиво)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Лице одговорно за управљање постројењем</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Примарно овлашћено лице за давање информација везаних за дозволу и план мониторинга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Позиција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Презиме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Назив организације (ако се разликује од оператера)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Примарно овлашћено лице за давање информација везаних за дозволу и план мониторинга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Друго овлашћено лице за давање информација везаних за дозволу и план мониторинга ако примарно лице није доступно</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Позиција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Презиме</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Назив организације (ако се разликује од оператера)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82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Примарно овлашћено лице за давање информација везаних за дозволу и план мониторинга</w:t>
            </w:r>
          </w:p>
        </w:tc>
        <w:tc>
          <w:tcPr>
            <w:tcW w:w="157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109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врсте активности</w:t>
            </w:r>
          </w:p>
        </w:tc>
        <w:tc>
          <w:tcPr>
            <w:tcW w:w="330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109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капацитета постројења</w:t>
            </w:r>
          </w:p>
        </w:tc>
        <w:tc>
          <w:tcPr>
            <w:tcW w:w="330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109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Изградња нових постројења/јединица постројења на локацији</w:t>
            </w:r>
          </w:p>
        </w:tc>
        <w:tc>
          <w:tcPr>
            <w:tcW w:w="3307" w:type="dxa"/>
            <w:gridSpan w:val="2"/>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је дошло до промене оператера, односно података о постојећем оператеру попунити податке из тач. V. и VI.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 Нови подаци о активности које се обављају у постројењу, укључујући технологије које се користе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9"/>
        <w:gridCol w:w="1393"/>
        <w:gridCol w:w="1501"/>
        <w:gridCol w:w="1515"/>
        <w:gridCol w:w="2379"/>
        <w:gridCol w:w="1580"/>
      </w:tblGrid>
      <w:tr w:rsidR="000B7E24" w:rsidRPr="000B7E24" w:rsidTr="00CA5B64">
        <w:trPr>
          <w:trHeight w:val="45"/>
          <w:tblCellSpacing w:w="0" w:type="auto"/>
        </w:trPr>
        <w:tc>
          <w:tcPr>
            <w:tcW w:w="42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 (A1, A2…)</w:t>
            </w:r>
          </w:p>
        </w:tc>
        <w:tc>
          <w:tcPr>
            <w:tcW w:w="14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Активност из Прилога 1 Уредбе</w:t>
            </w:r>
          </w:p>
        </w:tc>
        <w:tc>
          <w:tcPr>
            <w:tcW w:w="6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Укупни капацитет активности</w:t>
            </w:r>
          </w:p>
        </w:tc>
        <w:tc>
          <w:tcPr>
            <w:tcW w:w="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Јединице капацитета</w:t>
            </w:r>
          </w:p>
        </w:tc>
        <w:tc>
          <w:tcPr>
            <w:tcW w:w="554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Номинална топлотна снага на улазу у MW(th) (ако је капацитет изражен у тонама)</w:t>
            </w:r>
          </w:p>
        </w:tc>
        <w:tc>
          <w:tcPr>
            <w:tcW w:w="209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Емитовани GHG</w:t>
            </w:r>
          </w:p>
        </w:tc>
      </w:tr>
      <w:tr w:rsidR="000B7E24" w:rsidRPr="000B7E24" w:rsidTr="00CA5B64">
        <w:trPr>
          <w:trHeight w:val="45"/>
          <w:tblCellSpacing w:w="0" w:type="auto"/>
        </w:trPr>
        <w:tc>
          <w:tcPr>
            <w:tcW w:w="42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A1</w:t>
            </w:r>
          </w:p>
        </w:tc>
        <w:tc>
          <w:tcPr>
            <w:tcW w:w="144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43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554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w:t>
            </w:r>
          </w:p>
        </w:tc>
        <w:tc>
          <w:tcPr>
            <w:tcW w:w="209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 Опис нових активности које се обављају у постројењу, укључујући технологије које се користе</w:t>
      </w:r>
      <w:r w:rsidRPr="000B7E24">
        <w:rPr>
          <w:rFonts w:ascii="Arial" w:eastAsiaTheme="minorHAnsi"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0B7E24" w:rsidRPr="000B7E24" w:rsidTr="00CA5B6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2 Активности у складу са Прилогом 1. Уредбе о врстама активности и гасовима са ефектом стаклене баште („Службени гласник РС”, Број 13/22).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57"/>
        <w:gridCol w:w="2310"/>
      </w:tblGrid>
      <w:tr w:rsidR="000B7E24" w:rsidRPr="000B7E24" w:rsidTr="00CA5B64">
        <w:trPr>
          <w:trHeight w:val="45"/>
          <w:tblCellSpacing w:w="0" w:type="auto"/>
        </w:trPr>
        <w:tc>
          <w:tcPr>
            <w:tcW w:w="114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горива које се користи у постројењу</w:t>
            </w:r>
          </w:p>
        </w:tc>
        <w:tc>
          <w:tcPr>
            <w:tcW w:w="29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r w:rsidR="000B7E24" w:rsidRPr="000B7E24" w:rsidTr="00CA5B64">
        <w:trPr>
          <w:trHeight w:val="45"/>
          <w:tblCellSpacing w:w="0" w:type="auto"/>
        </w:trPr>
        <w:tc>
          <w:tcPr>
            <w:tcW w:w="1141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Промена главних сировина које се корсите у постројењу</w:t>
            </w:r>
          </w:p>
        </w:tc>
        <w:tc>
          <w:tcPr>
            <w:tcW w:w="2985"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ДА/НЕ</w:t>
            </w: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је дошло до промене оператера односно података о постојећем оператеру попунити податке из тач. VII, VIII и IX. овог прилога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VII. Нови подаци о врсти и извору емисија GHG</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12"/>
        <w:gridCol w:w="1483"/>
        <w:gridCol w:w="4472"/>
      </w:tblGrid>
      <w:tr w:rsidR="000B7E24" w:rsidRPr="000B7E24" w:rsidTr="00CA5B64">
        <w:trPr>
          <w:trHeight w:val="45"/>
          <w:tblCellSpacing w:w="0" w:type="auto"/>
        </w:trPr>
        <w:tc>
          <w:tcPr>
            <w:tcW w:w="63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извор емисије S1, S2,…</w:t>
            </w:r>
          </w:p>
        </w:tc>
        <w:tc>
          <w:tcPr>
            <w:tcW w:w="171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Извор емисије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опис)</w:t>
            </w:r>
          </w:p>
        </w:tc>
        <w:tc>
          <w:tcPr>
            <w:tcW w:w="631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 (A1, A2,..)</w:t>
            </w:r>
          </w:p>
        </w:tc>
      </w:tr>
      <w:tr w:rsidR="000B7E24" w:rsidRPr="000B7E24" w:rsidTr="00CA5B64">
        <w:trPr>
          <w:trHeight w:val="45"/>
          <w:tblCellSpacing w:w="0" w:type="auto"/>
        </w:trPr>
        <w:tc>
          <w:tcPr>
            <w:tcW w:w="63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S1</w:t>
            </w:r>
          </w:p>
        </w:tc>
        <w:tc>
          <w:tcPr>
            <w:tcW w:w="171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31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63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S2</w:t>
            </w:r>
          </w:p>
        </w:tc>
        <w:tc>
          <w:tcPr>
            <w:tcW w:w="171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31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6374"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71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631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48"/>
        <w:gridCol w:w="1223"/>
        <w:gridCol w:w="1497"/>
        <w:gridCol w:w="1497"/>
        <w:gridCol w:w="2102"/>
      </w:tblGrid>
      <w:tr w:rsidR="000B7E24" w:rsidRPr="000B7E24" w:rsidTr="00CA5B64">
        <w:trPr>
          <w:trHeight w:val="45"/>
          <w:tblCellSpacing w:w="0" w:type="auto"/>
        </w:trPr>
        <w:tc>
          <w:tcPr>
            <w:tcW w:w="785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тачку емисије (EP1, EP2…)</w:t>
            </w:r>
          </w:p>
        </w:tc>
        <w:tc>
          <w:tcPr>
            <w:tcW w:w="13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Опис тачке емисије</w:t>
            </w:r>
          </w:p>
        </w:tc>
        <w:tc>
          <w:tcPr>
            <w:tcW w:w="91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w:t>
            </w:r>
          </w:p>
        </w:tc>
        <w:tc>
          <w:tcPr>
            <w:tcW w:w="1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извор емисије</w:t>
            </w:r>
          </w:p>
        </w:tc>
        <w:tc>
          <w:tcPr>
            <w:tcW w:w="303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Емитовани GHG</w:t>
            </w:r>
          </w:p>
        </w:tc>
      </w:tr>
      <w:tr w:rsidR="000B7E24" w:rsidRPr="000B7E24" w:rsidTr="00CA5B64">
        <w:trPr>
          <w:trHeight w:val="45"/>
          <w:tblCellSpacing w:w="0" w:type="auto"/>
        </w:trPr>
        <w:tc>
          <w:tcPr>
            <w:tcW w:w="785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EP1</w:t>
            </w:r>
          </w:p>
        </w:tc>
        <w:tc>
          <w:tcPr>
            <w:tcW w:w="13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91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303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785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EP2</w:t>
            </w:r>
          </w:p>
        </w:tc>
        <w:tc>
          <w:tcPr>
            <w:tcW w:w="13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91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303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785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386"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918"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21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3032"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VIII. Нови подаци o сировинама и другим материјалима (токови извора) чија употреба може да доведе до емисије GHG</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80"/>
        <w:gridCol w:w="1048"/>
        <w:gridCol w:w="1048"/>
        <w:gridCol w:w="1497"/>
        <w:gridCol w:w="1497"/>
        <w:gridCol w:w="1497"/>
      </w:tblGrid>
      <w:tr w:rsidR="000B7E24" w:rsidRPr="000B7E24" w:rsidTr="00CA5B64">
        <w:trPr>
          <w:trHeight w:val="45"/>
          <w:tblCellSpacing w:w="0" w:type="auto"/>
        </w:trPr>
        <w:tc>
          <w:tcPr>
            <w:tcW w:w="80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ток извора (F1, F2,…)</w:t>
            </w: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тока извора</w:t>
            </w: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Врста тока извора</w:t>
            </w: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активност</w:t>
            </w: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извор емисије</w:t>
            </w: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Упућивање на тачку емисије</w:t>
            </w:r>
          </w:p>
        </w:tc>
      </w:tr>
      <w:tr w:rsidR="000B7E24" w:rsidRPr="000B7E24" w:rsidTr="00CA5B64">
        <w:trPr>
          <w:trHeight w:val="45"/>
          <w:tblCellSpacing w:w="0" w:type="auto"/>
        </w:trPr>
        <w:tc>
          <w:tcPr>
            <w:tcW w:w="80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F1</w:t>
            </w: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80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F2</w:t>
            </w: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807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w:t>
            </w: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121"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c>
          <w:tcPr>
            <w:tcW w:w="148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 Напомена: по потреби додати редове</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IX. Нетехнички резиме података који се односи на податке из тач. VII–VIII. овог прилога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0B7E24" w:rsidRPr="000B7E24" w:rsidTr="00CA5B64">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Ако је Надлежни орган проценио да је уз захтев за измену дозволе потребно доставити и измењени план мониторинга оператер постројења испуњава податке из тач. X. овог прилога и измењен план мониторинга доставља на ПРИЛОГУ 10 овог правилника.</w:t>
      </w:r>
    </w:p>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X. Нови план мониторинга (ПРИЛОГ 10)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68"/>
        <w:gridCol w:w="1599"/>
      </w:tblGrid>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Број верзије</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Референтни датум</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Статус на дан референтног датума</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Датум примене</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r w:rsidR="000B7E24" w:rsidRPr="000B7E24" w:rsidTr="00CA5B64">
        <w:trPr>
          <w:trHeight w:val="45"/>
          <w:tblCellSpacing w:w="0" w:type="auto"/>
        </w:trPr>
        <w:tc>
          <w:tcPr>
            <w:tcW w:w="12167"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150" w:line="276" w:lineRule="auto"/>
              <w:contextualSpacing w:val="0"/>
              <w:rPr>
                <w:rFonts w:ascii="Arial" w:eastAsiaTheme="minorHAnsi" w:hAnsi="Arial" w:cs="Arial"/>
                <w:noProof w:val="0"/>
                <w:sz w:val="22"/>
                <w:szCs w:val="22"/>
                <w:lang w:val="en-US"/>
              </w:rPr>
            </w:pPr>
            <w:r w:rsidRPr="000B7E24">
              <w:rPr>
                <w:rFonts w:ascii="Arial" w:eastAsiaTheme="minorHAnsi" w:hAnsi="Arial" w:cs="Arial"/>
                <w:noProof w:val="0"/>
                <w:color w:val="000000"/>
                <w:sz w:val="22"/>
                <w:szCs w:val="22"/>
                <w:lang w:val="en-US"/>
              </w:rPr>
              <w:t>Назив датотеке плана мониторинга у прилогу</w:t>
            </w:r>
          </w:p>
        </w:tc>
        <w:tc>
          <w:tcPr>
            <w:tcW w:w="2233" w:type="dxa"/>
            <w:tcBorders>
              <w:top w:val="single" w:sz="8" w:space="0" w:color="000000"/>
              <w:left w:val="single" w:sz="8" w:space="0" w:color="000000"/>
              <w:bottom w:val="single" w:sz="8" w:space="0" w:color="000000"/>
              <w:right w:val="single" w:sz="8" w:space="0" w:color="000000"/>
            </w:tcBorders>
            <w:vAlign w:val="center"/>
          </w:tcPr>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tc>
      </w:tr>
    </w:tbl>
    <w:p w:rsidR="000B7E24" w:rsidRPr="000B7E24" w:rsidRDefault="000B7E24" w:rsidP="000B7E24">
      <w:pPr>
        <w:spacing w:after="200" w:line="276" w:lineRule="auto"/>
        <w:contextualSpacing w:val="0"/>
        <w:rPr>
          <w:rFonts w:ascii="Arial" w:eastAsiaTheme="minorHAnsi" w:hAnsi="Arial" w:cs="Arial"/>
          <w:noProof w:val="0"/>
          <w:sz w:val="22"/>
          <w:szCs w:val="22"/>
          <w:lang w:val="en-US"/>
        </w:rPr>
      </w:pPr>
    </w:p>
    <w:p w:rsidR="000B7E24" w:rsidRPr="000B7E24" w:rsidRDefault="000B7E24" w:rsidP="00987475">
      <w:pPr>
        <w:spacing w:after="120" w:line="276" w:lineRule="auto"/>
        <w:contextualSpacing w:val="0"/>
        <w:jc w:val="center"/>
        <w:rPr>
          <w:rFonts w:ascii="Arial" w:eastAsiaTheme="minorHAnsi" w:hAnsi="Arial" w:cs="Arial"/>
          <w:b/>
          <w:noProof w:val="0"/>
          <w:color w:val="000000"/>
          <w:sz w:val="22"/>
          <w:szCs w:val="22"/>
          <w:lang w:val="en-US"/>
        </w:rPr>
      </w:pPr>
    </w:p>
    <w:sectPr w:rsidR="000B7E24" w:rsidRPr="000B7E24" w:rsidSect="00FD359D">
      <w:footerReference w:type="default" r:id="rId67"/>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BD6" w:rsidRDefault="00F05BD6" w:rsidP="00517A41">
      <w:r>
        <w:separator/>
      </w:r>
    </w:p>
  </w:endnote>
  <w:endnote w:type="continuationSeparator" w:id="0">
    <w:p w:rsidR="00F05BD6" w:rsidRDefault="00F05BD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F05BD6">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BD6" w:rsidRDefault="00F05BD6" w:rsidP="00517A41">
      <w:r>
        <w:separator/>
      </w:r>
    </w:p>
  </w:footnote>
  <w:footnote w:type="continuationSeparator" w:id="0">
    <w:p w:rsidR="00F05BD6" w:rsidRDefault="00F05BD6"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isplayBackgroundShape/>
  <w:hideSpellingErrors/>
  <w:attachedTemplate r:id="rId1"/>
  <w:defaultTabStop w:val="720"/>
  <w:hyphenationZone w:val="425"/>
  <w:characterSpacingControl w:val="doNotCompress"/>
  <w:savePreviewPicture/>
  <w:hdrShapeDefaults>
    <o:shapedefaults v:ext="edit" spidmax="2049"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540A1"/>
    <w:rsid w:val="000831BD"/>
    <w:rsid w:val="000B7E24"/>
    <w:rsid w:val="000C5867"/>
    <w:rsid w:val="00192081"/>
    <w:rsid w:val="001C11FA"/>
    <w:rsid w:val="00251BA3"/>
    <w:rsid w:val="002A17CE"/>
    <w:rsid w:val="00352BAB"/>
    <w:rsid w:val="003678AF"/>
    <w:rsid w:val="00380192"/>
    <w:rsid w:val="003858A6"/>
    <w:rsid w:val="003960C1"/>
    <w:rsid w:val="003C4BB6"/>
    <w:rsid w:val="003D018B"/>
    <w:rsid w:val="0042287B"/>
    <w:rsid w:val="0044547E"/>
    <w:rsid w:val="004777E6"/>
    <w:rsid w:val="004F4265"/>
    <w:rsid w:val="005029F7"/>
    <w:rsid w:val="00517A41"/>
    <w:rsid w:val="00596ED1"/>
    <w:rsid w:val="005D6DF1"/>
    <w:rsid w:val="005F6DF4"/>
    <w:rsid w:val="00606197"/>
    <w:rsid w:val="00643E74"/>
    <w:rsid w:val="00665421"/>
    <w:rsid w:val="006C26FD"/>
    <w:rsid w:val="006E10C5"/>
    <w:rsid w:val="00717B5A"/>
    <w:rsid w:val="007A55AE"/>
    <w:rsid w:val="007E2EB9"/>
    <w:rsid w:val="00801FF1"/>
    <w:rsid w:val="0081111A"/>
    <w:rsid w:val="00824D13"/>
    <w:rsid w:val="00836C83"/>
    <w:rsid w:val="00905917"/>
    <w:rsid w:val="009238C2"/>
    <w:rsid w:val="00932A9A"/>
    <w:rsid w:val="00944E3C"/>
    <w:rsid w:val="00951703"/>
    <w:rsid w:val="00987475"/>
    <w:rsid w:val="009A1B18"/>
    <w:rsid w:val="009B37BC"/>
    <w:rsid w:val="009B7D5A"/>
    <w:rsid w:val="009D4583"/>
    <w:rsid w:val="00A31AF5"/>
    <w:rsid w:val="00A43155"/>
    <w:rsid w:val="00A62947"/>
    <w:rsid w:val="00B34F09"/>
    <w:rsid w:val="00C40AD5"/>
    <w:rsid w:val="00C56CC9"/>
    <w:rsid w:val="00D70371"/>
    <w:rsid w:val="00DA3096"/>
    <w:rsid w:val="00DB1263"/>
    <w:rsid w:val="00DD75D6"/>
    <w:rsid w:val="00E110B2"/>
    <w:rsid w:val="00E25874"/>
    <w:rsid w:val="00E72AD7"/>
    <w:rsid w:val="00F058FC"/>
    <w:rsid w:val="00F05BD6"/>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14:docId w14:val="057054DD"/>
  <w15:docId w15:val="{AB8EEBF7-8266-4CC4-8095-B8EA8B7CA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 w:type="numbering" w:customStyle="1" w:styleId="NoList6">
    <w:name w:val="No List6"/>
    <w:next w:val="NoList"/>
    <w:uiPriority w:val="99"/>
    <w:semiHidden/>
    <w:unhideWhenUsed/>
    <w:rsid w:val="000B7E24"/>
  </w:style>
  <w:style w:type="table" w:customStyle="1" w:styleId="TableGrid6">
    <w:name w:val="Table Grid6"/>
    <w:basedOn w:val="TableNormal"/>
    <w:next w:val="TableGrid0"/>
    <w:uiPriority w:val="59"/>
    <w:rsid w:val="000B7E2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98805">
      <w:bodyDiv w:val="1"/>
      <w:marLeft w:val="0"/>
      <w:marRight w:val="0"/>
      <w:marTop w:val="0"/>
      <w:marBottom w:val="0"/>
      <w:divBdr>
        <w:top w:val="none" w:sz="0" w:space="0" w:color="auto"/>
        <w:left w:val="none" w:sz="0" w:space="0" w:color="auto"/>
        <w:bottom w:val="none" w:sz="0" w:space="0" w:color="auto"/>
        <w:right w:val="none" w:sz="0" w:space="0" w:color="auto"/>
      </w:divBdr>
      <w:divsChild>
        <w:div w:id="1380938048">
          <w:marLeft w:val="0"/>
          <w:marRight w:val="0"/>
          <w:marTop w:val="0"/>
          <w:marBottom w:val="0"/>
          <w:divBdr>
            <w:top w:val="none" w:sz="0" w:space="0" w:color="auto"/>
            <w:left w:val="none" w:sz="0" w:space="0" w:color="auto"/>
            <w:bottom w:val="none" w:sz="0" w:space="0" w:color="auto"/>
            <w:right w:val="none" w:sz="0" w:space="0" w:color="auto"/>
          </w:divBdr>
          <w:divsChild>
            <w:div w:id="1705668434">
              <w:marLeft w:val="0"/>
              <w:marRight w:val="0"/>
              <w:marTop w:val="0"/>
              <w:marBottom w:val="0"/>
              <w:divBdr>
                <w:top w:val="none" w:sz="0" w:space="0" w:color="auto"/>
                <w:left w:val="none" w:sz="0" w:space="0" w:color="auto"/>
                <w:bottom w:val="none" w:sz="0" w:space="0" w:color="auto"/>
                <w:right w:val="none" w:sz="0" w:space="0" w:color="auto"/>
              </w:divBdr>
            </w:div>
          </w:divsChild>
        </w:div>
        <w:div w:id="473525421">
          <w:marLeft w:val="0"/>
          <w:marRight w:val="0"/>
          <w:marTop w:val="0"/>
          <w:marBottom w:val="0"/>
          <w:divBdr>
            <w:top w:val="none" w:sz="0" w:space="0" w:color="auto"/>
            <w:left w:val="none" w:sz="0" w:space="0" w:color="auto"/>
            <w:bottom w:val="none" w:sz="0" w:space="0" w:color="auto"/>
            <w:right w:val="none" w:sz="0" w:space="0" w:color="auto"/>
          </w:divBdr>
          <w:divsChild>
            <w:div w:id="436486820">
              <w:marLeft w:val="0"/>
              <w:marRight w:val="0"/>
              <w:marTop w:val="0"/>
              <w:marBottom w:val="0"/>
              <w:divBdr>
                <w:top w:val="none" w:sz="0" w:space="0" w:color="auto"/>
                <w:left w:val="none" w:sz="0" w:space="0" w:color="auto"/>
                <w:bottom w:val="none" w:sz="0" w:space="0" w:color="auto"/>
                <w:right w:val="none" w:sz="0" w:space="0" w:color="auto"/>
              </w:divBdr>
            </w:div>
          </w:divsChild>
        </w:div>
        <w:div w:id="411241607">
          <w:marLeft w:val="0"/>
          <w:marRight w:val="0"/>
          <w:marTop w:val="0"/>
          <w:marBottom w:val="0"/>
          <w:divBdr>
            <w:top w:val="none" w:sz="0" w:space="0" w:color="auto"/>
            <w:left w:val="none" w:sz="0" w:space="0" w:color="auto"/>
            <w:bottom w:val="none" w:sz="0" w:space="0" w:color="auto"/>
            <w:right w:val="none" w:sz="0" w:space="0" w:color="auto"/>
          </w:divBdr>
          <w:divsChild>
            <w:div w:id="1243952019">
              <w:marLeft w:val="0"/>
              <w:marRight w:val="0"/>
              <w:marTop w:val="0"/>
              <w:marBottom w:val="0"/>
              <w:divBdr>
                <w:top w:val="none" w:sz="0" w:space="0" w:color="auto"/>
                <w:left w:val="none" w:sz="0" w:space="0" w:color="auto"/>
                <w:bottom w:val="none" w:sz="0" w:space="0" w:color="auto"/>
                <w:right w:val="none" w:sz="0" w:space="0" w:color="auto"/>
              </w:divBdr>
            </w:div>
          </w:divsChild>
        </w:div>
        <w:div w:id="401680600">
          <w:marLeft w:val="0"/>
          <w:marRight w:val="0"/>
          <w:marTop w:val="0"/>
          <w:marBottom w:val="0"/>
          <w:divBdr>
            <w:top w:val="none" w:sz="0" w:space="0" w:color="auto"/>
            <w:left w:val="none" w:sz="0" w:space="0" w:color="auto"/>
            <w:bottom w:val="none" w:sz="0" w:space="0" w:color="auto"/>
            <w:right w:val="none" w:sz="0" w:space="0" w:color="auto"/>
          </w:divBdr>
          <w:divsChild>
            <w:div w:id="8757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6252">
      <w:bodyDiv w:val="1"/>
      <w:marLeft w:val="0"/>
      <w:marRight w:val="0"/>
      <w:marTop w:val="0"/>
      <w:marBottom w:val="0"/>
      <w:divBdr>
        <w:top w:val="none" w:sz="0" w:space="0" w:color="auto"/>
        <w:left w:val="none" w:sz="0" w:space="0" w:color="auto"/>
        <w:bottom w:val="none" w:sz="0" w:space="0" w:color="auto"/>
        <w:right w:val="none" w:sz="0" w:space="0" w:color="auto"/>
      </w:divBdr>
    </w:div>
    <w:div w:id="339895713">
      <w:bodyDiv w:val="1"/>
      <w:marLeft w:val="0"/>
      <w:marRight w:val="0"/>
      <w:marTop w:val="0"/>
      <w:marBottom w:val="0"/>
      <w:divBdr>
        <w:top w:val="none" w:sz="0" w:space="0" w:color="auto"/>
        <w:left w:val="none" w:sz="0" w:space="0" w:color="auto"/>
        <w:bottom w:val="none" w:sz="0" w:space="0" w:color="auto"/>
        <w:right w:val="none" w:sz="0" w:space="0" w:color="auto"/>
      </w:divBdr>
    </w:div>
    <w:div w:id="395392990">
      <w:bodyDiv w:val="1"/>
      <w:marLeft w:val="0"/>
      <w:marRight w:val="0"/>
      <w:marTop w:val="0"/>
      <w:marBottom w:val="0"/>
      <w:divBdr>
        <w:top w:val="none" w:sz="0" w:space="0" w:color="auto"/>
        <w:left w:val="none" w:sz="0" w:space="0" w:color="auto"/>
        <w:bottom w:val="none" w:sz="0" w:space="0" w:color="auto"/>
        <w:right w:val="none" w:sz="0" w:space="0" w:color="auto"/>
      </w:divBdr>
    </w:div>
    <w:div w:id="622806944">
      <w:bodyDiv w:val="1"/>
      <w:marLeft w:val="0"/>
      <w:marRight w:val="0"/>
      <w:marTop w:val="0"/>
      <w:marBottom w:val="0"/>
      <w:divBdr>
        <w:top w:val="none" w:sz="0" w:space="0" w:color="auto"/>
        <w:left w:val="none" w:sz="0" w:space="0" w:color="auto"/>
        <w:bottom w:val="none" w:sz="0" w:space="0" w:color="auto"/>
        <w:right w:val="none" w:sz="0" w:space="0" w:color="auto"/>
      </w:divBdr>
    </w:div>
    <w:div w:id="688334798">
      <w:bodyDiv w:val="1"/>
      <w:marLeft w:val="0"/>
      <w:marRight w:val="0"/>
      <w:marTop w:val="0"/>
      <w:marBottom w:val="0"/>
      <w:divBdr>
        <w:top w:val="none" w:sz="0" w:space="0" w:color="auto"/>
        <w:left w:val="none" w:sz="0" w:space="0" w:color="auto"/>
        <w:bottom w:val="none" w:sz="0" w:space="0" w:color="auto"/>
        <w:right w:val="none" w:sz="0" w:space="0" w:color="auto"/>
      </w:divBdr>
    </w:div>
    <w:div w:id="816532183">
      <w:bodyDiv w:val="1"/>
      <w:marLeft w:val="0"/>
      <w:marRight w:val="0"/>
      <w:marTop w:val="0"/>
      <w:marBottom w:val="0"/>
      <w:divBdr>
        <w:top w:val="none" w:sz="0" w:space="0" w:color="auto"/>
        <w:left w:val="none" w:sz="0" w:space="0" w:color="auto"/>
        <w:bottom w:val="none" w:sz="0" w:space="0" w:color="auto"/>
        <w:right w:val="none" w:sz="0" w:space="0" w:color="auto"/>
      </w:divBdr>
    </w:div>
    <w:div w:id="840854120">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57822609">
      <w:bodyDiv w:val="1"/>
      <w:marLeft w:val="0"/>
      <w:marRight w:val="0"/>
      <w:marTop w:val="0"/>
      <w:marBottom w:val="0"/>
      <w:divBdr>
        <w:top w:val="none" w:sz="0" w:space="0" w:color="auto"/>
        <w:left w:val="none" w:sz="0" w:space="0" w:color="auto"/>
        <w:bottom w:val="none" w:sz="0" w:space="0" w:color="auto"/>
        <w:right w:val="none" w:sz="0" w:space="0" w:color="auto"/>
      </w:divBdr>
    </w:div>
    <w:div w:id="1366640084">
      <w:bodyDiv w:val="1"/>
      <w:marLeft w:val="0"/>
      <w:marRight w:val="0"/>
      <w:marTop w:val="0"/>
      <w:marBottom w:val="0"/>
      <w:divBdr>
        <w:top w:val="none" w:sz="0" w:space="0" w:color="auto"/>
        <w:left w:val="none" w:sz="0" w:space="0" w:color="auto"/>
        <w:bottom w:val="none" w:sz="0" w:space="0" w:color="auto"/>
        <w:right w:val="none" w:sz="0" w:space="0" w:color="auto"/>
      </w:divBdr>
    </w:div>
    <w:div w:id="1446534035">
      <w:bodyDiv w:val="1"/>
      <w:marLeft w:val="0"/>
      <w:marRight w:val="0"/>
      <w:marTop w:val="0"/>
      <w:marBottom w:val="0"/>
      <w:divBdr>
        <w:top w:val="none" w:sz="0" w:space="0" w:color="auto"/>
        <w:left w:val="none" w:sz="0" w:space="0" w:color="auto"/>
        <w:bottom w:val="none" w:sz="0" w:space="0" w:color="auto"/>
        <w:right w:val="none" w:sz="0" w:space="0" w:color="auto"/>
      </w:divBdr>
    </w:div>
    <w:div w:id="1621567867">
      <w:bodyDiv w:val="1"/>
      <w:marLeft w:val="0"/>
      <w:marRight w:val="0"/>
      <w:marTop w:val="0"/>
      <w:marBottom w:val="0"/>
      <w:divBdr>
        <w:top w:val="none" w:sz="0" w:space="0" w:color="auto"/>
        <w:left w:val="none" w:sz="0" w:space="0" w:color="auto"/>
        <w:bottom w:val="none" w:sz="0" w:space="0" w:color="auto"/>
        <w:right w:val="none" w:sz="0" w:space="0" w:color="auto"/>
      </w:divBdr>
    </w:div>
    <w:div w:id="1754470409">
      <w:bodyDiv w:val="1"/>
      <w:marLeft w:val="0"/>
      <w:marRight w:val="0"/>
      <w:marTop w:val="0"/>
      <w:marBottom w:val="0"/>
      <w:divBdr>
        <w:top w:val="none" w:sz="0" w:space="0" w:color="auto"/>
        <w:left w:val="none" w:sz="0" w:space="0" w:color="auto"/>
        <w:bottom w:val="none" w:sz="0" w:space="0" w:color="auto"/>
        <w:right w:val="none" w:sz="0" w:space="0" w:color="auto"/>
      </w:divBdr>
    </w:div>
    <w:div w:id="1875002560">
      <w:bodyDiv w:val="1"/>
      <w:marLeft w:val="0"/>
      <w:marRight w:val="0"/>
      <w:marTop w:val="0"/>
      <w:marBottom w:val="0"/>
      <w:divBdr>
        <w:top w:val="none" w:sz="0" w:space="0" w:color="auto"/>
        <w:left w:val="none" w:sz="0" w:space="0" w:color="auto"/>
        <w:bottom w:val="none" w:sz="0" w:space="0" w:color="auto"/>
        <w:right w:val="none" w:sz="0" w:space="0" w:color="auto"/>
      </w:divBdr>
      <w:divsChild>
        <w:div w:id="1728066079">
          <w:marLeft w:val="0"/>
          <w:marRight w:val="0"/>
          <w:marTop w:val="0"/>
          <w:marBottom w:val="0"/>
          <w:divBdr>
            <w:top w:val="none" w:sz="0" w:space="0" w:color="auto"/>
            <w:left w:val="none" w:sz="0" w:space="0" w:color="auto"/>
            <w:bottom w:val="none" w:sz="0" w:space="0" w:color="auto"/>
            <w:right w:val="none" w:sz="0" w:space="0" w:color="auto"/>
          </w:divBdr>
          <w:divsChild>
            <w:div w:id="11588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606">
      <w:bodyDiv w:val="1"/>
      <w:marLeft w:val="0"/>
      <w:marRight w:val="0"/>
      <w:marTop w:val="0"/>
      <w:marBottom w:val="0"/>
      <w:divBdr>
        <w:top w:val="none" w:sz="0" w:space="0" w:color="auto"/>
        <w:left w:val="none" w:sz="0" w:space="0" w:color="auto"/>
        <w:bottom w:val="none" w:sz="0" w:space="0" w:color="auto"/>
        <w:right w:val="none" w:sz="0" w:space="0" w:color="auto"/>
      </w:divBdr>
    </w:div>
    <w:div w:id="2109082548">
      <w:bodyDiv w:val="1"/>
      <w:marLeft w:val="0"/>
      <w:marRight w:val="0"/>
      <w:marTop w:val="0"/>
      <w:marBottom w:val="0"/>
      <w:divBdr>
        <w:top w:val="none" w:sz="0" w:space="0" w:color="auto"/>
        <w:left w:val="none" w:sz="0" w:space="0" w:color="auto"/>
        <w:bottom w:val="none" w:sz="0" w:space="0" w:color="auto"/>
        <w:right w:val="none" w:sz="0" w:space="0" w:color="auto"/>
      </w:divBdr>
    </w:div>
    <w:div w:id="2130127574">
      <w:bodyDiv w:val="1"/>
      <w:marLeft w:val="0"/>
      <w:marRight w:val="0"/>
      <w:marTop w:val="0"/>
      <w:marBottom w:val="0"/>
      <w:divBdr>
        <w:top w:val="none" w:sz="0" w:space="0" w:color="auto"/>
        <w:left w:val="none" w:sz="0" w:space="0" w:color="auto"/>
        <w:bottom w:val="none" w:sz="0" w:space="0" w:color="auto"/>
        <w:right w:val="none" w:sz="0" w:space="0" w:color="auto"/>
      </w:divBdr>
      <w:divsChild>
        <w:div w:id="1136410382">
          <w:marLeft w:val="0"/>
          <w:marRight w:val="0"/>
          <w:marTop w:val="0"/>
          <w:marBottom w:val="0"/>
          <w:divBdr>
            <w:top w:val="none" w:sz="0" w:space="0" w:color="auto"/>
            <w:left w:val="none" w:sz="0" w:space="0" w:color="auto"/>
            <w:bottom w:val="none" w:sz="0" w:space="0" w:color="auto"/>
            <w:right w:val="none" w:sz="0" w:space="0" w:color="auto"/>
          </w:divBdr>
          <w:divsChild>
            <w:div w:id="254873189">
              <w:marLeft w:val="0"/>
              <w:marRight w:val="0"/>
              <w:marTop w:val="0"/>
              <w:marBottom w:val="0"/>
              <w:divBdr>
                <w:top w:val="none" w:sz="0" w:space="0" w:color="auto"/>
                <w:left w:val="none" w:sz="0" w:space="0" w:color="auto"/>
                <w:bottom w:val="none" w:sz="0" w:space="0" w:color="auto"/>
                <w:right w:val="none" w:sz="0" w:space="0" w:color="auto"/>
              </w:divBdr>
            </w:div>
          </w:divsChild>
        </w:div>
        <w:div w:id="369496546">
          <w:marLeft w:val="0"/>
          <w:marRight w:val="0"/>
          <w:marTop w:val="0"/>
          <w:marBottom w:val="0"/>
          <w:divBdr>
            <w:top w:val="none" w:sz="0" w:space="0" w:color="auto"/>
            <w:left w:val="none" w:sz="0" w:space="0" w:color="auto"/>
            <w:bottom w:val="none" w:sz="0" w:space="0" w:color="auto"/>
            <w:right w:val="none" w:sz="0" w:space="0" w:color="auto"/>
          </w:divBdr>
          <w:divsChild>
            <w:div w:id="401172518">
              <w:marLeft w:val="0"/>
              <w:marRight w:val="0"/>
              <w:marTop w:val="0"/>
              <w:marBottom w:val="0"/>
              <w:divBdr>
                <w:top w:val="none" w:sz="0" w:space="0" w:color="auto"/>
                <w:left w:val="none" w:sz="0" w:space="0" w:color="auto"/>
                <w:bottom w:val="none" w:sz="0" w:space="0" w:color="auto"/>
                <w:right w:val="none" w:sz="0" w:space="0" w:color="auto"/>
              </w:divBdr>
            </w:div>
          </w:divsChild>
        </w:div>
        <w:div w:id="1158227516">
          <w:marLeft w:val="0"/>
          <w:marRight w:val="0"/>
          <w:marTop w:val="0"/>
          <w:marBottom w:val="0"/>
          <w:divBdr>
            <w:top w:val="none" w:sz="0" w:space="0" w:color="auto"/>
            <w:left w:val="none" w:sz="0" w:space="0" w:color="auto"/>
            <w:bottom w:val="none" w:sz="0" w:space="0" w:color="auto"/>
            <w:right w:val="none" w:sz="0" w:space="0" w:color="auto"/>
          </w:divBdr>
          <w:divsChild>
            <w:div w:id="608587960">
              <w:marLeft w:val="0"/>
              <w:marRight w:val="0"/>
              <w:marTop w:val="0"/>
              <w:marBottom w:val="0"/>
              <w:divBdr>
                <w:top w:val="none" w:sz="0" w:space="0" w:color="auto"/>
                <w:left w:val="none" w:sz="0" w:space="0" w:color="auto"/>
                <w:bottom w:val="none" w:sz="0" w:space="0" w:color="auto"/>
                <w:right w:val="none" w:sz="0" w:space="0" w:color="auto"/>
              </w:divBdr>
            </w:div>
          </w:divsChild>
        </w:div>
        <w:div w:id="776602459">
          <w:marLeft w:val="0"/>
          <w:marRight w:val="0"/>
          <w:marTop w:val="0"/>
          <w:marBottom w:val="0"/>
          <w:divBdr>
            <w:top w:val="none" w:sz="0" w:space="0" w:color="auto"/>
            <w:left w:val="none" w:sz="0" w:space="0" w:color="auto"/>
            <w:bottom w:val="none" w:sz="0" w:space="0" w:color="auto"/>
            <w:right w:val="none" w:sz="0" w:space="0" w:color="auto"/>
          </w:divBdr>
          <w:divsChild>
            <w:div w:id="1572692800">
              <w:marLeft w:val="0"/>
              <w:marRight w:val="0"/>
              <w:marTop w:val="0"/>
              <w:marBottom w:val="0"/>
              <w:divBdr>
                <w:top w:val="none" w:sz="0" w:space="0" w:color="auto"/>
                <w:left w:val="none" w:sz="0" w:space="0" w:color="auto"/>
                <w:bottom w:val="none" w:sz="0" w:space="0" w:color="auto"/>
                <w:right w:val="none" w:sz="0" w:space="0" w:color="auto"/>
              </w:divBdr>
            </w:div>
          </w:divsChild>
        </w:div>
        <w:div w:id="545796113">
          <w:marLeft w:val="0"/>
          <w:marRight w:val="0"/>
          <w:marTop w:val="0"/>
          <w:marBottom w:val="0"/>
          <w:divBdr>
            <w:top w:val="none" w:sz="0" w:space="0" w:color="auto"/>
            <w:left w:val="none" w:sz="0" w:space="0" w:color="auto"/>
            <w:bottom w:val="none" w:sz="0" w:space="0" w:color="auto"/>
            <w:right w:val="none" w:sz="0" w:space="0" w:color="auto"/>
          </w:divBdr>
          <w:divsChild>
            <w:div w:id="1127429508">
              <w:marLeft w:val="0"/>
              <w:marRight w:val="0"/>
              <w:marTop w:val="0"/>
              <w:marBottom w:val="0"/>
              <w:divBdr>
                <w:top w:val="none" w:sz="0" w:space="0" w:color="auto"/>
                <w:left w:val="none" w:sz="0" w:space="0" w:color="auto"/>
                <w:bottom w:val="none" w:sz="0" w:space="0" w:color="auto"/>
                <w:right w:val="none" w:sz="0" w:space="0" w:color="auto"/>
              </w:divBdr>
            </w:div>
          </w:divsChild>
        </w:div>
        <w:div w:id="371268668">
          <w:marLeft w:val="0"/>
          <w:marRight w:val="0"/>
          <w:marTop w:val="0"/>
          <w:marBottom w:val="0"/>
          <w:divBdr>
            <w:top w:val="none" w:sz="0" w:space="0" w:color="auto"/>
            <w:left w:val="none" w:sz="0" w:space="0" w:color="auto"/>
            <w:bottom w:val="none" w:sz="0" w:space="0" w:color="auto"/>
            <w:right w:val="none" w:sz="0" w:space="0" w:color="auto"/>
          </w:divBdr>
          <w:divsChild>
            <w:div w:id="319160918">
              <w:marLeft w:val="0"/>
              <w:marRight w:val="0"/>
              <w:marTop w:val="0"/>
              <w:marBottom w:val="0"/>
              <w:divBdr>
                <w:top w:val="none" w:sz="0" w:space="0" w:color="auto"/>
                <w:left w:val="none" w:sz="0" w:space="0" w:color="auto"/>
                <w:bottom w:val="none" w:sz="0" w:space="0" w:color="auto"/>
                <w:right w:val="none" w:sz="0" w:space="0" w:color="auto"/>
              </w:divBdr>
            </w:div>
          </w:divsChild>
        </w:div>
        <w:div w:id="929311310">
          <w:marLeft w:val="0"/>
          <w:marRight w:val="0"/>
          <w:marTop w:val="0"/>
          <w:marBottom w:val="0"/>
          <w:divBdr>
            <w:top w:val="none" w:sz="0" w:space="0" w:color="auto"/>
            <w:left w:val="none" w:sz="0" w:space="0" w:color="auto"/>
            <w:bottom w:val="none" w:sz="0" w:space="0" w:color="auto"/>
            <w:right w:val="none" w:sz="0" w:space="0" w:color="auto"/>
          </w:divBdr>
          <w:divsChild>
            <w:div w:id="9261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13</TotalTime>
  <Pages>114</Pages>
  <Words>19074</Words>
  <Characters>108726</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7</cp:revision>
  <dcterms:created xsi:type="dcterms:W3CDTF">2023-12-29T10:36:00Z</dcterms:created>
  <dcterms:modified xsi:type="dcterms:W3CDTF">2024-01-15T14:17:00Z</dcterms:modified>
</cp:coreProperties>
</file>