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406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C9F0183" wp14:editId="6B09CADD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Pr="00AB4E98" w:rsidRDefault="00745847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>
              <w:rPr>
                <w:color w:val="FFE599"/>
                <w:lang w:val="sr-Cyrl-RS"/>
              </w:rPr>
              <w:t>УРЕДБ</w:t>
            </w:r>
            <w:r w:rsidR="007A7105" w:rsidRPr="00A06940">
              <w:rPr>
                <w:color w:val="FFE599"/>
                <w:lang w:val="sr-Cyrl-RS"/>
              </w:rPr>
              <w:t>А</w:t>
            </w:r>
          </w:p>
          <w:p w:rsidR="00745847" w:rsidRDefault="00745847" w:rsidP="00745847">
            <w:pPr>
              <w:pStyle w:val="NASLOVBELO"/>
              <w:jc w:val="left"/>
            </w:pPr>
          </w:p>
          <w:p w:rsidR="007A7105" w:rsidRDefault="00745847" w:rsidP="00745847">
            <w:pPr>
              <w:pStyle w:val="NASLOVBELO"/>
              <w:autoSpaceDE w:val="0"/>
              <w:autoSpaceDN w:val="0"/>
            </w:pPr>
            <w:r>
              <w:t xml:space="preserve">О МЕТОДОЛОГИЈИ ЗА УТВРЂИВАЊЕ ЦЕНЕ ПРИСТУПА ЈАВНОЈ ЖЕЛЕЗНИЧКОЈ </w:t>
            </w:r>
            <w:r w:rsidR="008204F8">
              <w:t>ИНФРАСТРУКТУРИ И ПРУЖАЊЕ УСЛУГА</w:t>
            </w:r>
          </w:p>
          <w:p w:rsidR="007A7105" w:rsidRDefault="007A7105" w:rsidP="009448F4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9448F4">
              <w:rPr>
                <w:sz w:val="18"/>
                <w:szCs w:val="18"/>
              </w:rPr>
              <w:t>.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bookmarkStart w:id="0" w:name="_GoBack"/>
            <w:bookmarkEnd w:id="0"/>
            <w:r w:rsidR="008D2CA8">
              <w:rPr>
                <w:sz w:val="18"/>
                <w:szCs w:val="18"/>
              </w:rPr>
              <w:t>11</w:t>
            </w:r>
            <w:r w:rsidR="000C7844">
              <w:rPr>
                <w:sz w:val="18"/>
                <w:szCs w:val="18"/>
              </w:rPr>
              <w:t>8</w:t>
            </w:r>
            <w:r w:rsidR="008D2CA8">
              <w:rPr>
                <w:sz w:val="18"/>
                <w:szCs w:val="18"/>
              </w:rPr>
              <w:t>/2025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745847" w:rsidRPr="00745847" w:rsidRDefault="000C7844" w:rsidP="00745847">
      <w:pPr>
        <w:pStyle w:val="clan"/>
        <w:spacing w:before="330" w:beforeAutospacing="0" w:after="0" w:afterAutospacing="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0C7844">
        <w:rPr>
          <w:rFonts w:ascii="Verdana" w:hAnsi="Verdana"/>
          <w:color w:val="000000"/>
          <w:sz w:val="18"/>
          <w:szCs w:val="18"/>
        </w:rPr>
        <w:br/>
      </w:r>
      <w:r w:rsidR="00745847" w:rsidRPr="00745847">
        <w:rPr>
          <w:rFonts w:ascii="Arial" w:hAnsi="Arial" w:cs="Arial"/>
          <w:color w:val="333333"/>
          <w:sz w:val="20"/>
          <w:szCs w:val="20"/>
        </w:rPr>
        <w:t>МЕТОДОЛОГИЈA</w:t>
      </w:r>
      <w:r w:rsidR="00745847" w:rsidRPr="00745847">
        <w:rPr>
          <w:rFonts w:ascii="Arial" w:hAnsi="Arial" w:cs="Arial"/>
          <w:color w:val="333333"/>
          <w:sz w:val="20"/>
          <w:szCs w:val="20"/>
        </w:rPr>
        <w:br/>
        <w:t>ЗА УТВРЂИВАЊЕ ЦЕНЕ ПРИСТУПА ЈАВНОЈ ЖЕЛЕЗНИЧКОЈ ИНФРАСТРУКТУРИ И ПРУЖАЊЕ УСЛУГА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1. ПРЕДМЕТ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Методологијом за утврђивање цене приступа јавној железничкој инфраструктури и пружање услуга (у даљем тексту: методологија), утврђује се цена приступа из члана 14.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и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цена услуга из члана 15.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Закона о железници („Службени гласник РС”, бр. 41/18 и 62/23).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За коришћење железничке инфраструктуре, управљач железничке инфраструктуре (у даљем тексту: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управљач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) пружа следеће услугe: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минимални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приступни пакет услуга;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основнe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услугe које се пружају услужним објектима, додатне и пратеће услуге.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Предмет методологије је методолошки приступ, вредновање елемената, начин прорачуна, списак директних трошкова, за одређивање цена приступа јавној железничкој инфраструктури која укључује минимални приступни пакет и цена пружања основних, додатних и пратећих услуга.</w:t>
      </w:r>
      <w:proofErr w:type="gramEnd"/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2. ДЕФИНИЦИЈЕ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Поједини изрази и скраћенице употребљени у овој методологији имају следеће значење: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1)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деоница</w:t>
      </w:r>
      <w:r w:rsidRPr="00745847">
        <w:rPr>
          <w:rFonts w:ascii="Arial" w:hAnsi="Arial" w:cs="Arial"/>
          <w:color w:val="333333"/>
          <w:sz w:val="20"/>
          <w:szCs w:val="20"/>
        </w:rPr>
        <w:t> је пруга или део пруге између два службена места са хомогеном структуром елемената у грађевинском и електротехничком смислу и у погледу технике регулисања саобраћаја, при чему се разликује од суседних секција по капацитету и његовој искоришћености, приходима и трошковима и као таква представља засебну целину којом се управља у комерцијалном, технолошком и техничком смислу;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2)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</w:t>
      </w:r>
      <w:proofErr w:type="gramStart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кључна</w:t>
      </w:r>
      <w:proofErr w:type="gramEnd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 xml:space="preserve"> тачка</w:t>
      </w:r>
      <w:r w:rsidRPr="00745847">
        <w:rPr>
          <w:rFonts w:ascii="Arial" w:hAnsi="Arial" w:cs="Arial"/>
          <w:color w:val="333333"/>
          <w:sz w:val="20"/>
          <w:szCs w:val="20"/>
        </w:rPr>
        <w:t> је место на траси воза на којима је могуће изабрати даљи пут воза који захтева промену у било ком погледу (категорију пруге, врсте вуче, државну границу);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3)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</w:t>
      </w:r>
      <w:proofErr w:type="gramStart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секције</w:t>
      </w:r>
      <w:proofErr w:type="gramEnd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 xml:space="preserve"> железничке пруге</w:t>
      </w:r>
      <w:r w:rsidRPr="00745847">
        <w:rPr>
          <w:rFonts w:ascii="Arial" w:hAnsi="Arial" w:cs="Arial"/>
          <w:color w:val="333333"/>
          <w:sz w:val="20"/>
          <w:szCs w:val="20"/>
        </w:rPr>
        <w:t> су деонице пруге између две суседна службена места на свакој прузи мреже која представља могућу кључну тачку за воз за који се рачуна цена приступа;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4)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</w:t>
      </w:r>
      <w:proofErr w:type="gramStart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brtkm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 су брутотонски километри који се одређују као производ пређеног пута од једног километра, једне тоне масе свих радних локомотива у возу и бруто маса свих вучених возила уврштених у воз, а примењује се и у теретном и у путничком саобраћају;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5)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</w:t>
      </w:r>
      <w:proofErr w:type="gramStart"/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vkm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 су возни километaр, пређени пут једног воза у дужини од једног километра;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6)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БДП</w:t>
      </w:r>
      <w:r w:rsidRPr="00745847">
        <w:rPr>
          <w:rFonts w:ascii="Arial" w:hAnsi="Arial" w:cs="Arial"/>
          <w:color w:val="333333"/>
          <w:sz w:val="20"/>
          <w:szCs w:val="20"/>
        </w:rPr>
        <w:t> је бруто домаћи производ;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7)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 РСД </w:t>
      </w:r>
      <w:r w:rsidRPr="00745847">
        <w:rPr>
          <w:rFonts w:ascii="Arial" w:hAnsi="Arial" w:cs="Arial"/>
          <w:color w:val="333333"/>
          <w:sz w:val="20"/>
          <w:szCs w:val="20"/>
        </w:rPr>
        <w:t>је динар.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3. МЕТОДОЛОШКИ ПРИСТУП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Методологија се заснива на принципу да се цена приступа заснива на стварним – директним трошковима који настају као резултат саобраћања воза, док су цене основних, додатних и пратећих услуга директна последица трошкова пружања појединачне услуге увећаних за разумну добит, у складу са чл.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23–27.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Закона о железници и уредбом којом се уређује начин и модалитети израчунавања трошкова који су настали као директан резултат саобраћања воза.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Модел за израчунавање цене приступа за минимални приступни пакет услуга састоји из следећа два елемента: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први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сегмент обухвата трошкове грађевинског одржавања (односно трошкове по основу хабања инфраструктуре) свих подсистема железничке инфраструктуре (укључујући горњи и доњи строј, који су последица саобраћања воза. Ови трошкови се приликом обрачуна јединичних директних трошкова своде на brtkm и израчавају у РСД/brtkm;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други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сегмент обухвата трошкове припреме, организације и управљања саобраћајем који су последица проласка воза (трошкови саобраћајне службе), као и трошкове одржавања насталих по основу </w:t>
      </w:r>
      <w:r w:rsidRPr="00745847">
        <w:rPr>
          <w:rFonts w:ascii="Arial" w:hAnsi="Arial" w:cs="Arial"/>
          <w:color w:val="333333"/>
          <w:sz w:val="20"/>
          <w:szCs w:val="20"/>
        </w:rPr>
        <w:lastRenderedPageBreak/>
        <w:t xml:space="preserve">употребе електро-енергетских, електричних, сигнално-сигурносних и телекомуникационих уређаја и постројења.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Ови трошкови се приликом обрачуна јединичних директних трошкова своде на vkm и изражавају у РСД/vkm.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Сегментација мреже пруга је извршена на следеће три групе пруга: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1) Група I – мрежа електрифицираних пруга;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2) Група II – мрежа магистралних и регионалних неелектрифицираних пруга;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3) Група III – мрежа локалних неелектрифицираних пруга.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Елементи на основу којих се утврђује цена су: група пруга (Група I, Група II или Група III), којима се воз креће и врста воза (за превоз путника или теретни). Јединице за обрачун накнаде су: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возни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километри;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2) бруто-тонски километри.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4. МОДЕЛ ВРЕДНОВАЊА ЕЛЕМЕНАТА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Модел одређивања цена за коришћење инфраструктуре се примарно заснива на моделу алокације трошкова.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 њему су инкорпорирани модел мреже и модел саобраћаја.</w:t>
      </w:r>
      <w:proofErr w:type="gramEnd"/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1) Модел мреже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Железничке пруге су категоризоване уредбом којом се уређује категоризација железничких пруга које припадају јавној железничкој инфраструктури према којој постоје следеће категорије пруга: 1) магистралне, 2) регионалне, 3) локалне и 4) манипулативне пруге.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Модел мреже железничке инфраструктуре врши поделу постојеће мреже такође на три групе, али на следећи начин: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1) Група I – мрежа електрифицираних пруга;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2) Група II – мрежа магистралних и регионалних неелектрифицираних пруга;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3) Група III – мрежа локалних неелектрифицираних пруга.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2) Модел саобраћаја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Модел саобраћаја подразумева тржишну сегментацију и састоји се од модела теретног и модела путничког саобраћаја.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Модели теретног и путничког саобраћаја су дефинисани да би се одредио број возних и брутотонских километара на свакој деоници магистралне, регионалне и локалне пруге.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Основни улазни подаци за модел саобраћаја чине статистички подаци који показују дневни број возова за превоз путника и теретних возова на свакој појединачној прузи.</w:t>
      </w:r>
      <w:proofErr w:type="gramEnd"/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3) Директни трошкови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Уредбом о начину и модалитетима израчунавања трошкова који су настали као директан резултат саобраћања воза („Службени гласник РС”, бр. 48/19, 149/20, 102/21, 134/22 и 107/23), уређен је начин израчунавања трошкова који су настали као директан резултат саобраћања воза.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Цене приступа и цене приступа колосецима који повезују са услужним објектима, у овој методологији су базиране на обрачуну трошкова насталих као директан резултат саобраћања воза.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Управљач инфраструктуре приликом дефинисања трошкова насталих као директан резултат саобраћања воза, укључује у обрачун својих директних трошкова нарочито следеће трошкове: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особља потребног да се одређени део пруге држи отвореним ако подносилац захтева за доделу капацитета железничке инфраструктуре тражи саобраћање возова ван времена када је ова пруга отворена;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скретничке инфраструктуре, укључујући и скретнице и укрштај у нивоу, који су изложени хабању током саобраћања возова;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3)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обнове и одржавања контактне мреже или оба та трошка, као и трошкове осталих стабилних постројења електричне вуче настале као директан резултат саобраћања воза;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lastRenderedPageBreak/>
        <w:t xml:space="preserve">4)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особља потребног за припрему доделе траса возова и реда вожње у мери у којој су ти трошкови настали као директан резултат саобраћања воза.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Методологија се базира на економетријском приступу који подразумева коришћење историјских података о трошковима за период од најмање две године.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Трошкови који се користе за обрачун јединичних трошкова утврђују се на основу рачуноводствених података из погонског обрачуна евидентираних у пословним књигама.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Из погонског контног плана – на најдетаљнијем нивоу гранулације (пети ниво) – идентификују су погонска конта на којима се књиже трошкови који одговарају директним трошковима.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Са идентификованих погонских конта узима се укупан износ трошкова до нивоа пословних расхода без амортизације за следеће делатности: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грађевинска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делатност;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електротехничка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делатност;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3)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саобраћајна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делатност.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Сваки појединачни погонски конто одговара једној од следеће четири групе директних трошкова: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грађевинско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одржавање;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електротехничко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одржавање;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3)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управљање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саобраћајем;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4)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комуникација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, телекомуникација и слаба струја.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Директни трошкови за обрачун цене минималног приступног пакета услуге приступа обухватају пословне расходе без амортизације и обухватају укупне трошкове евидентиране на погонском конту по погонском обрачуну.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Списак погонских конта који се користе за обрачун цена дат је у Прилогу, који је одштампан уз ову методологију и чини њен саставни део.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Коришћењем овако дефинисане структуре директних трошкова утврдиће се укупни директни трошкови по предложеној сегментацији мреже (групама пруга), као што је приказано у Табели 1.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Табела 1: Образац структуре укупних директних трошкова у РСД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4998"/>
        <w:gridCol w:w="1388"/>
        <w:gridCol w:w="1388"/>
        <w:gridCol w:w="1186"/>
      </w:tblGrid>
      <w:tr w:rsidR="00E73751" w:rsidRPr="00745847" w:rsidTr="00E73751"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пруга</w:t>
            </w: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Директни трошкови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(Т-2)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(Т-1)</w:t>
            </w: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(Т)</w:t>
            </w:r>
          </w:p>
        </w:tc>
      </w:tr>
      <w:tr w:rsidR="00E73751" w:rsidRPr="00745847" w:rsidTr="00E73751">
        <w:tc>
          <w:tcPr>
            <w:tcW w:w="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</w:t>
            </w: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II</w:t>
            </w: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III</w:t>
            </w: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4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 обрачун директних трошкова и јединичних директних не улазе подаци за манипулативне пруге (директни трошкови и обим саобраћаја).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lastRenderedPageBreak/>
        <w:t>С обзиром на карактеристике и обим саобраћаја на манипулативним пругама, са аспекта ценовне политике, оне се посматрају исто као и пруге треће групе, односно као локалне неелектрифициранe пругe.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Управљач инфраструктуре има право да коригује износе просечних јединичних директних трошкова за остварену и очекивану инфлацију за период од момента на који се односи израчунат просечни јединични директан трошак до момента примене јединичне цене.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 складу са тим, управљач има право да коригује јединичне трошкове на бази стопе остварене инфлације коју објављује Републички завод за статистику и стопе очекиване инфлације коју објављује Народна банка Србије.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Укупни директни трошкови се потом алоцирају на директне трошкове по основу путничког односно теретног саобраћаја, при чему се користе следећи кључеви за алокацију: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грађевинско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одржавање – реализовани brtkm за путнички и теретни саобраћај;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електротехничко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одржавање – реализовани brtkm са електро вучом за путнички и теретни саобраћај;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3)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управљање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саобраћајем – реализовани vkm за путнички и теретни саобраћај;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4)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комуникација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, телекомуникација и слаба струја – реализовани vkm за путнички и теретни саобраћај.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На овај начин укупни директни трошкови са приказаном структуром у Табели 1 биће подељени на директне трошкове по основу путничког саобраћаја, односно директне трошкове по основу теретног саобраћаја.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Након што су утврђени укупни директни трошкови за путнички односно теретни саобраћај, израчунавају се јединични директни трошкови за путнички односно теретни саобраћај у складу са структуром приказаној у Табели 2 на начин да се ставља у однос износ директних трошкова и обима реализованог саобраћаја за сваку посматрану годину.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Табела 2: Образац структуре јединичних директних трошкова за путнички и теретни саобраћај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3862"/>
        <w:gridCol w:w="1029"/>
        <w:gridCol w:w="1059"/>
        <w:gridCol w:w="1059"/>
        <w:gridCol w:w="902"/>
        <w:gridCol w:w="1363"/>
      </w:tblGrid>
      <w:tr w:rsidR="00E73751" w:rsidRPr="00745847" w:rsidTr="00E73751"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пруга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Јединични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Јед. мере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(Т-2)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(Т-1)</w:t>
            </w: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Година (Т)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Просек периода</w:t>
            </w:r>
          </w:p>
        </w:tc>
      </w:tr>
      <w:tr w:rsidR="00E73751" w:rsidRPr="00745847" w:rsidTr="00E73751">
        <w:tc>
          <w:tcPr>
            <w:tcW w:w="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7</w:t>
            </w:r>
          </w:p>
        </w:tc>
      </w:tr>
      <w:tr w:rsidR="00E73751" w:rsidRPr="00745847" w:rsidTr="00E73751">
        <w:tc>
          <w:tcPr>
            <w:tcW w:w="4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II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Група III</w:t>
            </w: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Грађевинско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Електротехничко одржавање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Управљање саобраћајем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Комуникација, телекомуникација, слаба струја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РСД/brtkm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E73751" w:rsidRPr="00745847" w:rsidTr="00E73751">
        <w:tc>
          <w:tcPr>
            <w:tcW w:w="4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Укупно директни трошкови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РСД/vkm</w:t>
            </w: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Износе из Табеле 2, колона 7 просечаних јединичних директних трошкова по возним километрима на две, а брутотонским километрима заокружене на четири децимале, управљач објављује у Изјави о мрежи, у форми приказаној у Табели 3.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Табела 3: Просечни јединични директни трошкови</w:t>
      </w: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 </w:t>
      </w:r>
      <w:r w:rsidRPr="00745847">
        <w:rPr>
          <w:rFonts w:ascii="Arial" w:hAnsi="Arial" w:cs="Arial"/>
          <w:color w:val="333333"/>
          <w:sz w:val="20"/>
          <w:szCs w:val="20"/>
        </w:rPr>
        <w:t>за путнички и теретни саобраћај</w:t>
      </w:r>
    </w:p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29FDEAC3" wp14:editId="0D240B8B">
            <wp:extent cx="8010000" cy="1080000"/>
            <wp:effectExtent l="0" t="0" r="0" b="6350"/>
            <wp:docPr id="11" name="Picture 11" descr="https://reg.pravno-informacioni-sistem.rs/api/Attachment/slike/439525/Uredba-metodologija-zeleznic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9525/Uredba-metodologija-zeleznica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5. НАЧИН ПРОРАЧУНА ПРЕМА ВРСТАМА УСЛУГА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1) Цена за минимални приступни пакет услуга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Цена приступа железничкој инфраструктури по основу минималног пакета израчунава се коришћењем просечних јединичних директних трошкова (u) који се множе са дужином трасе (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L</w:t>
      </w:r>
      <w:r w:rsidRPr="00745847">
        <w:rPr>
          <w:rFonts w:ascii="Arial" w:hAnsi="Arial" w:cs="Arial"/>
          <w:color w:val="333333"/>
          <w:sz w:val="20"/>
          <w:szCs w:val="20"/>
        </w:rPr>
        <w:t>) на појединачној групи по којој се креће воз, као и укупном масом воза (</w:t>
      </w:r>
      <w:r w:rsidRPr="00745847">
        <w:rPr>
          <w:rFonts w:ascii="Arial" w:hAnsi="Arial" w:cs="Arial"/>
          <w:i/>
          <w:iCs/>
          <w:color w:val="333333"/>
          <w:sz w:val="20"/>
          <w:szCs w:val="20"/>
        </w:rPr>
        <w:t>g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v</w:t>
      </w:r>
      <w:r w:rsidRPr="00745847">
        <w:rPr>
          <w:rFonts w:ascii="Arial" w:hAnsi="Arial" w:cs="Arial"/>
          <w:color w:val="333333"/>
          <w:sz w:val="20"/>
          <w:szCs w:val="20"/>
        </w:rPr>
        <w:t>), а затим се множе коефицијентима корекције (k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e</w:t>
      </w:r>
      <w:r w:rsidRPr="00745847">
        <w:rPr>
          <w:rFonts w:ascii="Arial" w:hAnsi="Arial" w:cs="Arial"/>
          <w:color w:val="333333"/>
          <w:sz w:val="20"/>
          <w:szCs w:val="20"/>
        </w:rPr>
        <w:t>, 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d1</w:t>
      </w:r>
      <w:r w:rsidRPr="00745847">
        <w:rPr>
          <w:rFonts w:ascii="Arial" w:hAnsi="Arial" w:cs="Arial"/>
          <w:color w:val="333333"/>
          <w:sz w:val="20"/>
          <w:szCs w:val="20"/>
        </w:rPr>
        <w:t>, 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d2</w:t>
      </w:r>
      <w:r w:rsidRPr="00745847">
        <w:rPr>
          <w:rFonts w:ascii="Arial" w:hAnsi="Arial" w:cs="Arial"/>
          <w:color w:val="333333"/>
          <w:sz w:val="20"/>
          <w:szCs w:val="20"/>
        </w:rPr>
        <w:t xml:space="preserve">), за сваку групу пруга посебно.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Коначно, финална цена приступа (CP) се добија као производ овако добијених јединичних цена са коефицијентима додатка/умањења, тзв.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Mark-ups (k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1</w:t>
      </w:r>
      <w:r w:rsidRPr="00745847"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2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>, 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3</w:t>
      </w:r>
      <w:r w:rsidRPr="00745847">
        <w:rPr>
          <w:rFonts w:ascii="Arial" w:hAnsi="Arial" w:cs="Arial"/>
          <w:color w:val="333333"/>
          <w:sz w:val="20"/>
          <w:szCs w:val="20"/>
        </w:rPr>
        <w:t>, k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4</w:t>
      </w:r>
      <w:r w:rsidRPr="00745847">
        <w:rPr>
          <w:rFonts w:ascii="Arial" w:hAnsi="Arial" w:cs="Arial"/>
          <w:color w:val="333333"/>
          <w:sz w:val="20"/>
          <w:szCs w:val="20"/>
        </w:rPr>
        <w:t>).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Цена приступа железничкој инфраструктури за минимални приступни пакет услуга се рачуна по следећем обрасцу:</w:t>
      </w:r>
    </w:p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3ADB8FAA" wp14:editId="14234121">
            <wp:extent cx="7286400" cy="1800000"/>
            <wp:effectExtent l="0" t="0" r="0" b="0"/>
            <wp:docPr id="10" name="Picture 10" descr="https://reg.pravno-informacioni-sistem.rs/api/Attachment/slike/439525/Uredba-metodologija-zeleznic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9525/Uredba-metodologija-zeleznica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где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су:</w:t>
      </w:r>
    </w:p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278656B2" wp14:editId="67B8BDFB">
            <wp:extent cx="6883200" cy="7200000"/>
            <wp:effectExtent l="0" t="0" r="0" b="0"/>
            <wp:docPr id="9" name="Picture 9" descr="https://reg.pravno-informacioni-sistem.rs/api/Attachment/slike/439525/Uredba-metodologija-zeleznica-tab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9525/Uredba-metodologija-zeleznica-tabel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t>2) Израчунавање коефицијената корекције и Mark-ups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Методологијом су дефинисана три коефицијента корекције – за сваку групу пруга и четири Mark-ups коефицијента.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Коефицијенти корекције дефинисани су као корективна мера за пружени квалитет услуге од стране управљача, док коефицијенти додатка/умањења, тзв.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Mark-ups (Mark-up/Mark-down), имају за циљ да (де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)стимулишу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одређено понашање превозника.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Коефицијенти корекције су обавезног карактера, истичу неопходност и значај одржавања железничке инфраструктуре и одређују се кроз однос реализованог нивоа одржавања и планираног нивоа одржавања за сваку групу пруга.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 xml:space="preserve">Са становишта вођења активне железничке политике и укупне саобраћајне политике државе преко прорачуна цене приступа, у основној структури модела за израчунавање цене приступа за минимални приступни пакет предвиђа се коефицијент којима ће се стимулисати/дестимулисати одређени сегменти </w:t>
      </w:r>
      <w:r w:rsidRPr="00745847">
        <w:rPr>
          <w:rFonts w:ascii="Arial" w:hAnsi="Arial" w:cs="Arial"/>
          <w:color w:val="333333"/>
          <w:sz w:val="20"/>
          <w:szCs w:val="20"/>
        </w:rPr>
        <w:lastRenderedPageBreak/>
        <w:t>тржишта, односно одређено понашање превозника.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Коефицијенти за (де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)стимулацију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превозника су опционог карактера, односно биће дефинисани за сваку годину посебно или уколико је потребно остварити неутрални ефекат, биће им додељена вредност „lˮ.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На основу формула које су претходно развијене и објашњене у Табели 4.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представљене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су вредности и обрачуни за све коефицијенте корекције и Mark-ups.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Табела 4: Вредности за коефицијенте корекције и Mark-ups</w:t>
      </w:r>
    </w:p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355D45CA" wp14:editId="564B16AC">
            <wp:extent cx="6750000" cy="9360000"/>
            <wp:effectExtent l="0" t="0" r="0" b="0"/>
            <wp:docPr id="8" name="Picture 8" descr="https://reg.pravno-informacioni-sistem.rs/api/Attachment/slike/439525/Uredba-metodologija-zeleznic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9525/Uredba-metodologija-zeleznica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745847">
        <w:rPr>
          <w:rFonts w:ascii="Arial" w:hAnsi="Arial" w:cs="Arial"/>
          <w:b/>
          <w:bCs/>
          <w:color w:val="333333"/>
          <w:sz w:val="20"/>
          <w:szCs w:val="20"/>
        </w:rPr>
        <w:lastRenderedPageBreak/>
        <w:t>2) Цена за основне, додатне и пратеће услуге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Цене основних, додатних и пратећих услуга су одређене на комерцијалној основи.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Цене ових услуга треба да одражавају директне трошкове који су директна последица пружања појединачне услуге увећане за разумну добит.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У складу са овим принципом, методологија за одређивање цена основних, додатних и пратећих услуга базира се на директним јединичним трошковима који су последица пружања одређене услуге и који су увећани за разумну добит.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У овом случају, директни јединични трошкови по основу пружања појединачне услуге треба да узму у обзир укупне трошкове који су последица пружања конкретне услуге, односно: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1)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материјала;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2)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енергије;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3)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одржавања;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4)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амортизације;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5)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трошкове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рада;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 xml:space="preserve">6)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друге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трошкове којe је могуће алоцирати на појединачну услугу која се пружа.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Поред управљача јавне железничке инфраструктуре, услуге у услужним објектима из члана 15.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став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2.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Закона о железници пружају и други оператори услужних објеката.</w:t>
      </w:r>
      <w:proofErr w:type="gramEnd"/>
      <w:r w:rsidRPr="00745847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 w:rsidRPr="00745847">
        <w:rPr>
          <w:rFonts w:ascii="Arial" w:hAnsi="Arial" w:cs="Arial"/>
          <w:color w:val="333333"/>
          <w:sz w:val="20"/>
          <w:szCs w:val="20"/>
        </w:rPr>
        <w:t>Ова методологија се примењује на те операторе услужних објеката, односно на основне услуге које се пружају у њима.</w:t>
      </w:r>
      <w:proofErr w:type="gramEnd"/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Образац за израчунавање цена основних, додатних и пратећих услуга:</w:t>
      </w:r>
    </w:p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19B1987B" wp14:editId="4D3371E9">
            <wp:extent cx="3829050" cy="466725"/>
            <wp:effectExtent l="0" t="0" r="0" b="9525"/>
            <wp:docPr id="6" name="Picture 6" descr="https://reg.pravno-informacioni-sistem.rs/api/Attachment/slike/439525/Uredba-metodologija-zeleznica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525/Uredba-metodologija-zeleznica_Page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C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i</w:t>
      </w:r>
      <w:r w:rsidRPr="00745847">
        <w:rPr>
          <w:rFonts w:ascii="Arial" w:hAnsi="Arial" w:cs="Arial"/>
          <w:color w:val="333333"/>
          <w:sz w:val="20"/>
          <w:szCs w:val="20"/>
        </w:rPr>
        <w:t> – јединични трошак пружања i-те услуге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C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a</w:t>
      </w:r>
      <w:r w:rsidRPr="00745847">
        <w:rPr>
          <w:rFonts w:ascii="Arial" w:hAnsi="Arial" w:cs="Arial"/>
          <w:color w:val="333333"/>
          <w:sz w:val="20"/>
          <w:szCs w:val="20"/>
        </w:rPr>
        <w:t> – јединични трошак амортизације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C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m</w:t>
      </w:r>
      <w:r w:rsidRPr="00745847">
        <w:rPr>
          <w:rFonts w:ascii="Arial" w:hAnsi="Arial" w:cs="Arial"/>
          <w:color w:val="333333"/>
          <w:sz w:val="20"/>
          <w:szCs w:val="20"/>
        </w:rPr>
        <w:t> – јединични трошак одржавања и материјала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C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e</w:t>
      </w:r>
      <w:r w:rsidRPr="00745847">
        <w:rPr>
          <w:rFonts w:ascii="Arial" w:hAnsi="Arial" w:cs="Arial"/>
          <w:color w:val="333333"/>
          <w:sz w:val="20"/>
          <w:szCs w:val="20"/>
        </w:rPr>
        <w:t> – јединични трошак енергије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C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r</w:t>
      </w:r>
      <w:r w:rsidRPr="00745847">
        <w:rPr>
          <w:rFonts w:ascii="Arial" w:hAnsi="Arial" w:cs="Arial"/>
          <w:color w:val="333333"/>
          <w:sz w:val="20"/>
          <w:szCs w:val="20"/>
        </w:rPr>
        <w:t> – јединични трошак рада</w:t>
      </w:r>
    </w:p>
    <w:p w:rsidR="00745847" w:rsidRPr="00745847" w:rsidRDefault="00745847" w:rsidP="00745847">
      <w:pPr>
        <w:widowControl/>
        <w:autoSpaceDE/>
        <w:autoSpaceDN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D</w:t>
      </w:r>
      <w:r w:rsidRPr="00745847">
        <w:rPr>
          <w:rFonts w:ascii="Arial" w:hAnsi="Arial" w:cs="Arial"/>
          <w:color w:val="333333"/>
          <w:sz w:val="20"/>
          <w:szCs w:val="20"/>
          <w:vertAlign w:val="subscript"/>
        </w:rPr>
        <w:t>r</w:t>
      </w:r>
      <w:r w:rsidRPr="00745847">
        <w:rPr>
          <w:rFonts w:ascii="Arial" w:hAnsi="Arial" w:cs="Arial"/>
          <w:color w:val="333333"/>
          <w:sz w:val="20"/>
          <w:szCs w:val="20"/>
        </w:rPr>
        <w:t> – разумна добит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Напред наведена методологија и обрасци се примењују за дефинисање цена за минимални приступни пакет и цена за основне, додатне и пратеће услуге, осим за одређивање цене електричне енергије за вучу коју испоручује дистрибутер електричне енергије, на коју није применљива, а која се обрачунава по методологији коју управљач објављује у Изјави о мрежи.</w:t>
      </w:r>
    </w:p>
    <w:p w:rsidR="00745847" w:rsidRPr="00745847" w:rsidRDefault="00745847" w:rsidP="00745847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ПРИЛОГ</w:t>
      </w:r>
    </w:p>
    <w:p w:rsidR="00745847" w:rsidRPr="00745847" w:rsidRDefault="00745847" w:rsidP="00745847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color w:val="333333"/>
          <w:sz w:val="20"/>
          <w:szCs w:val="20"/>
        </w:rPr>
      </w:pPr>
      <w:r w:rsidRPr="00745847">
        <w:rPr>
          <w:rFonts w:ascii="Arial" w:hAnsi="Arial" w:cs="Arial"/>
          <w:color w:val="333333"/>
          <w:sz w:val="20"/>
          <w:szCs w:val="20"/>
        </w:rPr>
        <w:t>СПИСАК ПОГОНСКИХ КОНТА ДИРЕКТНИХ ТРОШКОВА САОБРАЋАЈА ВОЗА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10009"/>
      </w:tblGrid>
      <w:tr w:rsidR="00745847" w:rsidRPr="00745847" w:rsidTr="00E73751">
        <w:tc>
          <w:tcPr>
            <w:tcW w:w="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8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Директни трошкови грађевинског одржавања</w:t>
            </w:r>
          </w:p>
        </w:tc>
      </w:tr>
      <w:tr w:rsidR="00745847" w:rsidRPr="00745847" w:rsidTr="00E73751">
        <w:tc>
          <w:tcPr>
            <w:tcW w:w="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8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Директни трошкови електротехничког одржавања</w:t>
            </w:r>
          </w:p>
        </w:tc>
      </w:tr>
      <w:tr w:rsidR="00745847" w:rsidRPr="00745847" w:rsidTr="00E73751">
        <w:tc>
          <w:tcPr>
            <w:tcW w:w="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8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Директни трошкови управљања саобраћајем</w:t>
            </w:r>
          </w:p>
        </w:tc>
      </w:tr>
      <w:tr w:rsidR="00745847" w:rsidRPr="00745847" w:rsidTr="00E73751">
        <w:tc>
          <w:tcPr>
            <w:tcW w:w="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8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Директни трошкови комуникације, телекомуникације и слабе струје</w:t>
            </w:r>
          </w:p>
        </w:tc>
      </w:tr>
    </w:tbl>
    <w:p w:rsidR="00745847" w:rsidRPr="00745847" w:rsidRDefault="00745847" w:rsidP="00745847">
      <w:pPr>
        <w:widowControl/>
        <w:autoSpaceDE/>
        <w:autoSpaceDN/>
        <w:rPr>
          <w:rFonts w:ascii="Arial" w:hAnsi="Arial" w:cs="Arial"/>
          <w:vanish/>
          <w:sz w:val="20"/>
          <w:szCs w:val="20"/>
        </w:rPr>
      </w:pPr>
    </w:p>
    <w:tbl>
      <w:tblPr>
        <w:tblW w:w="505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7"/>
        <w:gridCol w:w="8158"/>
        <w:gridCol w:w="287"/>
        <w:gridCol w:w="285"/>
        <w:gridCol w:w="283"/>
        <w:gridCol w:w="283"/>
      </w:tblGrid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Погонски конто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Погонски контни план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00012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диспечера на организовању превоза робе и путника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00013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Отпремање возова за превоз робе и путника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00014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скретничара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00015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телеграфисте и телепринтеристе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11010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отправника возова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11030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телеграфисте и телепринтеристе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11040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скретничара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21010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отправника возова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21030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телеграфисте и телепринтеристе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21040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скретничара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40100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станичних зграда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40600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чуварских кућица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41100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друмских путничких возила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41210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камиона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41220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осталих друмских теретних возила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42000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Мерење и испитивање електро-енергетских постројења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42110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надземних водова високог напона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42120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надземних водова средњег напона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42130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надземних водова ниског напона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42140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кабловских водова средњег напона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42150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кабловских водова ниског напона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42310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постројења за секционисање ( ПС; ПСН )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42330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електровучних подстаница – ЕВП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42340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Напајање електровучних постројења, постројења за секционисање и ПСН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42400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система даљинског управљања електровучним постројењима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42500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трансформаторских станица ТС И СТС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спољне расвете железничких простора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42800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громобранских инсталација и уземљења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Мерење и испитивање постројења контактне мреже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43200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темеља и носећих конструкција за контактну мрежу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43300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возних водова, обилазног вода и напојних водова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43400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расклопних апарата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43500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повратног вода и уземљења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уређаја аутоматског затезања – УАЗ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43700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постројења контактне мреже у тунелима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43800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неутралних секција, секционих изолатора и изолатора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43900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објеката и опреме за контактну мрежу – остали радови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43910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заштитних капија за заштиту друмских возила од високог напона на путном прелазу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44010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насипа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44020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усека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44030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засека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44110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земљаних канала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44120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бетонских канала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44130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канала од камена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44140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дренаже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потпорних и обложних зидова од бетона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потпорних и обложних зидова од камена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44230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потпорних и обложних зидова од габијона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44240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препрека за заштиту од буке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44310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мостова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44320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пропуста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тунела без обзиде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тунела са обзидом од камена и опеке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тунела са бетонском обзидом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Обележавање траке и ниша у тунелу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Чишћење одводних канала у тунелу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Чишћење и изношење леда код неелектрифицираних пруга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44470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Чишћење и изношење леда на електрифицираним пругама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44511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уништавање вегетације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44512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уништавање вегетације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Хемијско уништавање вегетације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Заштита од наноса бујичих токова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Биолошко-технички радови и мере заштите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Осигурање корита речних токова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речних корита и регулационих објеката код мостова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Заштита пруге снегобранима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44580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шумских снегозаштитних појасева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44610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и испитивање објеката доњег строја пруге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44620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Геодетска снимања пруге и пружног појаса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приступних путева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станичног предпростора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перона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јама за окретницу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рампи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44960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товарних профила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44970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осталих средстава у станичном простору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прслих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Местимична замена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Враћање померених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Отпуштање ДТШ-а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Заваривање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Брушење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Уградња и одржавање мазалица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45090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Остали радови са шинама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геометрије колосека и скретница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стварног положаја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45113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слободног профила пруге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45114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профила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45115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профила шине, хабање шине и еквивалентне коничности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45116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набораности шине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45117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Ултразвучно испитивање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45118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Испитивање возне површине шине вртложним струјама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45119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Обрада и анализа резултата снимања и испитивања стања пруге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колосека и мерење ручним мерилима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скретница и укрштаја и мерење ручним мерилима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45123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дилатационих справа и мерење ручним мерилима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45124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Ултразвучно испитивање шина и варова ручним апаратима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45125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радова одржавања пруге и пружних постројења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45126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профила шине и хабања шине ручним мерилима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45127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Контрола геометрије колосека ручним мерним колицима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45128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Постављање и одржавање система за аутоматску корекцију стационаже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45129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Провера исправности мерне опреме и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45131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Снимање георадаром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45132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Провера стабилности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45133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Мерење убрзања у осовини, постољу и сандуку железничког возила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45134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Видеоинспекција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Монтажа и демонтажа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регулисање колосека са планирањем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регулисање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Подбијање олабављених прагова у колосеку и на скретницама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45240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Исправљање ширине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Враћање закошених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Монтажа и демонтажа сигурносних и заштитних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Машинска стабилизација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45280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Чишћење снега и леда на колосеку и скретницама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45290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Радови на отклањању сметњи и остали радови на одржавању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решетање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Допуна засторне призме туцаником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планирање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планирање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решетање засторне призме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45390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Остали радови на одржавању застора (истовар, утовар, одржавање депоније)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ситног колосечног прибора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прслих везица и вијака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тополових и гумених уметака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Подмазивање и притезање вијака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справа против путовања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справа против бочног померања колосека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45470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Остали радови са ситним колосечним прибором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Ручна замена дрвених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Машинска замена дрвених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Ручна замена бетонских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Машинска замена бетонских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мостовских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скретничких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Занатски радови на праговима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45580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челичних прагова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45590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Остали радови са праговима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Динамичка стабилизација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скретница са металним деловима и скретничком грађом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металних делова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регулисање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регулисање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Машинско решетање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Ручно решетање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45670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Занатски радови на скретницама и укрштајима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45680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Прекивање скретница по размернику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45690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Остали радови на одржавању скретница и укрштаја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Уградња и замена изолованих, нелепљених састава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Уградња и замена изолованих лепљених састава типа 'л' (радионичких)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Уградња изолованих састава типа 'м' у колосеку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класичних шинских састава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изолованих састава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дилатационих састава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45770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Замена дилатационих справа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45810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Постављање пружних ознака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45820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пружних ознака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путних прелаза у нивоу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Преглед и контрола коловозних конструкција путних прелаза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Визуелни преглед коловозних контрукција путних прелаза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45913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Чишћење жлебова контра шина коловозне конструкције путних прелаза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45914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слободног простора жлеба коловозне конструкције на путном прелазу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45915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Израда површинских дренажа шлицева коловозне конструкције на путном прелазу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45916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елемената коловозне конструкције на путним прелазима од префабрикованих гумених елемената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45917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елемената коловозне конструкције на путним прелазима од префабрикованих бетонских елемената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45918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елемената коловозне конструкције на путним прелазима од претходно обрађених дрвених елемената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45919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свих елемената коловозне конструкције на путним прелазима од камене коцке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46000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чувара пруге – опходара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46100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чувара путних прелаза на путном прелазу на отвореној прузи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46101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чувара на путном прелазу у станичном подручју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46200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Рад чувара косина и лагане вожње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46300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Трошкови обезбеђења пруге и пружних постројења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Мерење и испитивање телекомуникационих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бакарних каблова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оптичких каблова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47230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ваздушних водова и каблова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47300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уређаја преносних система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47400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пружних телефонских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47510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радио диспечерског система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47520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локалних радио мрежа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комутационих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система разгласа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сатног система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система за визуелно обавештавање путника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47741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система видео надзора на путним прелазима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47742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система видео надзора на осталим објектима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интерфонских система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регистрофона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47770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информационих система посебне намене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47800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напојних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47900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објеката и остале опреме телекомуникације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48100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Мерење и испитивање СС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електро-релејних уређаја сигнализације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48211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електро-релејних сигнално-сигурносних уређаја на одвојним скретницама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Напајање електро-релејних уређаја сигнализације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48300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механичких и електромеханичких уређаја за СС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48310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механичких и електромеханичких сигнално-сигурносних уређаја на одвојним скретницама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48410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сигнализације механичких путних прелаза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48420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сигнализације полуаутоматских путних прелаза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48430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сигнализације аутоматских путних прелаза са светлосним сигналима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48440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сигнализације аутоматских путних прелаза са светлосним сигналима и путопрелазним браницима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48500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напојних СС уређаја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48600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СС телекоманде саобраћаја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48700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аутоматизације ранжирних станица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48800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електронских уређаја сигнализације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48900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објеката и опреме за сигнализацију – остали радови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49000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кола за испитивање – самоходна мерна кола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49110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тешке пружне механизације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49120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лаке пружне механизације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49210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тешких моторних дрезина за грађевинске послове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49220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лаких моторних дрезина за грађевинске послове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lastRenderedPageBreak/>
              <w:t>49230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путничких дрезина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49310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багера, булдожера, кранова и друго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49320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механизације за утовар и истовар шина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49330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компресора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49340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осталих грађевинских машина и опреме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49400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специјалних возила-ралица,грталица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49510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тешких моторних дрезина за контактну мрежу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49520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дрезине за ТТ уређаје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49610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локо-трактора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49630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алатних кола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49640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дизалица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49650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радног воза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49810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за спавање, канцеларија и трпезарија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49820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– магацина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49830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– цистерне за гориво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49840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за превоз шина и скретница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49850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– агрегата за контактну мрежу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49860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– дизалице за контактну мрежу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49870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за развлачење контактне мреже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49880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вагона – мерних кола за контактну мрежу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49890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осталих вагона за железничке сврхе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  <w:tr w:rsidR="00E73751" w:rsidRPr="00745847" w:rsidTr="00E73751"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49900</w:t>
            </w:r>
          </w:p>
        </w:tc>
        <w:tc>
          <w:tcPr>
            <w:tcW w:w="39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Одржавање остале опреме која се користи за одржавање механизације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847" w:rsidRPr="00745847" w:rsidRDefault="00745847" w:rsidP="00745847">
            <w:pPr>
              <w:widowControl/>
              <w:autoSpaceDE/>
              <w:autoSpaceDN/>
              <w:spacing w:after="15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45847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</w:tr>
    </w:tbl>
    <w:p w:rsidR="000C7844" w:rsidRPr="00745847" w:rsidRDefault="000C7844" w:rsidP="00745847">
      <w:pPr>
        <w:pStyle w:val="basic-paragraph"/>
        <w:spacing w:before="0" w:beforeAutospacing="0" w:after="150" w:afterAutospacing="0"/>
        <w:ind w:firstLine="480"/>
        <w:jc w:val="center"/>
        <w:rPr>
          <w:rFonts w:ascii="Arial" w:hAnsi="Arial" w:cs="Arial"/>
          <w:color w:val="000000"/>
          <w:sz w:val="20"/>
          <w:szCs w:val="20"/>
        </w:rPr>
      </w:pPr>
    </w:p>
    <w:p w:rsidR="00400CBB" w:rsidRPr="00745847" w:rsidRDefault="00400CBB" w:rsidP="00745847">
      <w:pPr>
        <w:pStyle w:val="basic-paragraph"/>
        <w:spacing w:before="0" w:beforeAutospacing="0" w:after="150" w:afterAutospacing="0"/>
        <w:jc w:val="center"/>
        <w:rPr>
          <w:rFonts w:ascii="Arial" w:hAnsi="Arial" w:cs="Arial"/>
          <w:sz w:val="20"/>
          <w:szCs w:val="20"/>
          <w:lang w:val="sr-Cyrl-RS"/>
        </w:rPr>
      </w:pPr>
    </w:p>
    <w:sectPr w:rsidR="00400CBB" w:rsidRPr="00745847" w:rsidSect="00400CBB">
      <w:type w:val="continuous"/>
      <w:pgSz w:w="12480" w:h="15600"/>
      <w:pgMar w:top="260" w:right="106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C7844"/>
    <w:rsid w:val="003D78BE"/>
    <w:rsid w:val="00400CBB"/>
    <w:rsid w:val="0042320C"/>
    <w:rsid w:val="005B7AF7"/>
    <w:rsid w:val="005F5F68"/>
    <w:rsid w:val="006955C3"/>
    <w:rsid w:val="006F2CB6"/>
    <w:rsid w:val="00745847"/>
    <w:rsid w:val="007A7105"/>
    <w:rsid w:val="00803A9A"/>
    <w:rsid w:val="008204F8"/>
    <w:rsid w:val="00881DCE"/>
    <w:rsid w:val="008D2CA8"/>
    <w:rsid w:val="009448F4"/>
    <w:rsid w:val="009F14E7"/>
    <w:rsid w:val="00E73751"/>
    <w:rsid w:val="00ED795B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4307</Words>
  <Characters>24554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2025-12-29T13:16:00Z</dcterms:created>
  <dcterms:modified xsi:type="dcterms:W3CDTF">2025-12-30T06:37:00Z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