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Look w:val="04A0" w:firstRow="1" w:lastRow="0" w:firstColumn="1" w:lastColumn="0" w:noHBand="0" w:noVBand="1"/>
      </w:tblPr>
      <w:tblGrid>
        <w:gridCol w:w="904"/>
        <w:gridCol w:w="9406"/>
      </w:tblGrid>
      <w:tr w:rsidR="007A7105" w:rsidRPr="00925302" w:rsidTr="00702223">
        <w:trPr>
          <w:tblCellSpacing w:w="15" w:type="dxa"/>
        </w:trPr>
        <w:tc>
          <w:tcPr>
            <w:tcW w:w="346" w:type="pct"/>
            <w:tcBorders>
              <w:top w:val="nil"/>
              <w:left w:val="nil"/>
              <w:bottom w:val="nil"/>
              <w:right w:val="nil"/>
            </w:tcBorders>
            <w:shd w:val="clear" w:color="auto" w:fill="A41E1C"/>
            <w:tcMar>
              <w:top w:w="15" w:type="dxa"/>
              <w:left w:w="15" w:type="dxa"/>
              <w:bottom w:w="15" w:type="dxa"/>
              <w:right w:w="15" w:type="dxa"/>
            </w:tcMar>
            <w:vAlign w:val="center"/>
            <w:hideMark/>
          </w:tcPr>
          <w:p w:rsidR="007A7105" w:rsidRPr="00925302" w:rsidRDefault="007A7105" w:rsidP="00702223">
            <w:pPr>
              <w:pStyle w:val="NASLOVZLATO"/>
              <w:autoSpaceDE w:val="0"/>
              <w:autoSpaceDN w:val="0"/>
              <w:rPr>
                <w:sz w:val="20"/>
                <w:szCs w:val="20"/>
              </w:rPr>
            </w:pPr>
            <w:r w:rsidRPr="00925302">
              <w:rPr>
                <w:sz w:val="20"/>
                <w:szCs w:val="20"/>
                <w:lang w:val="en-US" w:eastAsia="en-US"/>
              </w:rPr>
              <w:drawing>
                <wp:inline distT="0" distB="0" distL="0" distR="0" wp14:anchorId="502A8517" wp14:editId="0A40B3D4">
                  <wp:extent cx="526415" cy="560705"/>
                  <wp:effectExtent l="0" t="0" r="0" b="0"/>
                  <wp:docPr id="2" name="Picture 2"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415" cy="560705"/>
                          </a:xfrm>
                          <a:prstGeom prst="rect">
                            <a:avLst/>
                          </a:prstGeom>
                          <a:noFill/>
                          <a:ln>
                            <a:noFill/>
                          </a:ln>
                        </pic:spPr>
                      </pic:pic>
                    </a:graphicData>
                  </a:graphic>
                </wp:inline>
              </w:drawing>
            </w:r>
          </w:p>
        </w:tc>
        <w:tc>
          <w:tcPr>
            <w:tcW w:w="4619" w:type="pct"/>
            <w:tcBorders>
              <w:top w:val="nil"/>
              <w:left w:val="nil"/>
              <w:bottom w:val="nil"/>
              <w:right w:val="nil"/>
            </w:tcBorders>
            <w:shd w:val="clear" w:color="auto" w:fill="A41E1C"/>
            <w:tcMar>
              <w:top w:w="15" w:type="dxa"/>
              <w:left w:w="15" w:type="dxa"/>
              <w:bottom w:w="15" w:type="dxa"/>
              <w:right w:w="15" w:type="dxa"/>
            </w:tcMar>
            <w:vAlign w:val="center"/>
            <w:hideMark/>
          </w:tcPr>
          <w:p w:rsidR="00B21B82" w:rsidRPr="00925302" w:rsidRDefault="000A73F6" w:rsidP="00B21B82">
            <w:pPr>
              <w:pStyle w:val="NASLOVBELO"/>
              <w:autoSpaceDE w:val="0"/>
              <w:autoSpaceDN w:val="0"/>
              <w:spacing w:line="360" w:lineRule="auto"/>
              <w:rPr>
                <w:color w:val="FFE599"/>
                <w:sz w:val="20"/>
                <w:szCs w:val="20"/>
                <w:lang w:val="en-US"/>
              </w:rPr>
            </w:pPr>
            <w:r w:rsidRPr="00925302">
              <w:rPr>
                <w:color w:val="FFE599"/>
                <w:sz w:val="20"/>
                <w:szCs w:val="20"/>
                <w:lang w:val="sr-Cyrl-RS"/>
              </w:rPr>
              <w:t>ЗАКЉУЧАК</w:t>
            </w:r>
          </w:p>
          <w:p w:rsidR="000A73F6" w:rsidRPr="00925302" w:rsidRDefault="000A73F6" w:rsidP="000A73F6">
            <w:pPr>
              <w:pStyle w:val="NASLOVBELO"/>
              <w:rPr>
                <w:sz w:val="20"/>
                <w:szCs w:val="20"/>
              </w:rPr>
            </w:pPr>
            <w:r w:rsidRPr="00925302">
              <w:rPr>
                <w:sz w:val="20"/>
                <w:szCs w:val="20"/>
              </w:rPr>
              <w:t xml:space="preserve">О УСВАЈАЊУ ПЛАНА РАДА ЗА РАЗВОЈ И КОРИШЋЕЊЕ ЕЛЕКТРОНСКИХ СИСТЕМА ЦАРИНСКЕ СЛУЖБЕ МИНИСТАРСТВА </w:t>
            </w:r>
          </w:p>
          <w:p w:rsidR="007A7105" w:rsidRPr="00925302" w:rsidRDefault="000A73F6" w:rsidP="000A73F6">
            <w:pPr>
              <w:pStyle w:val="NASLOVBELO"/>
              <w:autoSpaceDE w:val="0"/>
              <w:autoSpaceDN w:val="0"/>
              <w:rPr>
                <w:sz w:val="20"/>
                <w:szCs w:val="20"/>
              </w:rPr>
            </w:pPr>
            <w:r w:rsidRPr="00925302">
              <w:rPr>
                <w:sz w:val="20"/>
                <w:szCs w:val="20"/>
              </w:rPr>
              <w:t>ФИНАНСИЈА ЗА ПЕРИОД 2025-2029. ГОДИНЕ</w:t>
            </w:r>
          </w:p>
          <w:p w:rsidR="007A7105" w:rsidRPr="00925302" w:rsidRDefault="007A7105" w:rsidP="00D32216">
            <w:pPr>
              <w:pStyle w:val="podnaslovpropisa"/>
              <w:autoSpaceDE w:val="0"/>
              <w:autoSpaceDN w:val="0"/>
            </w:pPr>
            <w:r w:rsidRPr="00925302">
              <w:t xml:space="preserve">("Сл. гласник РС", </w:t>
            </w:r>
            <w:r w:rsidR="00ED795B" w:rsidRPr="00925302">
              <w:t>бр</w:t>
            </w:r>
            <w:r w:rsidR="009448F4" w:rsidRPr="00925302">
              <w:t>.</w:t>
            </w:r>
            <w:r w:rsidR="00ED795B" w:rsidRPr="00925302">
              <w:rPr>
                <w:lang w:val="sr-Cyrl-RS"/>
              </w:rPr>
              <w:t xml:space="preserve"> </w:t>
            </w:r>
            <w:r w:rsidR="008D2CA8" w:rsidRPr="00925302">
              <w:t>11</w:t>
            </w:r>
            <w:r w:rsidR="00D32216">
              <w:t>9</w:t>
            </w:r>
            <w:bookmarkStart w:id="0" w:name="_GoBack"/>
            <w:bookmarkEnd w:id="0"/>
            <w:r w:rsidR="008D2CA8" w:rsidRPr="00925302">
              <w:t>/2025</w:t>
            </w:r>
            <w:r w:rsidRPr="00925302">
              <w:t>)</w:t>
            </w:r>
          </w:p>
        </w:tc>
      </w:tr>
    </w:tbl>
    <w:p w:rsidR="00925302" w:rsidRPr="00925302" w:rsidRDefault="000C7844" w:rsidP="001809E9">
      <w:pPr>
        <w:spacing w:line="360" w:lineRule="auto"/>
        <w:rPr>
          <w:rFonts w:ascii="Arial" w:hAnsi="Arial" w:cs="Arial"/>
          <w:sz w:val="20"/>
          <w:szCs w:val="20"/>
        </w:rPr>
      </w:pPr>
      <w:r w:rsidRPr="00925302">
        <w:rPr>
          <w:rFonts w:ascii="Arial" w:hAnsi="Arial" w:cs="Arial"/>
          <w:color w:val="000000"/>
          <w:sz w:val="20"/>
          <w:szCs w:val="20"/>
        </w:rPr>
        <w:br/>
      </w:r>
      <w:r w:rsidR="00925302" w:rsidRPr="00925302">
        <w:rPr>
          <w:rFonts w:ascii="Arial" w:eastAsia="Verdana" w:hAnsi="Arial" w:cs="Arial"/>
          <w:sz w:val="20"/>
          <w:szCs w:val="20"/>
        </w:rPr>
        <w:t xml:space="preserve">1. Усваја се План рада за развој и коришћење електронских система царинске службе Министарства финансија за период 2025–2029. </w:t>
      </w:r>
      <w:proofErr w:type="gramStart"/>
      <w:r w:rsidR="00925302" w:rsidRPr="00925302">
        <w:rPr>
          <w:rFonts w:ascii="Arial" w:eastAsia="Verdana" w:hAnsi="Arial" w:cs="Arial"/>
          <w:sz w:val="20"/>
          <w:szCs w:val="20"/>
        </w:rPr>
        <w:t>године</w:t>
      </w:r>
      <w:proofErr w:type="gramEnd"/>
      <w:r w:rsidR="00925302" w:rsidRPr="00925302">
        <w:rPr>
          <w:rFonts w:ascii="Arial" w:eastAsia="Verdana" w:hAnsi="Arial" w:cs="Arial"/>
          <w:sz w:val="20"/>
          <w:szCs w:val="20"/>
        </w:rPr>
        <w:t>, који је саставни део овог закључка.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2. Овај закључак објавити у „Службеном гласнику Републике Србије”.</w:t>
      </w:r>
    </w:p>
    <w:p w:rsidR="00925302" w:rsidRPr="00925302" w:rsidRDefault="00925302" w:rsidP="001809E9">
      <w:pPr>
        <w:spacing w:line="360" w:lineRule="auto"/>
        <w:jc w:val="right"/>
        <w:rPr>
          <w:rFonts w:ascii="Arial" w:hAnsi="Arial" w:cs="Arial"/>
          <w:sz w:val="20"/>
          <w:szCs w:val="20"/>
        </w:rPr>
      </w:pPr>
      <w:r w:rsidRPr="00925302">
        <w:rPr>
          <w:rFonts w:ascii="Arial" w:eastAsia="Verdana" w:hAnsi="Arial" w:cs="Arial"/>
          <w:sz w:val="20"/>
          <w:szCs w:val="20"/>
        </w:rPr>
        <w:t>05 број 021-14523/2025</w:t>
      </w:r>
    </w:p>
    <w:p w:rsidR="00925302" w:rsidRPr="00925302" w:rsidRDefault="00925302" w:rsidP="001809E9">
      <w:pPr>
        <w:spacing w:line="360" w:lineRule="auto"/>
        <w:jc w:val="right"/>
        <w:rPr>
          <w:rFonts w:ascii="Arial" w:hAnsi="Arial" w:cs="Arial"/>
          <w:sz w:val="20"/>
          <w:szCs w:val="20"/>
        </w:rPr>
      </w:pPr>
      <w:proofErr w:type="gramStart"/>
      <w:r w:rsidRPr="00925302">
        <w:rPr>
          <w:rFonts w:ascii="Arial" w:eastAsia="Verdana" w:hAnsi="Arial" w:cs="Arial"/>
          <w:sz w:val="20"/>
          <w:szCs w:val="20"/>
        </w:rPr>
        <w:t>У Београду, 26.</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децембра</w:t>
      </w:r>
      <w:proofErr w:type="gramEnd"/>
      <w:r w:rsidRPr="00925302">
        <w:rPr>
          <w:rFonts w:ascii="Arial" w:eastAsia="Verdana" w:hAnsi="Arial" w:cs="Arial"/>
          <w:sz w:val="20"/>
          <w:szCs w:val="20"/>
        </w:rPr>
        <w:t xml:space="preserve"> 2025. </w:t>
      </w:r>
      <w:proofErr w:type="gramStart"/>
      <w:r w:rsidRPr="00925302">
        <w:rPr>
          <w:rFonts w:ascii="Arial" w:eastAsia="Verdana" w:hAnsi="Arial" w:cs="Arial"/>
          <w:sz w:val="20"/>
          <w:szCs w:val="20"/>
        </w:rPr>
        <w:t>године</w:t>
      </w:r>
      <w:proofErr w:type="gramEnd"/>
    </w:p>
    <w:p w:rsidR="00925302" w:rsidRPr="00925302" w:rsidRDefault="00925302" w:rsidP="001809E9">
      <w:pPr>
        <w:spacing w:line="360" w:lineRule="auto"/>
        <w:jc w:val="right"/>
        <w:rPr>
          <w:rFonts w:ascii="Arial" w:hAnsi="Arial" w:cs="Arial"/>
          <w:sz w:val="20"/>
          <w:szCs w:val="20"/>
        </w:rPr>
      </w:pPr>
      <w:r w:rsidRPr="00925302">
        <w:rPr>
          <w:rFonts w:ascii="Arial" w:eastAsia="Verdana" w:hAnsi="Arial" w:cs="Arial"/>
          <w:b/>
          <w:sz w:val="20"/>
          <w:szCs w:val="20"/>
        </w:rPr>
        <w:t>Влада</w:t>
      </w:r>
    </w:p>
    <w:p w:rsidR="00925302" w:rsidRPr="00925302" w:rsidRDefault="00925302" w:rsidP="001809E9">
      <w:pPr>
        <w:spacing w:line="360" w:lineRule="auto"/>
        <w:jc w:val="right"/>
        <w:rPr>
          <w:rFonts w:ascii="Arial" w:hAnsi="Arial" w:cs="Arial"/>
          <w:sz w:val="20"/>
          <w:szCs w:val="20"/>
        </w:rPr>
      </w:pPr>
      <w:r w:rsidRPr="00925302">
        <w:rPr>
          <w:rFonts w:ascii="Arial" w:eastAsia="Verdana" w:hAnsi="Arial" w:cs="Arial"/>
          <w:sz w:val="20"/>
          <w:szCs w:val="20"/>
        </w:rPr>
        <w:t>Председник,</w:t>
      </w:r>
    </w:p>
    <w:p w:rsidR="00925302" w:rsidRPr="00925302" w:rsidRDefault="00925302" w:rsidP="001809E9">
      <w:pPr>
        <w:spacing w:line="360" w:lineRule="auto"/>
        <w:jc w:val="right"/>
        <w:rPr>
          <w:rFonts w:ascii="Arial" w:hAnsi="Arial" w:cs="Arial"/>
          <w:sz w:val="20"/>
          <w:szCs w:val="20"/>
        </w:rPr>
      </w:pPr>
      <w:proofErr w:type="gramStart"/>
      <w:r w:rsidRPr="00925302">
        <w:rPr>
          <w:rFonts w:ascii="Arial" w:eastAsia="Verdana" w:hAnsi="Arial" w:cs="Arial"/>
          <w:sz w:val="20"/>
          <w:szCs w:val="20"/>
        </w:rPr>
        <w:t>проф</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др</w:t>
      </w:r>
      <w:proofErr w:type="gramEnd"/>
      <w:r w:rsidRPr="00925302">
        <w:rPr>
          <w:rFonts w:ascii="Arial" w:eastAsia="Verdana" w:hAnsi="Arial" w:cs="Arial"/>
          <w:sz w:val="20"/>
          <w:szCs w:val="20"/>
        </w:rPr>
        <w:t xml:space="preserve"> </w:t>
      </w:r>
      <w:r w:rsidRPr="00925302">
        <w:rPr>
          <w:rFonts w:ascii="Arial" w:eastAsia="Verdana" w:hAnsi="Arial" w:cs="Arial"/>
          <w:b/>
          <w:sz w:val="20"/>
          <w:szCs w:val="20"/>
        </w:rPr>
        <w:t>Ђуро Мацут</w:t>
      </w:r>
      <w:r w:rsidRPr="00925302">
        <w:rPr>
          <w:rFonts w:ascii="Arial" w:eastAsia="Verdana" w:hAnsi="Arial" w:cs="Arial"/>
          <w:sz w:val="20"/>
          <w:szCs w:val="20"/>
        </w:rPr>
        <w:t>, с.р.</w:t>
      </w:r>
    </w:p>
    <w:p w:rsidR="001809E9" w:rsidRDefault="001809E9" w:rsidP="001809E9">
      <w:pPr>
        <w:spacing w:line="360" w:lineRule="auto"/>
        <w:jc w:val="center"/>
        <w:rPr>
          <w:rFonts w:ascii="Arial" w:eastAsia="Verdana" w:hAnsi="Arial" w:cs="Arial"/>
          <w:b/>
          <w:sz w:val="20"/>
          <w:szCs w:val="20"/>
        </w:rPr>
      </w:pP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ПЛАН РАДА ЗА РАЗВОЈ И КОРИШЋЕЊЕ ЕЛЕКТРОНСКИХ СИСТЕМА ЦАРИНСКЕ СЛУЖБЕ МИНИСТАРСТВА ФИНАНСИЈА ЗА ПЕРИОД 2025-2029. ГОДИНЕ</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sz w:val="20"/>
          <w:szCs w:val="20"/>
        </w:rPr>
        <w:t>1. УВОД</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1.1. Преглед</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Кључни циљ сваке модерне царинске организације данас је да омогући ефикасан, добро контролисан проток робе, људи и услуга преко својих националних граница, у потпуности поштујући и испуњавајући релевантне законске прописе своје државе, као и њене међународне обавезе.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Тренутне међународне пословне активности и процеси захтевају све брже кретање робе и пружање услуга преко међународних граница; њих морају пратити (или им чак и претходити) све бржи и ефикаснији царински поступци.</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У циљу испуњења овог и других одговарајућих, одређенијих пословних циљева, неопходно је добро испланирати и применити алате за информационо-комуникациону технологију (у даљем тексту: ИКТ). ИТ стратегија царинске службе Републике Србије (у даљем тексту: ИТ стратегија) је стратешки документ креиран да служи тој сврси, и да пружи Управи царина (у даљем тексту: УЦ) корисна упутства и смернице за увођење ИКТ током следећих неколико година.</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 настојању да се даље модернизују и технолошки унапреде услуге УЦ током следећих пет година, нарочита пажња се мора посветити текућем процесу приступања Републике Србије Европској унији (ЕУ), у коме пресудну улогу има усаглашеност са царинским прописима и процесима ЕУ.</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Иако је усклађеност и спремност УЦ за Царинску унију ЕУ формално везана за Преговарачко поглавље 29 – Царинска унија, то уједно представља и кључни, неопходан услов за бројна друга поглавља у процесу приступања, као и за будуће, ефикасно и успешно, целокупно функционисање царинске службе. </w:t>
      </w:r>
      <w:proofErr w:type="gramStart"/>
      <w:r w:rsidRPr="00925302">
        <w:rPr>
          <w:rFonts w:ascii="Arial" w:eastAsia="Verdana" w:hAnsi="Arial" w:cs="Arial"/>
          <w:sz w:val="20"/>
          <w:szCs w:val="20"/>
        </w:rPr>
        <w:t>Улазак Републике Србије у ЕУ захтева да царинска служба постане потпуно усклађена са прописима ЕУ, односно са чланом 5.</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Царинског закона Европске Уније који је већ на снази, као и са стандардним информационим и системима ИКТ.</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УЦ мора да се технолошки модернизује како би испунила и националне циљеве и потребе у овој области, доприносећи целокупној пословној ефикасности државе и њеној конкурентној позицији у свету.</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Временски оквир процеса приступања ЕУ је од таквог значаја да захтева да УЦ мобилише све расположиве унутрашње ресурсе, као и спољну помоћ, финансијску и било коју другу, да би се припремила за овај значајан корак у року.</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lastRenderedPageBreak/>
        <w:t>Узимајући у обзир целокупан трошак довођења ИКТ УЦ до нивоа припремљености за чланство у ЕУ, важно је разумети финансијске размере овог подухвата.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Овај износ се заснива на поузданим унутрашњим и спољним проценама, којима су обухваћена и слична искуства земаља које су се раније придружиле ЕУ.</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Од суштинског значаја је да ову чињеницу – неопходно финансијско улагање да се омогући адекватан ниво функционисања ИКТ унутар УЦ – на прави начин разуме високо руководство Републике Србије, те да јој дају одговарајући приоритет у наредном петогодишњем периоду; ово подразумева заузимање код различитих међународних донатора да би се обезбедила адекватна финансијска подршка у ту сврху, без које би УЦ веома тешко сама обезбедила одговарајућа и целокупна финансијска средства.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Главни изазови на овом путу потпуне модернизације и усаглашености са прописима и системима ЕУ, као што је дефинисано овим документом, су:</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благовремено</w:t>
      </w:r>
      <w:proofErr w:type="gramEnd"/>
      <w:r w:rsidRPr="00925302">
        <w:rPr>
          <w:rFonts w:ascii="Arial" w:eastAsia="Verdana" w:hAnsi="Arial" w:cs="Arial"/>
          <w:sz w:val="20"/>
          <w:szCs w:val="20"/>
        </w:rPr>
        <w:t xml:space="preserve"> обезбеђивање финансијских ресурса;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одговарајућа</w:t>
      </w:r>
      <w:proofErr w:type="gramEnd"/>
      <w:r w:rsidRPr="00925302">
        <w:rPr>
          <w:rFonts w:ascii="Arial" w:eastAsia="Verdana" w:hAnsi="Arial" w:cs="Arial"/>
          <w:sz w:val="20"/>
          <w:szCs w:val="20"/>
        </w:rPr>
        <w:t xml:space="preserve"> унутрашња реорганизација УЦ, којом ће се обезбедити неопходан број ИТ особља;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стално</w:t>
      </w:r>
      <w:proofErr w:type="gramEnd"/>
      <w:r w:rsidRPr="00925302">
        <w:rPr>
          <w:rFonts w:ascii="Arial" w:eastAsia="Verdana" w:hAnsi="Arial" w:cs="Arial"/>
          <w:sz w:val="20"/>
          <w:szCs w:val="20"/>
        </w:rPr>
        <w:t xml:space="preserve"> усавршавање и подизање свести о коришћењу нових технологија и система, са примарним фокусом на ИТ особље;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постепена</w:t>
      </w:r>
      <w:proofErr w:type="gramEnd"/>
      <w:r w:rsidRPr="00925302">
        <w:rPr>
          <w:rFonts w:ascii="Arial" w:eastAsia="Verdana" w:hAnsi="Arial" w:cs="Arial"/>
          <w:sz w:val="20"/>
          <w:szCs w:val="20"/>
        </w:rPr>
        <w:t xml:space="preserve"> интеграција нових апликација у усклађен систем који је заснован на стандардима и оспособљен за међуповезаност и интероперативност;</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благовремена</w:t>
      </w:r>
      <w:proofErr w:type="gramEnd"/>
      <w:r w:rsidRPr="00925302">
        <w:rPr>
          <w:rFonts w:ascii="Arial" w:eastAsia="Verdana" w:hAnsi="Arial" w:cs="Arial"/>
          <w:sz w:val="20"/>
          <w:szCs w:val="20"/>
        </w:rPr>
        <w:t xml:space="preserve"> примена принципа континуитета пословања (укључујући оспособљеност за хитан опоравак од хаваријских ситуација), којим се пружа подршка функционисању по моделу 24x7 (24 сата, седам дана у недељи);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постепено</w:t>
      </w:r>
      <w:proofErr w:type="gramEnd"/>
      <w:r w:rsidRPr="00925302">
        <w:rPr>
          <w:rFonts w:ascii="Arial" w:eastAsia="Verdana" w:hAnsi="Arial" w:cs="Arial"/>
          <w:sz w:val="20"/>
          <w:szCs w:val="20"/>
        </w:rPr>
        <w:t xml:space="preserve"> унапређење хардверске, софтверске и комуникационе опреме до потребног нивоа;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постепена</w:t>
      </w:r>
      <w:proofErr w:type="gramEnd"/>
      <w:r w:rsidRPr="00925302">
        <w:rPr>
          <w:rFonts w:ascii="Arial" w:eastAsia="Verdana" w:hAnsi="Arial" w:cs="Arial"/>
          <w:sz w:val="20"/>
          <w:szCs w:val="20"/>
        </w:rPr>
        <w:t xml:space="preserve"> имплементација сервисно оријентисане архитектуре (SOA);</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миграција</w:t>
      </w:r>
      <w:proofErr w:type="gramEnd"/>
      <w:r w:rsidRPr="00925302">
        <w:rPr>
          <w:rFonts w:ascii="Arial" w:eastAsia="Verdana" w:hAnsi="Arial" w:cs="Arial"/>
          <w:sz w:val="20"/>
          <w:szCs w:val="20"/>
        </w:rPr>
        <w:t xml:space="preserve"> сервиса из застареле у архитектуру нове генерације.</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Овај документ указује на мере које се морају предузети да би се одговорило овим изазовима и пружа основу за даље, детаљније планирање неопходних активности унутар УЦ у наредних пет година.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Поред тога, он настоји да обезбеди континуитет са активностима у складу са досадашњим опредељењима у ИКТ области, као и друге, релевантне изворе информација, предвиђајући потенцијалне будуће кораке и радње које треба предузети у овој области.</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Такође садржи и преглед предложене организације и методологије ИКТ УЦ, са препорукама високог нивоа за наредне кораке модернизације рада ИКТ УЦ.</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Циљ је усклађивање са актуелним технолошким трендовима, релевантним уредбама ЕУ (укључујући MASP) и добром праксом.</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Ова побољшања ће обезбедити усклађеност рада ИКТ УЦ са прописима ЕУ, као и ефикасно испуњење свих главних захтева, како на националном, тако и на међународном нивоу.</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1.2. Скраћенице</w:t>
      </w:r>
    </w:p>
    <w:tbl>
      <w:tblPr>
        <w:tblW w:w="4950" w:type="pct"/>
        <w:tblInd w:w="10" w:type="dxa"/>
        <w:tblCellMar>
          <w:left w:w="10" w:type="dxa"/>
          <w:right w:w="10" w:type="dxa"/>
        </w:tblCellMar>
        <w:tblLook w:val="0000" w:firstRow="0" w:lastRow="0" w:firstColumn="0" w:lastColumn="0" w:noHBand="0" w:noVBand="0"/>
      </w:tblPr>
      <w:tblGrid>
        <w:gridCol w:w="1754"/>
        <w:gridCol w:w="8384"/>
      </w:tblGrid>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b/>
                <w:sz w:val="20"/>
                <w:szCs w:val="20"/>
              </w:rPr>
              <w:t>Скраћеница</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b/>
                <w:sz w:val="20"/>
                <w:szCs w:val="20"/>
              </w:rPr>
              <w:t>Опис</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AEO</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Овлашћени привредни субјект</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AES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Аутоматизовани систем извоза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AI</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Вештачка интелигенција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AIS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Аутоматизовани систем увоза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API</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Интерфејс за програмирање апликација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BCP</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План наставка пословања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BOI</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Обавезујућа обавештења о пореклу</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BTI</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Обавезујућа обавештења о сврставању (ООС)</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БП</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Базе података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lastRenderedPageBreak/>
              <w:t>CCI</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Централизовано царињење за увоз</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CCN/CCN2</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Заједничка комуникациона мрежа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CDS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Систем царинских одлука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COPIS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Систем за заштиту права интелектуалне својине</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CS/RD / CS/RD2</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Централне услуге / референтни подаци</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CSI</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Заједнички системски интерфејс</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DC</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Центри података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DG TAXUD</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Генерални директорат за опорезивање и царинску унију</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DRP</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План опоравка услед хаварије</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DS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Дигитални потписи</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DWH</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Систем за складиштење царинских података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EA</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Архитектура организације</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EBTI</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Европска обавезујућа обавештења о сврставању</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ECS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Систем контроле за извоз</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EMCS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Систем кретања и контроле акцизних роба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EORI/EORI 2</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Регистрација и идентификација привредних субјеката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EOS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Систем привредних субјеката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ЕУ</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Европска унија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HCI</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Хиперконвергована структура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ИКТ</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Информационо-комуникационе технологије</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ИПА</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Инструмент за претприступну помоћ</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ИСЦС</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Информациони систем царинске службе</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ИТ</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Информационе технологије</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ICS / ICS 2</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Систем за контролу увоза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IoT</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Интернет ствари</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ITIL</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Библиотека инфраструктуре ИТ</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ITMS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Интегрисани систем управљања тарифама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ITSM</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Управљање сервисима ИТ</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LAN</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Локална рачунарска мрежа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ЉР</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Људски ресурси</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MASP</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Вишегодишњи стратешки план за стварање европског електронског окружења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OKRокружења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MASP-C</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Вишегодишњи стратешки план за Царину</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MFA</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Вишефакторска мрежа аутентификација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MIS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Информациони систем менаџмента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MRA</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Споразум о узајамном признавању</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MS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Земља чланица ЕУ</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NCTS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Нови компјутеризовани транзитни систем</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OC</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Оперативни систем</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ОУЗП</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Општа уредба о заштити података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RBAC</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Контрола приступа заснована на улогама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REX</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Регистровани извозници</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RSS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Сервис редовне испоруке</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lastRenderedPageBreak/>
              <w:t>SAAS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Софтвер као услуга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SEED</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Систем за размену података о акцизној роби</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SLA</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Уговор о нивоу услуге</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SMS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Систем за управљање узорцима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SOA</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Сервисно оријентисана архитектура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SOC</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Центар за безбедносне операције</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SW</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Једношалтерски систем</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UCC</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Царински закон Уније</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UUM</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Јединствено управљање корисницима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УЦ</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Управа царина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WAN</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Регионална рачунарска мрежа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TAIEX</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Инструмент за техничку помоћ и размену информација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TARIC</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Интегрисана тарифа ЕУ</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TEMPO</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Онлајн електронско управљање пројектима TAXUD</w:t>
            </w:r>
          </w:p>
        </w:tc>
      </w:tr>
    </w:tbl>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sz w:val="20"/>
          <w:szCs w:val="20"/>
        </w:rPr>
        <w:t>2. ИКТ СТРАТЕГИЈА УЦ: ВИЗИЈА, МИСИЈА И ТРЕНДОВИ</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2.1. Извештај анализе тренутног стања (AS-IS)</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i/>
          <w:sz w:val="20"/>
          <w:szCs w:val="20"/>
        </w:rPr>
        <w:t>Информациони систем УЦ</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Информациони систем царинске службе (ИСЦС) омогућава царинарницама да користе своја овлашћења кроз царинске апликације путем централних сервера у царинском седишту, који су стално међусобно повезани у комуникационој мрежи типа „звезда”.</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Први корак ка испуњењу захтева ЕУ је била имплементација Новог компјутеризованог транзитног система (NCTS) на нивоу ЕУ.</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УЦ је имплементирала NCTS као први корак и као једну од најсложенијих обавезних апликација.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Постоји и неколико других система који су у примени.</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Има око двадесет обавезних царинских апликација за земље чланице ЕУ.</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ЕУ тренутно развија додатне, нове апликације и велики број њих је ажуриран.</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Према актуелном плану рада, неколико пројеката је у току код УЦ:</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замена</w:t>
      </w:r>
      <w:proofErr w:type="gramEnd"/>
      <w:r w:rsidRPr="00925302">
        <w:rPr>
          <w:rFonts w:ascii="Arial" w:eastAsia="Verdana" w:hAnsi="Arial" w:cs="Arial"/>
          <w:sz w:val="20"/>
          <w:szCs w:val="20"/>
        </w:rPr>
        <w:t xml:space="preserve"> застарелог ИТ система архитектуром нове генерације, укључујући основну опрему за фарму сервера и мрежу;</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модернизација</w:t>
      </w:r>
      <w:proofErr w:type="gramEnd"/>
      <w:r w:rsidRPr="00925302">
        <w:rPr>
          <w:rFonts w:ascii="Arial" w:eastAsia="Verdana" w:hAnsi="Arial" w:cs="Arial"/>
          <w:sz w:val="20"/>
          <w:szCs w:val="20"/>
        </w:rPr>
        <w:t xml:space="preserve"> архитектуре, прелазак са монолитне на SOA;</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консолидација</w:t>
      </w:r>
      <w:proofErr w:type="gramEnd"/>
      <w:r w:rsidRPr="00925302">
        <w:rPr>
          <w:rFonts w:ascii="Arial" w:eastAsia="Verdana" w:hAnsi="Arial" w:cs="Arial"/>
          <w:sz w:val="20"/>
          <w:szCs w:val="20"/>
        </w:rPr>
        <w:t xml:space="preserve"> и модернизација комплета апликација аутоматизованог система увоза (AIS), аутоматизованог система извоза (AES) и система царинских одлука (CDS), заједно са њиховим пратећим компонентама и сервисима.</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 процесу преговора о приступању Србије ЕУ, односно у Преговарачком поглављу 29.</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наведени</w:t>
      </w:r>
      <w:proofErr w:type="gramEnd"/>
      <w:r w:rsidRPr="00925302">
        <w:rPr>
          <w:rFonts w:ascii="Arial" w:eastAsia="Verdana" w:hAnsi="Arial" w:cs="Arial"/>
          <w:sz w:val="20"/>
          <w:szCs w:val="20"/>
        </w:rPr>
        <w:t xml:space="preserve"> су неопходни кораци које треба извршити пре пријема. </w:t>
      </w:r>
      <w:proofErr w:type="gramStart"/>
      <w:r w:rsidRPr="00925302">
        <w:rPr>
          <w:rFonts w:ascii="Arial" w:eastAsia="Verdana" w:hAnsi="Arial" w:cs="Arial"/>
          <w:sz w:val="20"/>
          <w:szCs w:val="20"/>
        </w:rPr>
        <w:t>УЦ користи фондове ЕУ – Инструмент за претприступну помоћ (ИПА) за финансирање ИТ пројеката у што већој мери, али се ИПА фондови могу користити углавном за имплементацију апликација које се морају применити у оквиру царинских услуга.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Само се мањим делом тих фондова може финансирати опрема која је потребна за рад ових система.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Одржавање и побољшање апликације има свој континуитет у ЕУ, као и замена амортизоване опреме.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Обично се финансирају из државног буџета.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УЦ је у обавези да заврши започете пројекте пре уласка у ЕУ.</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i/>
          <w:sz w:val="20"/>
          <w:szCs w:val="20"/>
        </w:rPr>
        <w:t>Ризици, изазови и ограничења</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Према анализи тренутног стања, Сектор за ИКТ УЦ је навео следеће изазове и ограничења.</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Ограничени ресурси: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1. </w:t>
      </w:r>
      <w:proofErr w:type="gramStart"/>
      <w:r w:rsidRPr="00925302">
        <w:rPr>
          <w:rFonts w:ascii="Arial" w:eastAsia="Verdana" w:hAnsi="Arial" w:cs="Arial"/>
          <w:sz w:val="20"/>
          <w:szCs w:val="20"/>
        </w:rPr>
        <w:t>недовољно</w:t>
      </w:r>
      <w:proofErr w:type="gramEnd"/>
      <w:r w:rsidRPr="00925302">
        <w:rPr>
          <w:rFonts w:ascii="Arial" w:eastAsia="Verdana" w:hAnsi="Arial" w:cs="Arial"/>
          <w:sz w:val="20"/>
          <w:szCs w:val="20"/>
        </w:rPr>
        <w:t xml:space="preserve"> финансијских средстава за улагање у инфраструктуру и унапређење безбедности, као и за </w:t>
      </w:r>
      <w:r w:rsidRPr="00925302">
        <w:rPr>
          <w:rFonts w:ascii="Arial" w:eastAsia="Verdana" w:hAnsi="Arial" w:cs="Arial"/>
          <w:sz w:val="20"/>
          <w:szCs w:val="20"/>
        </w:rPr>
        <w:lastRenderedPageBreak/>
        <w:t>задржавање особља;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2. </w:t>
      </w:r>
      <w:proofErr w:type="gramStart"/>
      <w:r w:rsidRPr="00925302">
        <w:rPr>
          <w:rFonts w:ascii="Arial" w:eastAsia="Verdana" w:hAnsi="Arial" w:cs="Arial"/>
          <w:sz w:val="20"/>
          <w:szCs w:val="20"/>
        </w:rPr>
        <w:t>отежан</w:t>
      </w:r>
      <w:proofErr w:type="gramEnd"/>
      <w:r w:rsidRPr="00925302">
        <w:rPr>
          <w:rFonts w:ascii="Arial" w:eastAsia="Verdana" w:hAnsi="Arial" w:cs="Arial"/>
          <w:sz w:val="20"/>
          <w:szCs w:val="20"/>
        </w:rPr>
        <w:t xml:space="preserve"> одабир и задржавање квалификованог особља због високоразвијене ИТ заједнице.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Изазови у управљању пројектима: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1. </w:t>
      </w:r>
      <w:proofErr w:type="gramStart"/>
      <w:r w:rsidRPr="00925302">
        <w:rPr>
          <w:rFonts w:ascii="Arial" w:eastAsia="Verdana" w:hAnsi="Arial" w:cs="Arial"/>
          <w:sz w:val="20"/>
          <w:szCs w:val="20"/>
        </w:rPr>
        <w:t>истовремено</w:t>
      </w:r>
      <w:proofErr w:type="gramEnd"/>
      <w:r w:rsidRPr="00925302">
        <w:rPr>
          <w:rFonts w:ascii="Arial" w:eastAsia="Verdana" w:hAnsi="Arial" w:cs="Arial"/>
          <w:sz w:val="20"/>
          <w:szCs w:val="20"/>
        </w:rPr>
        <w:t xml:space="preserve"> спровођење више пројеката што доводи до преоптерећења ресурса;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2. </w:t>
      </w:r>
      <w:proofErr w:type="gramStart"/>
      <w:r w:rsidRPr="00925302">
        <w:rPr>
          <w:rFonts w:ascii="Arial" w:eastAsia="Verdana" w:hAnsi="Arial" w:cs="Arial"/>
          <w:sz w:val="20"/>
          <w:szCs w:val="20"/>
        </w:rPr>
        <w:t>проблеми</w:t>
      </w:r>
      <w:proofErr w:type="gramEnd"/>
      <w:r w:rsidRPr="00925302">
        <w:rPr>
          <w:rFonts w:ascii="Arial" w:eastAsia="Verdana" w:hAnsi="Arial" w:cs="Arial"/>
          <w:sz w:val="20"/>
          <w:szCs w:val="20"/>
        </w:rPr>
        <w:t xml:space="preserve"> у поступцима набавке који доводе до кашњења и недовољно стручни извршиоци;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3. </w:t>
      </w:r>
      <w:proofErr w:type="gramStart"/>
      <w:r w:rsidRPr="00925302">
        <w:rPr>
          <w:rFonts w:ascii="Arial" w:eastAsia="Verdana" w:hAnsi="Arial" w:cs="Arial"/>
          <w:sz w:val="20"/>
          <w:szCs w:val="20"/>
        </w:rPr>
        <w:t>нејасни</w:t>
      </w:r>
      <w:proofErr w:type="gramEnd"/>
      <w:r w:rsidRPr="00925302">
        <w:rPr>
          <w:rFonts w:ascii="Arial" w:eastAsia="Verdana" w:hAnsi="Arial" w:cs="Arial"/>
          <w:sz w:val="20"/>
          <w:szCs w:val="20"/>
        </w:rPr>
        <w:t xml:space="preserve"> или променљиви пројектни захтеви.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Технички дуг:</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1. </w:t>
      </w:r>
      <w:proofErr w:type="gramStart"/>
      <w:r w:rsidRPr="00925302">
        <w:rPr>
          <w:rFonts w:ascii="Arial" w:eastAsia="Verdana" w:hAnsi="Arial" w:cs="Arial"/>
          <w:sz w:val="20"/>
          <w:szCs w:val="20"/>
        </w:rPr>
        <w:t>застарели</w:t>
      </w:r>
      <w:proofErr w:type="gramEnd"/>
      <w:r w:rsidRPr="00925302">
        <w:rPr>
          <w:rFonts w:ascii="Arial" w:eastAsia="Verdana" w:hAnsi="Arial" w:cs="Arial"/>
          <w:sz w:val="20"/>
          <w:szCs w:val="20"/>
        </w:rPr>
        <w:t xml:space="preserve"> ИТ системи који захтевају посебне стручне вештине, који су превазиђени или се не користе;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2. </w:t>
      </w:r>
      <w:proofErr w:type="gramStart"/>
      <w:r w:rsidRPr="00925302">
        <w:rPr>
          <w:rFonts w:ascii="Arial" w:eastAsia="Verdana" w:hAnsi="Arial" w:cs="Arial"/>
          <w:sz w:val="20"/>
          <w:szCs w:val="20"/>
        </w:rPr>
        <w:t>сложена</w:t>
      </w:r>
      <w:proofErr w:type="gramEnd"/>
      <w:r w:rsidRPr="00925302">
        <w:rPr>
          <w:rFonts w:ascii="Arial" w:eastAsia="Verdana" w:hAnsi="Arial" w:cs="Arial"/>
          <w:sz w:val="20"/>
          <w:szCs w:val="20"/>
        </w:rPr>
        <w:t xml:space="preserve"> архитектура система која доводи до отежаног одржавања и недоследности података.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Изазови у пословању:</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1. </w:t>
      </w:r>
      <w:proofErr w:type="gramStart"/>
      <w:r w:rsidRPr="00925302">
        <w:rPr>
          <w:rFonts w:ascii="Arial" w:eastAsia="Verdana" w:hAnsi="Arial" w:cs="Arial"/>
          <w:sz w:val="20"/>
          <w:szCs w:val="20"/>
        </w:rPr>
        <w:t>отежано</w:t>
      </w:r>
      <w:proofErr w:type="gramEnd"/>
      <w:r w:rsidRPr="00925302">
        <w:rPr>
          <w:rFonts w:ascii="Arial" w:eastAsia="Verdana" w:hAnsi="Arial" w:cs="Arial"/>
          <w:sz w:val="20"/>
          <w:szCs w:val="20"/>
        </w:rPr>
        <w:t xml:space="preserve"> прилагођавање новим прописима и пословним потребама.</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2.2. Визија ИКТ</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Оснаживање нашег тима за царинске сервисе нове генерације савременим, прилагодљивим ИТ системом којим се обезбеђује усклађеност са прописима, једноставније обављање садашњих операција и испуњење будућих захтева Царинске уније ЕУ.</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2.3. ИКТ мисија</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Примена иновативних технологија у циљу стварања безбедног, брзог и интегрисаног ИТ окружења које оснажује наш тим за царинске сервисе, промовише поштовање прописа, оптимизује текуће процесе и врши припрему за беспрекорно прилагођавање будућим прописима Царинске уније ЕУ.</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2.4. Порекло ИТ стратегије УЦ</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Заједно са промоцијом беспапирног окружења од стране Европске комисије, УЦ почиње да усваја своју ИКТ стратегију како би подржала ову визију и окружење које се стално мења.</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Најновија верзија ИТ стратегије је усклађена са актуелним приоритетима Европске комисије, јер предвиђа неколико акционих планова: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развој</w:t>
      </w:r>
      <w:proofErr w:type="gramEnd"/>
      <w:r w:rsidRPr="00925302">
        <w:rPr>
          <w:rFonts w:ascii="Arial" w:eastAsia="Verdana" w:hAnsi="Arial" w:cs="Arial"/>
          <w:sz w:val="20"/>
          <w:szCs w:val="20"/>
        </w:rPr>
        <w:t xml:space="preserve"> модерног, интегрисаног и кохерентног информационог система;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промовисање</w:t>
      </w:r>
      <w:proofErr w:type="gramEnd"/>
      <w:r w:rsidRPr="00925302">
        <w:rPr>
          <w:rFonts w:ascii="Arial" w:eastAsia="Verdana" w:hAnsi="Arial" w:cs="Arial"/>
          <w:sz w:val="20"/>
          <w:szCs w:val="20"/>
        </w:rPr>
        <w:t xml:space="preserve"> даље модернизације УЦ у свим пословним процесима, обухватајући и оне који нису покренути ЕУ интеграцијама;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унапређење</w:t>
      </w:r>
      <w:proofErr w:type="gramEnd"/>
      <w:r w:rsidRPr="00925302">
        <w:rPr>
          <w:rFonts w:ascii="Arial" w:eastAsia="Verdana" w:hAnsi="Arial" w:cs="Arial"/>
          <w:sz w:val="20"/>
          <w:szCs w:val="20"/>
        </w:rPr>
        <w:t xml:space="preserve"> ИТ подршке пословних процеса УЦ и спољних корисника;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ажурирање</w:t>
      </w:r>
      <w:proofErr w:type="gramEnd"/>
      <w:r w:rsidRPr="00925302">
        <w:rPr>
          <w:rFonts w:ascii="Arial" w:eastAsia="Verdana" w:hAnsi="Arial" w:cs="Arial"/>
          <w:sz w:val="20"/>
          <w:szCs w:val="20"/>
        </w:rPr>
        <w:t xml:space="preserve"> стратешких ИТ докумената, пратећег законског оквира и политика безбедности;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побољшање</w:t>
      </w:r>
      <w:proofErr w:type="gramEnd"/>
      <w:r w:rsidRPr="00925302">
        <w:rPr>
          <w:rFonts w:ascii="Arial" w:eastAsia="Verdana" w:hAnsi="Arial" w:cs="Arial"/>
          <w:sz w:val="20"/>
          <w:szCs w:val="20"/>
        </w:rPr>
        <w:t xml:space="preserve"> ИТ вештина и задржавање ИТ особља.</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ИТ стратегија УЦ представља стратешку иницијативу за трансформацију сопственог информационог система из власничке платформе у проверено, лако доступно решење које се састоји од вишенаменских, високоефикасних, отворених и стандардизованих компоненти.</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2.5. Кључни циљеви ИКТ стратегије УЦ</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Пословни план за унапређење организације и рада царинске службе Министарства финансија за период 2025–2029.</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године</w:t>
      </w:r>
      <w:proofErr w:type="gramEnd"/>
      <w:r w:rsidRPr="00925302">
        <w:rPr>
          <w:rFonts w:ascii="Arial" w:eastAsia="Verdana" w:hAnsi="Arial" w:cs="Arial"/>
          <w:sz w:val="20"/>
          <w:szCs w:val="20"/>
        </w:rPr>
        <w:t xml:space="preserve">, који је усвојен Закључком Владе 05 Број 021-11342/2025 од 24. </w:t>
      </w:r>
      <w:proofErr w:type="gramStart"/>
      <w:r w:rsidRPr="00925302">
        <w:rPr>
          <w:rFonts w:ascii="Arial" w:eastAsia="Verdana" w:hAnsi="Arial" w:cs="Arial"/>
          <w:sz w:val="20"/>
          <w:szCs w:val="20"/>
        </w:rPr>
        <w:t>октобра</w:t>
      </w:r>
      <w:proofErr w:type="gramEnd"/>
      <w:r w:rsidRPr="00925302">
        <w:rPr>
          <w:rFonts w:ascii="Arial" w:eastAsia="Verdana" w:hAnsi="Arial" w:cs="Arial"/>
          <w:sz w:val="20"/>
          <w:szCs w:val="20"/>
        </w:rPr>
        <w:t xml:space="preserve"> 2025. </w:t>
      </w:r>
      <w:proofErr w:type="gramStart"/>
      <w:r w:rsidRPr="00925302">
        <w:rPr>
          <w:rFonts w:ascii="Arial" w:eastAsia="Verdana" w:hAnsi="Arial" w:cs="Arial"/>
          <w:sz w:val="20"/>
          <w:szCs w:val="20"/>
        </w:rPr>
        <w:t>године</w:t>
      </w:r>
      <w:proofErr w:type="gramEnd"/>
      <w:r w:rsidRPr="00925302">
        <w:rPr>
          <w:rFonts w:ascii="Arial" w:eastAsia="Verdana" w:hAnsi="Arial" w:cs="Arial"/>
          <w:sz w:val="20"/>
          <w:szCs w:val="20"/>
        </w:rPr>
        <w:t xml:space="preserve"> и објављен у „Службеном гласнику РС”, број 94/25 од 30. </w:t>
      </w:r>
      <w:proofErr w:type="gramStart"/>
      <w:r w:rsidRPr="00925302">
        <w:rPr>
          <w:rFonts w:ascii="Arial" w:eastAsia="Verdana" w:hAnsi="Arial" w:cs="Arial"/>
          <w:sz w:val="20"/>
          <w:szCs w:val="20"/>
        </w:rPr>
        <w:t>октобра</w:t>
      </w:r>
      <w:proofErr w:type="gramEnd"/>
      <w:r w:rsidRPr="00925302">
        <w:rPr>
          <w:rFonts w:ascii="Arial" w:eastAsia="Verdana" w:hAnsi="Arial" w:cs="Arial"/>
          <w:sz w:val="20"/>
          <w:szCs w:val="20"/>
        </w:rPr>
        <w:t xml:space="preserve"> 2025. </w:t>
      </w:r>
      <w:proofErr w:type="gramStart"/>
      <w:r w:rsidRPr="00925302">
        <w:rPr>
          <w:rFonts w:ascii="Arial" w:eastAsia="Verdana" w:hAnsi="Arial" w:cs="Arial"/>
          <w:sz w:val="20"/>
          <w:szCs w:val="20"/>
        </w:rPr>
        <w:t>године</w:t>
      </w:r>
      <w:proofErr w:type="gramEnd"/>
      <w:r w:rsidRPr="00925302">
        <w:rPr>
          <w:rFonts w:ascii="Arial" w:eastAsia="Verdana" w:hAnsi="Arial" w:cs="Arial"/>
          <w:sz w:val="20"/>
          <w:szCs w:val="20"/>
        </w:rPr>
        <w:t>, у седмом поглављу: Стратешки циљеви, као главне циљеве пословне стратегије УЦ дефинише: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1. Олакшање трговине кроз унапређење ефикасности и транспарентности царинског система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2. Унапређење и развој људских ресурса и услова рада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3. Јачање безбедносне функције Управе царина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4. Интеграција у ЕУ и даље јачање регионалне и међународне сарадње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Да би се испунили горе наведени стратешки циљеви, потребно је дефинисати кључне циљеве у оквиру </w:t>
      </w:r>
      <w:r w:rsidRPr="00925302">
        <w:rPr>
          <w:rFonts w:ascii="Arial" w:eastAsia="Verdana" w:hAnsi="Arial" w:cs="Arial"/>
          <w:sz w:val="20"/>
          <w:szCs w:val="20"/>
        </w:rPr>
        <w:lastRenderedPageBreak/>
        <w:t>царинске службе, и то:</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1. Развој савременог, интегрисаног и усклађеног информационог система УЦ коришћењем приступа сервисно оријентисане архитектуре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2. Спровођење дигиталне трансформације УЦ имплементацијом модерног ИТ система у свим областима пословања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3. Унапређење ИТ инфраструктуре у циљу оптимизације царинских процеса и искуства корисника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4. Ажурирање стратешких докумената ИТ, којима се подржава законски оквир</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5. Унапређење вештина ИT, привлачење и задржавање особља ИТ</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На основу циљева, задатака и претходних трендова из овог поглавља можемо утврдити које су то кључне стратешке иницијативе које ће значајно допринети остварењу циљева: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1. </w:t>
      </w:r>
      <w:proofErr w:type="gramStart"/>
      <w:r w:rsidRPr="00925302">
        <w:rPr>
          <w:rFonts w:ascii="Arial" w:eastAsia="Verdana" w:hAnsi="Arial" w:cs="Arial"/>
          <w:b/>
          <w:sz w:val="20"/>
          <w:szCs w:val="20"/>
        </w:rPr>
        <w:t>процена</w:t>
      </w:r>
      <w:proofErr w:type="gramEnd"/>
      <w:r w:rsidRPr="00925302">
        <w:rPr>
          <w:rFonts w:ascii="Arial" w:eastAsia="Verdana" w:hAnsi="Arial" w:cs="Arial"/>
          <w:b/>
          <w:sz w:val="20"/>
          <w:szCs w:val="20"/>
        </w:rPr>
        <w:t xml:space="preserve"> прекида пословања: </w:t>
      </w:r>
      <w:r w:rsidRPr="00925302">
        <w:rPr>
          <w:rFonts w:ascii="Arial" w:eastAsia="Verdana" w:hAnsi="Arial" w:cs="Arial"/>
          <w:sz w:val="20"/>
          <w:szCs w:val="20"/>
        </w:rPr>
        <w:t>процена могућег утицаја прекида на основне пословне процесе и повезане ИТ сервисе, закључење уговора о нивоу услуга (SLA) и успостављање плана подршке 24x7 (24 сата, седам дана у недељи);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2. </w:t>
      </w:r>
      <w:proofErr w:type="gramStart"/>
      <w:r w:rsidRPr="00925302">
        <w:rPr>
          <w:rFonts w:ascii="Arial" w:eastAsia="Verdana" w:hAnsi="Arial" w:cs="Arial"/>
          <w:b/>
          <w:sz w:val="20"/>
          <w:szCs w:val="20"/>
        </w:rPr>
        <w:t>модернизација</w:t>
      </w:r>
      <w:proofErr w:type="gramEnd"/>
      <w:r w:rsidRPr="00925302">
        <w:rPr>
          <w:rFonts w:ascii="Arial" w:eastAsia="Verdana" w:hAnsi="Arial" w:cs="Arial"/>
          <w:b/>
          <w:sz w:val="20"/>
          <w:szCs w:val="20"/>
        </w:rPr>
        <w:t xml:space="preserve"> инфраструктуре ИКТ: </w:t>
      </w:r>
      <w:r w:rsidRPr="00925302">
        <w:rPr>
          <w:rFonts w:ascii="Arial" w:eastAsia="Verdana" w:hAnsi="Arial" w:cs="Arial"/>
          <w:sz w:val="20"/>
          <w:szCs w:val="20"/>
        </w:rPr>
        <w:t>надоградња инфраструктуре ИКТ УЦ ради обезбеђења даљинског приступа, побољшања ефикасности и безбедности и унапређења средстава комуникације за крајње кориснике;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3. </w:t>
      </w:r>
      <w:proofErr w:type="gramStart"/>
      <w:r w:rsidRPr="00925302">
        <w:rPr>
          <w:rFonts w:ascii="Arial" w:eastAsia="Verdana" w:hAnsi="Arial" w:cs="Arial"/>
          <w:b/>
          <w:sz w:val="20"/>
          <w:szCs w:val="20"/>
        </w:rPr>
        <w:t>пуштање</w:t>
      </w:r>
      <w:proofErr w:type="gramEnd"/>
      <w:r w:rsidRPr="00925302">
        <w:rPr>
          <w:rFonts w:ascii="Arial" w:eastAsia="Verdana" w:hAnsi="Arial" w:cs="Arial"/>
          <w:b/>
          <w:sz w:val="20"/>
          <w:szCs w:val="20"/>
        </w:rPr>
        <w:t xml:space="preserve"> основних апликација у рад: </w:t>
      </w:r>
      <w:r w:rsidRPr="00925302">
        <w:rPr>
          <w:rFonts w:ascii="Arial" w:eastAsia="Verdana" w:hAnsi="Arial" w:cs="Arial"/>
          <w:sz w:val="20"/>
          <w:szCs w:val="20"/>
        </w:rPr>
        <w:t>обезбеђивање благовременог пуштања висококвалитетних, интегрисаних и оперативних основних апликација у рад, заједно са свим зависним сервисима. Миграција свих сервиса на нову платформу, интеграција са централизованим сервисом директоријума корисника и подржавање приступа заснованог на улогама и иницијативе ограниченог права приступа;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4. </w:t>
      </w:r>
      <w:proofErr w:type="gramStart"/>
      <w:r w:rsidRPr="00925302">
        <w:rPr>
          <w:rFonts w:ascii="Arial" w:eastAsia="Verdana" w:hAnsi="Arial" w:cs="Arial"/>
          <w:b/>
          <w:sz w:val="20"/>
          <w:szCs w:val="20"/>
        </w:rPr>
        <w:t>проучавање</w:t>
      </w:r>
      <w:proofErr w:type="gramEnd"/>
      <w:r w:rsidRPr="00925302">
        <w:rPr>
          <w:rFonts w:ascii="Arial" w:eastAsia="Verdana" w:hAnsi="Arial" w:cs="Arial"/>
          <w:b/>
          <w:sz w:val="20"/>
          <w:szCs w:val="20"/>
        </w:rPr>
        <w:t xml:space="preserve"> методологија за стварање отпорности на будуће догађаје:</w:t>
      </w:r>
      <w:r w:rsidRPr="00925302">
        <w:rPr>
          <w:rFonts w:ascii="Arial" w:eastAsia="Verdana" w:hAnsi="Arial" w:cs="Arial"/>
          <w:sz w:val="20"/>
          <w:szCs w:val="20"/>
        </w:rPr>
        <w:t xml:space="preserve"> активно проучавање методологија за стварање отпорности на будуће догађаје, развој и оперативне приступе у циљу обезбеђења дугорочног успеха;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5. </w:t>
      </w:r>
      <w:proofErr w:type="gramStart"/>
      <w:r w:rsidRPr="00925302">
        <w:rPr>
          <w:rFonts w:ascii="Arial" w:eastAsia="Verdana" w:hAnsi="Arial" w:cs="Arial"/>
          <w:b/>
          <w:sz w:val="20"/>
          <w:szCs w:val="20"/>
        </w:rPr>
        <w:t>стављање</w:t>
      </w:r>
      <w:proofErr w:type="gramEnd"/>
      <w:r w:rsidRPr="00925302">
        <w:rPr>
          <w:rFonts w:ascii="Arial" w:eastAsia="Verdana" w:hAnsi="Arial" w:cs="Arial"/>
          <w:b/>
          <w:sz w:val="20"/>
          <w:szCs w:val="20"/>
        </w:rPr>
        <w:t xml:space="preserve"> застарелих система ван употребе: </w:t>
      </w:r>
      <w:r w:rsidRPr="00925302">
        <w:rPr>
          <w:rFonts w:ascii="Arial" w:eastAsia="Verdana" w:hAnsi="Arial" w:cs="Arial"/>
          <w:sz w:val="20"/>
          <w:szCs w:val="20"/>
        </w:rPr>
        <w:t>стављање система са застарелом инфраструктуром и свих повезаних компоненти ван употребе;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6. </w:t>
      </w:r>
      <w:proofErr w:type="gramStart"/>
      <w:r w:rsidRPr="00925302">
        <w:rPr>
          <w:rFonts w:ascii="Arial" w:eastAsia="Verdana" w:hAnsi="Arial" w:cs="Arial"/>
          <w:b/>
          <w:sz w:val="20"/>
          <w:szCs w:val="20"/>
        </w:rPr>
        <w:t>одговор</w:t>
      </w:r>
      <w:proofErr w:type="gramEnd"/>
      <w:r w:rsidRPr="00925302">
        <w:rPr>
          <w:rFonts w:ascii="Arial" w:eastAsia="Verdana" w:hAnsi="Arial" w:cs="Arial"/>
          <w:b/>
          <w:sz w:val="20"/>
          <w:szCs w:val="20"/>
        </w:rPr>
        <w:t xml:space="preserve"> на потражњу за развојем апликација:</w:t>
      </w:r>
      <w:r w:rsidRPr="00925302">
        <w:rPr>
          <w:rFonts w:ascii="Arial" w:eastAsia="Verdana" w:hAnsi="Arial" w:cs="Arial"/>
          <w:sz w:val="20"/>
          <w:szCs w:val="20"/>
        </w:rPr>
        <w:t xml:space="preserve"> проактивно решавање повећане потражње за развојем, имплементацијом, операцијама и подршком апликација проширењем тима за ИКТ у организацији или стратешко ангажовање спољних сарадника за одређене области;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7. </w:t>
      </w:r>
      <w:proofErr w:type="gramStart"/>
      <w:r w:rsidRPr="00925302">
        <w:rPr>
          <w:rFonts w:ascii="Arial" w:eastAsia="Verdana" w:hAnsi="Arial" w:cs="Arial"/>
          <w:b/>
          <w:sz w:val="20"/>
          <w:szCs w:val="20"/>
        </w:rPr>
        <w:t>повећање</w:t>
      </w:r>
      <w:proofErr w:type="gramEnd"/>
      <w:r w:rsidRPr="00925302">
        <w:rPr>
          <w:rFonts w:ascii="Arial" w:eastAsia="Verdana" w:hAnsi="Arial" w:cs="Arial"/>
          <w:b/>
          <w:sz w:val="20"/>
          <w:szCs w:val="20"/>
        </w:rPr>
        <w:t xml:space="preserve"> способности ИТ особља:</w:t>
      </w:r>
      <w:r w:rsidRPr="00925302">
        <w:rPr>
          <w:rFonts w:ascii="Arial" w:eastAsia="Verdana" w:hAnsi="Arial" w:cs="Arial"/>
          <w:sz w:val="20"/>
          <w:szCs w:val="20"/>
        </w:rPr>
        <w:t xml:space="preserve"> дефинисање иницијатива за повећање способности ИТ особља, фокусирајући се на кључне таленте и разумно проширење капацитета. Обезбеђење конкурентног радног окружења, конкурентних плата на тржишту и дугорочних уговора;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8. </w:t>
      </w:r>
      <w:proofErr w:type="gramStart"/>
      <w:r w:rsidRPr="00925302">
        <w:rPr>
          <w:rFonts w:ascii="Arial" w:eastAsia="Verdana" w:hAnsi="Arial" w:cs="Arial"/>
          <w:b/>
          <w:sz w:val="20"/>
          <w:szCs w:val="20"/>
        </w:rPr>
        <w:t>покретање</w:t>
      </w:r>
      <w:proofErr w:type="gramEnd"/>
      <w:r w:rsidRPr="00925302">
        <w:rPr>
          <w:rFonts w:ascii="Arial" w:eastAsia="Verdana" w:hAnsi="Arial" w:cs="Arial"/>
          <w:b/>
          <w:sz w:val="20"/>
          <w:szCs w:val="20"/>
        </w:rPr>
        <w:t xml:space="preserve"> програма стручног усавршавања и подизања свести:</w:t>
      </w:r>
      <w:r w:rsidRPr="00925302">
        <w:rPr>
          <w:rFonts w:ascii="Arial" w:eastAsia="Verdana" w:hAnsi="Arial" w:cs="Arial"/>
          <w:sz w:val="20"/>
          <w:szCs w:val="20"/>
        </w:rPr>
        <w:t xml:space="preserve"> покретање програма стручног усавршавања и подизања свести за све запослене, са фокусом на ИТ особље. Утврђивање обавезних тема о којима је потребно подићи свест свих запослених и путања стручног усавршавања прилагођених ИТ особљу;</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9. </w:t>
      </w:r>
      <w:proofErr w:type="gramStart"/>
      <w:r w:rsidRPr="00925302">
        <w:rPr>
          <w:rFonts w:ascii="Arial" w:eastAsia="Verdana" w:hAnsi="Arial" w:cs="Arial"/>
          <w:b/>
          <w:sz w:val="20"/>
          <w:szCs w:val="20"/>
        </w:rPr>
        <w:t>модернизација</w:t>
      </w:r>
      <w:proofErr w:type="gramEnd"/>
      <w:r w:rsidRPr="00925302">
        <w:rPr>
          <w:rFonts w:ascii="Arial" w:eastAsia="Verdana" w:hAnsi="Arial" w:cs="Arial"/>
          <w:b/>
          <w:sz w:val="20"/>
          <w:szCs w:val="20"/>
        </w:rPr>
        <w:t xml:space="preserve"> размене података: </w:t>
      </w:r>
      <w:r w:rsidRPr="00925302">
        <w:rPr>
          <w:rFonts w:ascii="Arial" w:eastAsia="Verdana" w:hAnsi="Arial" w:cs="Arial"/>
          <w:sz w:val="20"/>
          <w:szCs w:val="20"/>
        </w:rPr>
        <w:t>модернизација свих размена података са другим установама њиховим преласком на безбедне телекомуникационе канале у реалном времену у складу са уредбама Европске комисије. На тај начин ће се повећати ефикасност, као и безбедност података и подржати модернизација размене података са другим установама, како на државном, тако и на међународном нивоу;</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10. </w:t>
      </w:r>
      <w:proofErr w:type="gramStart"/>
      <w:r w:rsidRPr="00925302">
        <w:rPr>
          <w:rFonts w:ascii="Arial" w:eastAsia="Verdana" w:hAnsi="Arial" w:cs="Arial"/>
          <w:b/>
          <w:sz w:val="20"/>
          <w:szCs w:val="20"/>
        </w:rPr>
        <w:t>утврђивање</w:t>
      </w:r>
      <w:proofErr w:type="gramEnd"/>
      <w:r w:rsidRPr="00925302">
        <w:rPr>
          <w:rFonts w:ascii="Arial" w:eastAsia="Verdana" w:hAnsi="Arial" w:cs="Arial"/>
          <w:b/>
          <w:sz w:val="20"/>
          <w:szCs w:val="20"/>
        </w:rPr>
        <w:t xml:space="preserve"> захтева у вези са центрима података:</w:t>
      </w:r>
      <w:r w:rsidRPr="00925302">
        <w:rPr>
          <w:rFonts w:ascii="Arial" w:eastAsia="Verdana" w:hAnsi="Arial" w:cs="Arial"/>
          <w:sz w:val="20"/>
          <w:szCs w:val="20"/>
        </w:rPr>
        <w:t xml:space="preserve"> утврђивање захтева у вези са центрима података у циљу испуњења високих захтева центара података организација и успостављање редундантног центра података за одржавање високе доступности. </w:t>
      </w:r>
      <w:proofErr w:type="gramStart"/>
      <w:r w:rsidRPr="00925302">
        <w:rPr>
          <w:rFonts w:ascii="Arial" w:eastAsia="Verdana" w:hAnsi="Arial" w:cs="Arial"/>
          <w:sz w:val="20"/>
          <w:szCs w:val="20"/>
        </w:rPr>
        <w:t>Доношење одлука у складу са анализом заснованом на ризицима и интерним SLA.</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 xml:space="preserve">Спровођење плана континуитета пословања (BCP) и процедуре за опоравак од </w:t>
      </w:r>
      <w:r w:rsidRPr="00925302">
        <w:rPr>
          <w:rFonts w:ascii="Arial" w:eastAsia="Verdana" w:hAnsi="Arial" w:cs="Arial"/>
          <w:sz w:val="20"/>
          <w:szCs w:val="20"/>
        </w:rPr>
        <w:lastRenderedPageBreak/>
        <w:t>хаваријских ситуација (DRP) као би се обезбедило испуњење обавеза менаџерског врха и заштитиле основне операције.</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2.6. Трендови ИКТ у ЕУ</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Царина представља област која се стално усавршава услед брзог развоја информационе технологије и динамичне природе потреба пословања на глобалном нивоу.</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Ови изазови повећавају потражњу за светским иновативним ИТ решењима која обезбеђују бољу сарадњу и дељење информација.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Шири програм дигитализације чијој реализацији тежи Европска комисија, а нарочито DG TAXUD са почетка две хиљадитих година, заговара ново, једноставније беспапирно окружење за царину и трговину.</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За потребе остварења овог циља развијен је Вишегодишњи стратешки план за царину (MASP-C) у складу са чланом 8.</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став</w:t>
      </w:r>
      <w:proofErr w:type="gramEnd"/>
      <w:r w:rsidRPr="00925302">
        <w:rPr>
          <w:rFonts w:ascii="Arial" w:eastAsia="Verdana" w:hAnsi="Arial" w:cs="Arial"/>
          <w:sz w:val="20"/>
          <w:szCs w:val="20"/>
        </w:rPr>
        <w:t xml:space="preserve"> 2. </w:t>
      </w:r>
      <w:proofErr w:type="gramStart"/>
      <w:r w:rsidRPr="00925302">
        <w:rPr>
          <w:rFonts w:ascii="Arial" w:eastAsia="Verdana" w:hAnsi="Arial" w:cs="Arial"/>
          <w:sz w:val="20"/>
          <w:szCs w:val="20"/>
        </w:rPr>
        <w:t>Одлуке е-Царина</w:t>
      </w:r>
      <w:r w:rsidRPr="00925302">
        <w:rPr>
          <w:rFonts w:ascii="Arial" w:eastAsia="Verdana" w:hAnsi="Arial" w:cs="Arial"/>
          <w:sz w:val="20"/>
          <w:szCs w:val="20"/>
          <w:vertAlign w:val="superscript"/>
        </w:rPr>
        <w:t>1</w:t>
      </w:r>
      <w:r w:rsidRPr="00925302">
        <w:rPr>
          <w:rFonts w:ascii="Arial" w:eastAsia="Verdana" w:hAnsi="Arial" w:cs="Arial"/>
          <w:sz w:val="20"/>
          <w:szCs w:val="20"/>
        </w:rPr>
        <w:t xml:space="preserve"> у којем су наведени приоритети DG TAXUD и стратешки правац координације и праћења свих ИТ активности и захтева планирања у електронској царини.</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 MASP су дефинисани потребни инструменти за управљање, планирање и опште управљање законским, пословним и ИТ техничким аспектима нових ИТ пројеката царине.</w:t>
      </w:r>
      <w:proofErr w:type="gramEnd"/>
      <w:r w:rsidRPr="00925302">
        <w:rPr>
          <w:rFonts w:ascii="Arial" w:eastAsia="Verdana" w:hAnsi="Arial" w:cs="Arial"/>
          <w:sz w:val="20"/>
          <w:szCs w:val="20"/>
        </w:rPr>
        <w:t xml:space="preserve"> Према плану, Европска комисија тежи модернизацији ИТ сервиса испоручених свакој земљи чланици и интерним заинтересованим странама, а у свим правцима: ИТ управљање, ИТ архитектура, континуитет ИТ сервиса, развој брзог софтвера, безбедност и рад.</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Европска комисија је наставила да се активно бави оптимизацијом правног оквира и процедура царине што је кулминирало усвајањем Царинског закона Уније (UCC) 2013.</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године</w:t>
      </w:r>
      <w:proofErr w:type="gramEnd"/>
      <w:r w:rsidRPr="00925302">
        <w:rPr>
          <w:rFonts w:ascii="Arial" w:eastAsia="Verdana" w:hAnsi="Arial" w:cs="Arial"/>
          <w:sz w:val="20"/>
          <w:szCs w:val="20"/>
        </w:rPr>
        <w:t xml:space="preserve"> (Уредба (ЕУ) број 952/2013). </w:t>
      </w:r>
      <w:proofErr w:type="gramStart"/>
      <w:r w:rsidRPr="00925302">
        <w:rPr>
          <w:rFonts w:ascii="Arial" w:eastAsia="Verdana" w:hAnsi="Arial" w:cs="Arial"/>
          <w:sz w:val="20"/>
          <w:szCs w:val="20"/>
        </w:rPr>
        <w:t>Исти чини саставни део процеса модернизације царина и представља нови оквир царинских правила и процедура у целој ЕУ.</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Коришћење техника електронске обраде података и електронских система ће допринети примени UCC.</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 циљу пружања подршке развоју електронских система усвојена је Имплементирајућа одлука Комисије о успостављању програма рада на основу Царинског закона Уније</w:t>
      </w:r>
      <w:r w:rsidRPr="00925302">
        <w:rPr>
          <w:rFonts w:ascii="Arial" w:eastAsia="Verdana" w:hAnsi="Arial" w:cs="Arial"/>
          <w:sz w:val="20"/>
          <w:szCs w:val="20"/>
          <w:vertAlign w:val="superscript"/>
        </w:rPr>
        <w:t>2</w:t>
      </w:r>
      <w:r w:rsidRPr="00925302">
        <w:rPr>
          <w:rFonts w:ascii="Arial" w:eastAsia="Verdana" w:hAnsi="Arial" w:cs="Arial"/>
          <w:sz w:val="20"/>
          <w:szCs w:val="20"/>
        </w:rPr>
        <w:t>, којом се такође утврђују рокови за увођење потребних електронских система према UCC.</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 Извештају за 2023.</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годину</w:t>
      </w:r>
      <w:proofErr w:type="gramEnd"/>
      <w:r w:rsidRPr="00925302">
        <w:rPr>
          <w:rFonts w:ascii="Arial" w:eastAsia="Verdana" w:hAnsi="Arial" w:cs="Arial"/>
          <w:sz w:val="20"/>
          <w:szCs w:val="20"/>
        </w:rPr>
        <w:t xml:space="preserve"> о напредовању Србије (од 11. новембра 2023. године), ЕУ је у вези са Поглављем 29, Царинска унија, навела:</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„Србија је добро припремљена из области Царинске уније.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Мањи напредак је остварен усвајањем додатних измена постојећих прописа у циљу даљег усклађивања са правним тековинама ЕУ.</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Нема никаквог напретка по питању прошлогодишњих препорука, које због тога и даље важе.</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i/>
          <w:sz w:val="20"/>
          <w:szCs w:val="20"/>
        </w:rPr>
        <w:t>У предстојећој години Србија треба нарочито да: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даље</w:t>
      </w:r>
      <w:proofErr w:type="gramEnd"/>
      <w:r w:rsidRPr="00925302">
        <w:rPr>
          <w:rFonts w:ascii="Arial" w:eastAsia="Verdana" w:hAnsi="Arial" w:cs="Arial"/>
          <w:sz w:val="20"/>
          <w:szCs w:val="20"/>
        </w:rPr>
        <w:t xml:space="preserve"> надограђује царински систем обраде путем интеграције управљања ризицима и</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i/>
          <w:sz w:val="20"/>
          <w:szCs w:val="20"/>
        </w:rPr>
        <w:t>– даље развија национални царински ИТ систем како би се омогућила интеграција са системима ЕУ.”</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 Извештају за 2024.</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годину</w:t>
      </w:r>
      <w:proofErr w:type="gramEnd"/>
      <w:r w:rsidRPr="00925302">
        <w:rPr>
          <w:rFonts w:ascii="Arial" w:eastAsia="Verdana" w:hAnsi="Arial" w:cs="Arial"/>
          <w:sz w:val="20"/>
          <w:szCs w:val="20"/>
        </w:rPr>
        <w:t xml:space="preserve"> о напредовању Србије (од 30. октобра 2024. године), ЕУ је у вези са Поглављем 29, Царинска унија, навела:</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„Србија је остварила добар ниво припремљености у области царинске уније.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Остварен је известан напредак усвајањем измена и допуна постојећег законодавства, што је за циљ имало његово даље усклађивање са правним тековинама ЕУ и спровођење Протокола о елиминацији незаконите трговине дуванским производима.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Србија је потписница Конвенције о заједничком транзитном поступку и успешно је покренула нови компјутеризовани транзитни поступак (NCTS – фаза 5).</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Прошлогодишње препоруке Комисије су делимично спроведене и стога остају на снази.</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i/>
          <w:sz w:val="20"/>
          <w:szCs w:val="20"/>
        </w:rPr>
        <w:t xml:space="preserve">У наредној години Србија треба нарочито да: </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додатно</w:t>
      </w:r>
      <w:proofErr w:type="gramEnd"/>
      <w:r w:rsidRPr="00925302">
        <w:rPr>
          <w:rFonts w:ascii="Arial" w:eastAsia="Verdana" w:hAnsi="Arial" w:cs="Arial"/>
          <w:sz w:val="20"/>
          <w:szCs w:val="20"/>
        </w:rPr>
        <w:t xml:space="preserve"> надогради царински систем за обраду интегрисањем управљања ризиком;</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i/>
          <w:sz w:val="20"/>
          <w:szCs w:val="20"/>
        </w:rPr>
        <w:t>– додатно развије и ИТ систем националних царинских служби како би се омогућило међусобно повезивање и интероперабилност са електронским царинским окружењем ЕУ.”</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lastRenderedPageBreak/>
        <w:t>У Извештају за 2025.</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годину</w:t>
      </w:r>
      <w:proofErr w:type="gramEnd"/>
      <w:r w:rsidRPr="00925302">
        <w:rPr>
          <w:rFonts w:ascii="Arial" w:eastAsia="Verdana" w:hAnsi="Arial" w:cs="Arial"/>
          <w:sz w:val="20"/>
          <w:szCs w:val="20"/>
        </w:rPr>
        <w:t xml:space="preserve"> о напредовању Србије (од 4. новембра 2025. године), је наведено:</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i/>
          <w:sz w:val="20"/>
          <w:szCs w:val="20"/>
        </w:rPr>
        <w:t>„</w:t>
      </w:r>
      <w:r w:rsidRPr="00925302">
        <w:rPr>
          <w:rFonts w:ascii="Arial" w:eastAsia="Verdana" w:hAnsi="Arial" w:cs="Arial"/>
          <w:sz w:val="20"/>
          <w:szCs w:val="20"/>
        </w:rPr>
        <w:t>Србија је остварила добар ниво припремљености у области царинске уније.</w:t>
      </w:r>
      <w:proofErr w:type="gramEnd"/>
      <w:r w:rsidRPr="00925302">
        <w:rPr>
          <w:rFonts w:ascii="Arial" w:eastAsia="Verdana" w:hAnsi="Arial" w:cs="Arial"/>
          <w:i/>
          <w:sz w:val="20"/>
          <w:szCs w:val="20"/>
        </w:rPr>
        <w:t xml:space="preserve"> </w:t>
      </w:r>
      <w:proofErr w:type="gramStart"/>
      <w:r w:rsidRPr="00925302">
        <w:rPr>
          <w:rFonts w:ascii="Arial" w:eastAsia="Verdana" w:hAnsi="Arial" w:cs="Arial"/>
          <w:i/>
          <w:sz w:val="20"/>
          <w:szCs w:val="20"/>
        </w:rPr>
        <w:t xml:space="preserve">Остварила је ограничен напредак, нарочито </w:t>
      </w:r>
      <w:r w:rsidRPr="00925302">
        <w:rPr>
          <w:rFonts w:ascii="Arial" w:eastAsia="Verdana" w:hAnsi="Arial" w:cs="Arial"/>
          <w:sz w:val="20"/>
          <w:szCs w:val="20"/>
        </w:rPr>
        <w:t>усвајањем измена постојећег законодавства, укључујући и подзаконске прописе, у циљу даљег усклађивања са правним тековинама ЕУ, као и</w:t>
      </w:r>
      <w:r w:rsidRPr="00925302">
        <w:rPr>
          <w:rFonts w:ascii="Arial" w:eastAsia="Verdana" w:hAnsi="Arial" w:cs="Arial"/>
          <w:i/>
          <w:sz w:val="20"/>
          <w:szCs w:val="20"/>
        </w:rPr>
        <w:t xml:space="preserve"> делимичне операционализације новог ИТ система за анализу ризика RMS-а.</w:t>
      </w:r>
      <w:proofErr w:type="gramEnd"/>
      <w:r w:rsidRPr="00925302">
        <w:rPr>
          <w:rFonts w:ascii="Arial" w:eastAsia="Verdana" w:hAnsi="Arial" w:cs="Arial"/>
          <w:i/>
          <w:sz w:val="20"/>
          <w:szCs w:val="20"/>
        </w:rPr>
        <w:t xml:space="preserve"> </w:t>
      </w:r>
      <w:proofErr w:type="gramStart"/>
      <w:r w:rsidRPr="00925302">
        <w:rPr>
          <w:rFonts w:ascii="Arial" w:eastAsia="Verdana" w:hAnsi="Arial" w:cs="Arial"/>
          <w:sz w:val="20"/>
          <w:szCs w:val="20"/>
        </w:rPr>
        <w:t>Препоруке Комисије из прошле године спроведене су у ограниченој мери и стога и даље важе.</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i/>
          <w:sz w:val="20"/>
          <w:szCs w:val="20"/>
        </w:rPr>
        <w:t xml:space="preserve">У наредној години Србија нарочито треба да: </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додатно</w:t>
      </w:r>
      <w:proofErr w:type="gramEnd"/>
      <w:r w:rsidRPr="00925302">
        <w:rPr>
          <w:rFonts w:ascii="Arial" w:eastAsia="Verdana" w:hAnsi="Arial" w:cs="Arial"/>
          <w:sz w:val="20"/>
          <w:szCs w:val="20"/>
        </w:rPr>
        <w:t xml:space="preserve"> надогради царински систем за обраду интегрисањем управљања ризиком у све царинске поступке;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i/>
          <w:sz w:val="20"/>
          <w:szCs w:val="20"/>
        </w:rPr>
        <w:t xml:space="preserve">– </w:t>
      </w:r>
      <w:proofErr w:type="gramStart"/>
      <w:r w:rsidRPr="00925302">
        <w:rPr>
          <w:rFonts w:ascii="Arial" w:eastAsia="Verdana" w:hAnsi="Arial" w:cs="Arial"/>
          <w:i/>
          <w:sz w:val="20"/>
          <w:szCs w:val="20"/>
        </w:rPr>
        <w:t>додатно</w:t>
      </w:r>
      <w:proofErr w:type="gramEnd"/>
      <w:r w:rsidRPr="00925302">
        <w:rPr>
          <w:rFonts w:ascii="Arial" w:eastAsia="Verdana" w:hAnsi="Arial" w:cs="Arial"/>
          <w:i/>
          <w:sz w:val="20"/>
          <w:szCs w:val="20"/>
        </w:rPr>
        <w:t xml:space="preserve"> развије и ИТ систем националних царинских служби како би се омогућило међусобно повезивање и интероперабилност са електронским царинским окружењем ЕУ. </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i/>
          <w:sz w:val="20"/>
          <w:szCs w:val="20"/>
        </w:rPr>
        <w:t>– надогради своју националну компоненту новог компјутеризованог транзитног система (NCTS) на Фазу 6.”</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Извештаји имају двоструку сврху: обезбеђује благовремено спровођење покренутих промена и негује културу пружања потпуне подршке управи како би се остварили ови циљеви.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Укратко, кључне ставке будућих активности у вези са ИКТ су:</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што</w:t>
      </w:r>
      <w:proofErr w:type="gramEnd"/>
      <w:r w:rsidRPr="00925302">
        <w:rPr>
          <w:rFonts w:ascii="Arial" w:eastAsia="Verdana" w:hAnsi="Arial" w:cs="Arial"/>
          <w:sz w:val="20"/>
          <w:szCs w:val="20"/>
        </w:rPr>
        <w:t xml:space="preserve"> се тиче законског оквира, Министарствo финансија је задужено за законске активности (усклађивање са UCC је у току);</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проблеми</w:t>
      </w:r>
      <w:proofErr w:type="gramEnd"/>
      <w:r w:rsidRPr="00925302">
        <w:rPr>
          <w:rFonts w:ascii="Arial" w:eastAsia="Verdana" w:hAnsi="Arial" w:cs="Arial"/>
          <w:sz w:val="20"/>
          <w:szCs w:val="20"/>
        </w:rPr>
        <w:t xml:space="preserve"> са развојем и одржавањем морају бити посебно разрађени у ИТ стратегији, укључујући ресурсе, како би се испунили захтеви за улазак у ЕУ;</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стручно</w:t>
      </w:r>
      <w:proofErr w:type="gramEnd"/>
      <w:r w:rsidRPr="00925302">
        <w:rPr>
          <w:rFonts w:ascii="Arial" w:eastAsia="Verdana" w:hAnsi="Arial" w:cs="Arial"/>
          <w:sz w:val="20"/>
          <w:szCs w:val="20"/>
        </w:rPr>
        <w:t xml:space="preserve"> усавршавање и редовно одржавање састанака са DG TAXUD;</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финансијски</w:t>
      </w:r>
      <w:proofErr w:type="gramEnd"/>
      <w:r w:rsidRPr="00925302">
        <w:rPr>
          <w:rFonts w:ascii="Arial" w:eastAsia="Verdana" w:hAnsi="Arial" w:cs="Arial"/>
          <w:sz w:val="20"/>
          <w:szCs w:val="20"/>
        </w:rPr>
        <w:t xml:space="preserve"> аспекти, укључујући буџет за ИКТ и остала финансијска средства за развој;</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надоградња</w:t>
      </w:r>
      <w:proofErr w:type="gramEnd"/>
      <w:r w:rsidRPr="00925302">
        <w:rPr>
          <w:rFonts w:ascii="Arial" w:eastAsia="Verdana" w:hAnsi="Arial" w:cs="Arial"/>
          <w:sz w:val="20"/>
          <w:szCs w:val="20"/>
        </w:rPr>
        <w:t xml:space="preserve"> инфраструктуре ИКТ (комуникација, хардвер, ОС, базе података);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стандарди</w:t>
      </w:r>
      <w:proofErr w:type="gramEnd"/>
      <w:r w:rsidRPr="00925302">
        <w:rPr>
          <w:rFonts w:ascii="Arial" w:eastAsia="Verdana" w:hAnsi="Arial" w:cs="Arial"/>
          <w:sz w:val="20"/>
          <w:szCs w:val="20"/>
        </w:rPr>
        <w:t xml:space="preserve"> управљања пројектима.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i/>
          <w:sz w:val="20"/>
          <w:szCs w:val="20"/>
        </w:rPr>
        <w:t>1 Одлука бр.</w:t>
      </w:r>
      <w:proofErr w:type="gramEnd"/>
      <w:r w:rsidRPr="00925302">
        <w:rPr>
          <w:rFonts w:ascii="Arial" w:eastAsia="Verdana" w:hAnsi="Arial" w:cs="Arial"/>
          <w:i/>
          <w:sz w:val="20"/>
          <w:szCs w:val="20"/>
        </w:rPr>
        <w:t xml:space="preserve"> </w:t>
      </w:r>
      <w:proofErr w:type="gramStart"/>
      <w:r w:rsidRPr="00925302">
        <w:rPr>
          <w:rFonts w:ascii="Arial" w:eastAsia="Verdana" w:hAnsi="Arial" w:cs="Arial"/>
          <w:i/>
          <w:sz w:val="20"/>
          <w:szCs w:val="20"/>
        </w:rPr>
        <w:t>70/2008/EC Европског парламента и Савета о беспапирном окружењу за царину и трговину од 15.</w:t>
      </w:r>
      <w:proofErr w:type="gramEnd"/>
      <w:r w:rsidRPr="00925302">
        <w:rPr>
          <w:rFonts w:ascii="Arial" w:eastAsia="Verdana" w:hAnsi="Arial" w:cs="Arial"/>
          <w:i/>
          <w:sz w:val="20"/>
          <w:szCs w:val="20"/>
        </w:rPr>
        <w:t xml:space="preserve"> </w:t>
      </w:r>
      <w:proofErr w:type="gramStart"/>
      <w:r w:rsidRPr="00925302">
        <w:rPr>
          <w:rFonts w:ascii="Arial" w:eastAsia="Verdana" w:hAnsi="Arial" w:cs="Arial"/>
          <w:i/>
          <w:sz w:val="20"/>
          <w:szCs w:val="20"/>
        </w:rPr>
        <w:t>јануара</w:t>
      </w:r>
      <w:proofErr w:type="gramEnd"/>
      <w:r w:rsidRPr="00925302">
        <w:rPr>
          <w:rFonts w:ascii="Arial" w:eastAsia="Verdana" w:hAnsi="Arial" w:cs="Arial"/>
          <w:i/>
          <w:sz w:val="20"/>
          <w:szCs w:val="20"/>
        </w:rPr>
        <w:t xml:space="preserve"> 2008, OJ L 23, 26.1.2008, стр. </w:t>
      </w:r>
      <w:proofErr w:type="gramStart"/>
      <w:r w:rsidRPr="00925302">
        <w:rPr>
          <w:rFonts w:ascii="Arial" w:eastAsia="Verdana" w:hAnsi="Arial" w:cs="Arial"/>
          <w:i/>
          <w:sz w:val="20"/>
          <w:szCs w:val="20"/>
        </w:rPr>
        <w:t>21–26.</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i/>
          <w:sz w:val="20"/>
          <w:szCs w:val="20"/>
        </w:rPr>
        <w:t>2 Имплементирајућа одлука Комисије (ЕУ) 2023/2879 од 22.</w:t>
      </w:r>
      <w:proofErr w:type="gramEnd"/>
      <w:r w:rsidRPr="00925302">
        <w:rPr>
          <w:rFonts w:ascii="Arial" w:eastAsia="Verdana" w:hAnsi="Arial" w:cs="Arial"/>
          <w:i/>
          <w:sz w:val="20"/>
          <w:szCs w:val="20"/>
        </w:rPr>
        <w:t xml:space="preserve"> </w:t>
      </w:r>
      <w:proofErr w:type="gramStart"/>
      <w:r w:rsidRPr="00925302">
        <w:rPr>
          <w:rFonts w:ascii="Arial" w:eastAsia="Verdana" w:hAnsi="Arial" w:cs="Arial"/>
          <w:i/>
          <w:sz w:val="20"/>
          <w:szCs w:val="20"/>
        </w:rPr>
        <w:t>децембра</w:t>
      </w:r>
      <w:proofErr w:type="gramEnd"/>
      <w:r w:rsidRPr="00925302">
        <w:rPr>
          <w:rFonts w:ascii="Arial" w:eastAsia="Verdana" w:hAnsi="Arial" w:cs="Arial"/>
          <w:i/>
          <w:sz w:val="20"/>
          <w:szCs w:val="20"/>
        </w:rPr>
        <w:t xml:space="preserve"> 2024. </w:t>
      </w:r>
      <w:proofErr w:type="gramStart"/>
      <w:r w:rsidRPr="00925302">
        <w:rPr>
          <w:rFonts w:ascii="Arial" w:eastAsia="Verdana" w:hAnsi="Arial" w:cs="Arial"/>
          <w:i/>
          <w:sz w:val="20"/>
          <w:szCs w:val="20"/>
        </w:rPr>
        <w:t>о</w:t>
      </w:r>
      <w:proofErr w:type="gramEnd"/>
      <w:r w:rsidRPr="00925302">
        <w:rPr>
          <w:rFonts w:ascii="Arial" w:eastAsia="Verdana" w:hAnsi="Arial" w:cs="Arial"/>
          <w:i/>
          <w:sz w:val="20"/>
          <w:szCs w:val="20"/>
        </w:rPr>
        <w:t xml:space="preserve"> успостављању програма рада у вези са развијањем и увођењем електронских система из Царинског закона Уније.</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2.7. Документ афирмације</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Што се тиче документа афирмације (Заједничка позиција Европске уније) ту је наведено да ЕУ подржава Републику Србију у наставку процеса усклађивања и усаглашавања са правним тековинама и њихове ефикасне примене и спровођења, и саопштено да ће Поглавље 29 бити имплементирано до датума приступа ЕУ.</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Дискутује се о темама које се тичу законодавства, царинских поступака, административних и оперативних капацитета и наводе се препоруке.</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sz w:val="20"/>
          <w:szCs w:val="20"/>
        </w:rPr>
        <w:t>3. ОБЛАСТИ И СМЕРНИЦЕ АПЛИКАЦИЈА</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3.1. Контекст и изазови</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УЦ тренутно користи ИСЦС који је у примени већ тридесет година.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Овај систем је развијен у складу са интерним прописима и захтевима, као и директивама Европске уније (ЕУ).</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 ИСЦС се обавља већина пословних процеса УЦ.</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Стална побољшања и надоградња сервиса се имплементирају за постојећи систем обраде царинских декларација и систем управљања царином.</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Циљ ових напора је да се постигне потпуна компјутеризација царинских процедура и успоставе беспрекорне везе са одговарајућим информационим системима ЕУ.</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lastRenderedPageBreak/>
        <w:t>ИСЦС је постао кључна компонента инфраструктуре УЦ, јер обезбеђује основне апликације помоћу којих се обављају основни пословни процеси ИСЦС.</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По препознавању значаја ових процеса неопходно је обезбедити високу доступност, робусну безбедност и отпорност система.</w:t>
      </w:r>
      <w:proofErr w:type="gramEnd"/>
      <w:r w:rsidRPr="00925302">
        <w:rPr>
          <w:rFonts w:ascii="Arial" w:eastAsia="Verdana" w:hAnsi="Arial" w:cs="Arial"/>
          <w:sz w:val="20"/>
          <w:szCs w:val="20"/>
        </w:rPr>
        <w:t xml:space="preserve"> Међутим, садашња власничка и сложена природа решења система ИКТ са собом носи следеће изазове: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дуга</w:t>
      </w:r>
      <w:proofErr w:type="gramEnd"/>
      <w:r w:rsidRPr="00925302">
        <w:rPr>
          <w:rFonts w:ascii="Arial" w:eastAsia="Verdana" w:hAnsi="Arial" w:cs="Arial"/>
          <w:b/>
          <w:sz w:val="20"/>
          <w:szCs w:val="20"/>
        </w:rPr>
        <w:t xml:space="preserve"> имплементација нових апликација:</w:t>
      </w:r>
      <w:r w:rsidRPr="00925302">
        <w:rPr>
          <w:rFonts w:ascii="Arial" w:eastAsia="Verdana" w:hAnsi="Arial" w:cs="Arial"/>
          <w:sz w:val="20"/>
          <w:szCs w:val="20"/>
        </w:rPr>
        <w:t xml:space="preserve"> због власничке природе система развојни циклуси нових апликација дуго трају;</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високи</w:t>
      </w:r>
      <w:proofErr w:type="gramEnd"/>
      <w:r w:rsidRPr="00925302">
        <w:rPr>
          <w:rFonts w:ascii="Arial" w:eastAsia="Verdana" w:hAnsi="Arial" w:cs="Arial"/>
          <w:b/>
          <w:sz w:val="20"/>
          <w:szCs w:val="20"/>
        </w:rPr>
        <w:t xml:space="preserve"> трошкови развоја и одржавања:</w:t>
      </w:r>
      <w:r w:rsidRPr="00925302">
        <w:rPr>
          <w:rFonts w:ascii="Arial" w:eastAsia="Verdana" w:hAnsi="Arial" w:cs="Arial"/>
          <w:sz w:val="20"/>
          <w:szCs w:val="20"/>
        </w:rPr>
        <w:t xml:space="preserve"> због комплексности система трошкови развоја и текућег одржавања су високи;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Као одговор на изазове и за унапређење целокупног рада система ИКТ предложене су следеће иницијативе за побољшања: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побољшана</w:t>
      </w:r>
      <w:proofErr w:type="gramEnd"/>
      <w:r w:rsidRPr="00925302">
        <w:rPr>
          <w:rFonts w:ascii="Arial" w:eastAsia="Verdana" w:hAnsi="Arial" w:cs="Arial"/>
          <w:b/>
          <w:sz w:val="20"/>
          <w:szCs w:val="20"/>
        </w:rPr>
        <w:t xml:space="preserve"> интероперабилност:</w:t>
      </w:r>
      <w:r w:rsidRPr="00925302">
        <w:rPr>
          <w:rFonts w:ascii="Arial" w:eastAsia="Verdana" w:hAnsi="Arial" w:cs="Arial"/>
          <w:sz w:val="20"/>
          <w:szCs w:val="20"/>
        </w:rPr>
        <w:t xml:space="preserve"> промовисање шире доступности и беспрекорне интероперабилности сервиса УЦ са екстерним системима, а нарочито са системима Европске комисије;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слаба</w:t>
      </w:r>
      <w:proofErr w:type="gramEnd"/>
      <w:r w:rsidRPr="00925302">
        <w:rPr>
          <w:rFonts w:ascii="Arial" w:eastAsia="Verdana" w:hAnsi="Arial" w:cs="Arial"/>
          <w:b/>
          <w:sz w:val="20"/>
          <w:szCs w:val="20"/>
        </w:rPr>
        <w:t xml:space="preserve"> спрега сервиса:</w:t>
      </w:r>
      <w:r w:rsidRPr="00925302">
        <w:rPr>
          <w:rFonts w:ascii="Arial" w:eastAsia="Verdana" w:hAnsi="Arial" w:cs="Arial"/>
          <w:sz w:val="20"/>
          <w:szCs w:val="20"/>
        </w:rPr>
        <w:t xml:space="preserve"> имплементација архитектуре сервиса са слабим спрегом у циљу обезбеђења веће флексибилности и скалабилности;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корисничко</w:t>
      </w:r>
      <w:proofErr w:type="gramEnd"/>
      <w:r w:rsidRPr="00925302">
        <w:rPr>
          <w:rFonts w:ascii="Arial" w:eastAsia="Verdana" w:hAnsi="Arial" w:cs="Arial"/>
          <w:b/>
          <w:sz w:val="20"/>
          <w:szCs w:val="20"/>
        </w:rPr>
        <w:t xml:space="preserve"> искуство уједначеног квалитета:</w:t>
      </w:r>
      <w:r w:rsidRPr="00925302">
        <w:rPr>
          <w:rFonts w:ascii="Arial" w:eastAsia="Verdana" w:hAnsi="Arial" w:cs="Arial"/>
          <w:sz w:val="20"/>
          <w:szCs w:val="20"/>
        </w:rPr>
        <w:t xml:space="preserve"> гаранција уједначеног квалитета за све кориснике, интерне и екстерне, укључујући аспекте као што су кашњења у мрежи, безбедност и учинак приликом приступа новим системима апликација.</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3.2. Стратешки правац</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Да би се постигла жељена трансформација потребна је стандардна инфраструктура SOA.</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Она би заменила тренутно власничко решење и обезбедила платформу за хостинг дељених сервиса.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Робусна архитектура SOA ће омогућити интероперабилност независно од платформе.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Корисници могу радити са јединственом групом интерфејса (екрани или веб-странице) који само изгледају као једна апликација, док у позадини користе компоненте различитих система.</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Усвајањем SOA би се постигли следећи циљеви у вези са архитектуром апликација: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општи</w:t>
      </w:r>
      <w:proofErr w:type="gramEnd"/>
      <w:r w:rsidRPr="00925302">
        <w:rPr>
          <w:rFonts w:ascii="Arial" w:eastAsia="Verdana" w:hAnsi="Arial" w:cs="Arial"/>
          <w:b/>
          <w:sz w:val="20"/>
          <w:szCs w:val="20"/>
        </w:rPr>
        <w:t xml:space="preserve"> циљ: </w:t>
      </w:r>
      <w:r w:rsidRPr="00925302">
        <w:rPr>
          <w:rFonts w:ascii="Arial" w:eastAsia="Verdana" w:hAnsi="Arial" w:cs="Arial"/>
          <w:sz w:val="20"/>
          <w:szCs w:val="20"/>
        </w:rPr>
        <w:t>успостављање модерне, скалабилне и одрживе архитектуре апликација која задовољава садашње и будуће потребе пословања;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план</w:t>
      </w:r>
      <w:proofErr w:type="gramEnd"/>
      <w:r w:rsidRPr="00925302">
        <w:rPr>
          <w:rFonts w:ascii="Arial" w:eastAsia="Verdana" w:hAnsi="Arial" w:cs="Arial"/>
          <w:b/>
          <w:sz w:val="20"/>
          <w:szCs w:val="20"/>
        </w:rPr>
        <w:t xml:space="preserve"> модернизације:</w:t>
      </w:r>
      <w:r w:rsidRPr="00925302">
        <w:rPr>
          <w:rFonts w:ascii="Arial" w:eastAsia="Verdana" w:hAnsi="Arial" w:cs="Arial"/>
          <w:sz w:val="20"/>
          <w:szCs w:val="20"/>
        </w:rPr>
        <w:t xml:space="preserve"> развој плана преласка са застарелих ИТ система на сервисно оријентисане архитектуре;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стандардизација</w:t>
      </w:r>
      <w:proofErr w:type="gramEnd"/>
      <w:r w:rsidRPr="00925302">
        <w:rPr>
          <w:rFonts w:ascii="Arial" w:eastAsia="Verdana" w:hAnsi="Arial" w:cs="Arial"/>
          <w:b/>
          <w:sz w:val="20"/>
          <w:szCs w:val="20"/>
        </w:rPr>
        <w:t xml:space="preserve">: </w:t>
      </w:r>
      <w:r w:rsidRPr="00925302">
        <w:rPr>
          <w:rFonts w:ascii="Arial" w:eastAsia="Verdana" w:hAnsi="Arial" w:cs="Arial"/>
          <w:sz w:val="20"/>
          <w:szCs w:val="20"/>
        </w:rPr>
        <w:t>стандардизација технолошког скупа и оквира ради лакшег одржавања и смањења зависности од вештина;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архитектура</w:t>
      </w:r>
      <w:proofErr w:type="gramEnd"/>
      <w:r w:rsidRPr="00925302">
        <w:rPr>
          <w:rFonts w:ascii="Arial" w:eastAsia="Verdana" w:hAnsi="Arial" w:cs="Arial"/>
          <w:b/>
          <w:sz w:val="20"/>
          <w:szCs w:val="20"/>
        </w:rPr>
        <w:t xml:space="preserve"> вођена интерфејсом за програмирање апликација:</w:t>
      </w:r>
      <w:r w:rsidRPr="00925302">
        <w:rPr>
          <w:rFonts w:ascii="Arial" w:eastAsia="Verdana" w:hAnsi="Arial" w:cs="Arial"/>
          <w:sz w:val="20"/>
          <w:szCs w:val="20"/>
        </w:rPr>
        <w:t xml:space="preserve"> пројектовање сервисно оријентисане архитектуре са добро дефинисаним интерфејсима за програмирање апликација (API) у циљу лакше интеграције и размене података;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интеграција</w:t>
      </w:r>
      <w:proofErr w:type="gramEnd"/>
      <w:r w:rsidRPr="00925302">
        <w:rPr>
          <w:rFonts w:ascii="Arial" w:eastAsia="Verdana" w:hAnsi="Arial" w:cs="Arial"/>
          <w:b/>
          <w:sz w:val="20"/>
          <w:szCs w:val="20"/>
        </w:rPr>
        <w:t xml:space="preserve"> са спољним системима:</w:t>
      </w:r>
      <w:r w:rsidRPr="00925302">
        <w:rPr>
          <w:rFonts w:ascii="Arial" w:eastAsia="Verdana" w:hAnsi="Arial" w:cs="Arial"/>
          <w:sz w:val="20"/>
          <w:szCs w:val="20"/>
        </w:rPr>
        <w:t xml:space="preserve"> пројектовање архитектуре са могућношћу беспрекорне интеграције како би се прилагодила будућим прописима и интегрисала са спољним системима;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безбедност</w:t>
      </w:r>
      <w:proofErr w:type="gramEnd"/>
      <w:r w:rsidRPr="00925302">
        <w:rPr>
          <w:rFonts w:ascii="Arial" w:eastAsia="Verdana" w:hAnsi="Arial" w:cs="Arial"/>
          <w:b/>
          <w:sz w:val="20"/>
          <w:szCs w:val="20"/>
        </w:rPr>
        <w:t>:</w:t>
      </w:r>
      <w:r w:rsidRPr="00925302">
        <w:rPr>
          <w:rFonts w:ascii="Arial" w:eastAsia="Verdana" w:hAnsi="Arial" w:cs="Arial"/>
          <w:sz w:val="20"/>
          <w:szCs w:val="20"/>
        </w:rPr>
        <w:t xml:space="preserve"> интеграција решења на основу добре праксе из области безбедности у архитектуру ради заштите података и безбедности апликације;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скалабилност</w:t>
      </w:r>
      <w:proofErr w:type="gramEnd"/>
      <w:r w:rsidRPr="00925302">
        <w:rPr>
          <w:rFonts w:ascii="Arial" w:eastAsia="Verdana" w:hAnsi="Arial" w:cs="Arial"/>
          <w:b/>
          <w:sz w:val="20"/>
          <w:szCs w:val="20"/>
        </w:rPr>
        <w:t>:</w:t>
      </w:r>
      <w:r w:rsidRPr="00925302">
        <w:rPr>
          <w:rFonts w:ascii="Arial" w:eastAsia="Verdana" w:hAnsi="Arial" w:cs="Arial"/>
          <w:sz w:val="20"/>
          <w:szCs w:val="20"/>
        </w:rPr>
        <w:t xml:space="preserve"> пројектовање архитектуре која може пратити будући раст и веће потребе корисника;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учинак</w:t>
      </w:r>
      <w:proofErr w:type="gramEnd"/>
      <w:r w:rsidRPr="00925302">
        <w:rPr>
          <w:rFonts w:ascii="Arial" w:eastAsia="Verdana" w:hAnsi="Arial" w:cs="Arial"/>
          <w:b/>
          <w:sz w:val="20"/>
          <w:szCs w:val="20"/>
        </w:rPr>
        <w:t>:</w:t>
      </w:r>
      <w:r w:rsidRPr="00925302">
        <w:rPr>
          <w:rFonts w:ascii="Arial" w:eastAsia="Verdana" w:hAnsi="Arial" w:cs="Arial"/>
          <w:sz w:val="20"/>
          <w:szCs w:val="20"/>
        </w:rPr>
        <w:t xml:space="preserve"> оптимизација архитектуре за брзи рад и одзив;</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документација</w:t>
      </w:r>
      <w:proofErr w:type="gramEnd"/>
      <w:r w:rsidRPr="00925302">
        <w:rPr>
          <w:rFonts w:ascii="Arial" w:eastAsia="Verdana" w:hAnsi="Arial" w:cs="Arial"/>
          <w:b/>
          <w:sz w:val="20"/>
          <w:szCs w:val="20"/>
        </w:rPr>
        <w:t xml:space="preserve"> и управљање:</w:t>
      </w:r>
      <w:r w:rsidRPr="00925302">
        <w:rPr>
          <w:rFonts w:ascii="Arial" w:eastAsia="Verdana" w:hAnsi="Arial" w:cs="Arial"/>
          <w:sz w:val="20"/>
          <w:szCs w:val="20"/>
        </w:rPr>
        <w:t xml:space="preserve"> одржавање јасне и ажуриране документације о архитектури и успостављање процеса управљања како би се обезбедила примена добре праксе.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У складу са приступом архитектуре апликација, у наставку је дат преглед стратешких ИКТ одлука у вези са развојем, радом и одржавањем софтвера и хардвера: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lastRenderedPageBreak/>
        <w:t>1.</w:t>
      </w:r>
      <w:r w:rsidRPr="00925302">
        <w:rPr>
          <w:rFonts w:ascii="Arial" w:eastAsia="Verdana" w:hAnsi="Arial" w:cs="Arial"/>
          <w:b/>
          <w:sz w:val="20"/>
          <w:szCs w:val="20"/>
        </w:rPr>
        <w:t xml:space="preserve"> </w:t>
      </w:r>
      <w:proofErr w:type="gramStart"/>
      <w:r w:rsidRPr="00925302">
        <w:rPr>
          <w:rFonts w:ascii="Arial" w:eastAsia="Verdana" w:hAnsi="Arial" w:cs="Arial"/>
          <w:b/>
          <w:sz w:val="20"/>
          <w:szCs w:val="20"/>
        </w:rPr>
        <w:t>политика</w:t>
      </w:r>
      <w:proofErr w:type="gramEnd"/>
      <w:r w:rsidRPr="00925302">
        <w:rPr>
          <w:rFonts w:ascii="Arial" w:eastAsia="Verdana" w:hAnsi="Arial" w:cs="Arial"/>
          <w:b/>
          <w:sz w:val="20"/>
          <w:szCs w:val="20"/>
        </w:rPr>
        <w:t xml:space="preserve"> развоја апликација:</w:t>
      </w:r>
      <w:r w:rsidRPr="00925302">
        <w:rPr>
          <w:rFonts w:ascii="Arial" w:eastAsia="Verdana" w:hAnsi="Arial" w:cs="Arial"/>
          <w:sz w:val="20"/>
          <w:szCs w:val="20"/>
        </w:rPr>
        <w:t xml:space="preserve"> у циљу оптимизације расподеле средстава и решавања проблема ограничених капацитета интерног ИТ особља, УЦ ће превасходно ангажовати спољне сараднике за развој софтвера. </w:t>
      </w:r>
      <w:proofErr w:type="gramStart"/>
      <w:r w:rsidRPr="00925302">
        <w:rPr>
          <w:rFonts w:ascii="Arial" w:eastAsia="Verdana" w:hAnsi="Arial" w:cs="Arial"/>
          <w:sz w:val="20"/>
          <w:szCs w:val="20"/>
        </w:rPr>
        <w:t>Овај приступ је у складу са успостављеним политикама набавке и обезбеђује потребну стручност и искуство на пројекту.</w:t>
      </w:r>
      <w:proofErr w:type="gramEnd"/>
      <w:r w:rsidRPr="00925302">
        <w:rPr>
          <w:rFonts w:ascii="Arial" w:eastAsia="Verdana" w:hAnsi="Arial" w:cs="Arial"/>
          <w:sz w:val="20"/>
          <w:szCs w:val="20"/>
        </w:rPr>
        <w:t xml:space="preserve"> УЦ ће одржавати ограничени капацитет интерног особља за развој које ће обављати посебне послове на застарелим апликацијама и специјализованим пројектима;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2. </w:t>
      </w:r>
      <w:proofErr w:type="gramStart"/>
      <w:r w:rsidRPr="00925302">
        <w:rPr>
          <w:rFonts w:ascii="Arial" w:eastAsia="Verdana" w:hAnsi="Arial" w:cs="Arial"/>
          <w:b/>
          <w:sz w:val="20"/>
          <w:szCs w:val="20"/>
        </w:rPr>
        <w:t>политика</w:t>
      </w:r>
      <w:proofErr w:type="gramEnd"/>
      <w:r w:rsidRPr="00925302">
        <w:rPr>
          <w:rFonts w:ascii="Arial" w:eastAsia="Verdana" w:hAnsi="Arial" w:cs="Arial"/>
          <w:b/>
          <w:sz w:val="20"/>
          <w:szCs w:val="20"/>
        </w:rPr>
        <w:t xml:space="preserve"> рада и одржавања:</w:t>
      </w:r>
      <w:r w:rsidRPr="00925302">
        <w:rPr>
          <w:rFonts w:ascii="Arial" w:eastAsia="Verdana" w:hAnsi="Arial" w:cs="Arial"/>
          <w:sz w:val="20"/>
          <w:szCs w:val="20"/>
        </w:rPr>
        <w:t xml:space="preserve"> предвиђено је да подршка за одржавање у организацији ради на већини апликација УЦ. Међутим, уз планирано ангажовање спољних сарадника за развој кључних апликација, разматра се и одговарајући прелазак на екстерну подршку за предвиђене послове одржавања;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3. </w:t>
      </w:r>
      <w:proofErr w:type="gramStart"/>
      <w:r w:rsidRPr="00925302">
        <w:rPr>
          <w:rFonts w:ascii="Arial" w:eastAsia="Verdana" w:hAnsi="Arial" w:cs="Arial"/>
          <w:b/>
          <w:sz w:val="20"/>
          <w:szCs w:val="20"/>
        </w:rPr>
        <w:t>политика</w:t>
      </w:r>
      <w:proofErr w:type="gramEnd"/>
      <w:r w:rsidRPr="00925302">
        <w:rPr>
          <w:rFonts w:ascii="Arial" w:eastAsia="Verdana" w:hAnsi="Arial" w:cs="Arial"/>
          <w:b/>
          <w:sz w:val="20"/>
          <w:szCs w:val="20"/>
        </w:rPr>
        <w:t xml:space="preserve"> сервисне подршке:</w:t>
      </w:r>
      <w:r w:rsidRPr="00925302">
        <w:rPr>
          <w:rFonts w:ascii="Arial" w:eastAsia="Verdana" w:hAnsi="Arial" w:cs="Arial"/>
          <w:sz w:val="20"/>
          <w:szCs w:val="20"/>
        </w:rPr>
        <w:t xml:space="preserve"> архитектура апликација УЦ ће имати подршку на три нивоа: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i/>
          <w:sz w:val="20"/>
          <w:szCs w:val="20"/>
        </w:rPr>
        <w:t xml:space="preserve">– </w:t>
      </w:r>
      <w:proofErr w:type="gramStart"/>
      <w:r w:rsidRPr="00925302">
        <w:rPr>
          <w:rFonts w:ascii="Arial" w:eastAsia="Verdana" w:hAnsi="Arial" w:cs="Arial"/>
          <w:i/>
          <w:sz w:val="20"/>
          <w:szCs w:val="20"/>
        </w:rPr>
        <w:t>прва</w:t>
      </w:r>
      <w:proofErr w:type="gramEnd"/>
      <w:r w:rsidRPr="00925302">
        <w:rPr>
          <w:rFonts w:ascii="Arial" w:eastAsia="Verdana" w:hAnsi="Arial" w:cs="Arial"/>
          <w:i/>
          <w:sz w:val="20"/>
          <w:szCs w:val="20"/>
        </w:rPr>
        <w:t xml:space="preserve"> линија подршке</w:t>
      </w:r>
      <w:r w:rsidRPr="00925302">
        <w:rPr>
          <w:rFonts w:ascii="Arial" w:eastAsia="Verdana" w:hAnsi="Arial" w:cs="Arial"/>
          <w:sz w:val="20"/>
          <w:szCs w:val="20"/>
        </w:rPr>
        <w:t xml:space="preserve"> – коришћење ресурса у организацији за пружање подршке царинским службеницима;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i/>
          <w:sz w:val="20"/>
          <w:szCs w:val="20"/>
        </w:rPr>
        <w:t xml:space="preserve">– </w:t>
      </w:r>
      <w:proofErr w:type="gramStart"/>
      <w:r w:rsidRPr="00925302">
        <w:rPr>
          <w:rFonts w:ascii="Arial" w:eastAsia="Verdana" w:hAnsi="Arial" w:cs="Arial"/>
          <w:i/>
          <w:sz w:val="20"/>
          <w:szCs w:val="20"/>
        </w:rPr>
        <w:t>друга</w:t>
      </w:r>
      <w:proofErr w:type="gramEnd"/>
      <w:r w:rsidRPr="00925302">
        <w:rPr>
          <w:rFonts w:ascii="Arial" w:eastAsia="Verdana" w:hAnsi="Arial" w:cs="Arial"/>
          <w:i/>
          <w:sz w:val="20"/>
          <w:szCs w:val="20"/>
        </w:rPr>
        <w:t xml:space="preserve"> линија подршке</w:t>
      </w:r>
      <w:r w:rsidRPr="00925302">
        <w:rPr>
          <w:rFonts w:ascii="Arial" w:eastAsia="Verdana" w:hAnsi="Arial" w:cs="Arial"/>
          <w:sz w:val="20"/>
          <w:szCs w:val="20"/>
        </w:rPr>
        <w:t xml:space="preserve"> – пружа се интерно од стране особља УЦ у складу са успостављеним процедурама и једном тачком контакта;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i/>
          <w:sz w:val="20"/>
          <w:szCs w:val="20"/>
        </w:rPr>
        <w:t xml:space="preserve">– </w:t>
      </w:r>
      <w:proofErr w:type="gramStart"/>
      <w:r w:rsidRPr="00925302">
        <w:rPr>
          <w:rFonts w:ascii="Arial" w:eastAsia="Verdana" w:hAnsi="Arial" w:cs="Arial"/>
          <w:i/>
          <w:sz w:val="20"/>
          <w:szCs w:val="20"/>
        </w:rPr>
        <w:t>трећа</w:t>
      </w:r>
      <w:proofErr w:type="gramEnd"/>
      <w:r w:rsidRPr="00925302">
        <w:rPr>
          <w:rFonts w:ascii="Arial" w:eastAsia="Verdana" w:hAnsi="Arial" w:cs="Arial"/>
          <w:i/>
          <w:sz w:val="20"/>
          <w:szCs w:val="20"/>
        </w:rPr>
        <w:t xml:space="preserve"> линија подршке</w:t>
      </w:r>
      <w:r w:rsidRPr="00925302">
        <w:rPr>
          <w:rFonts w:ascii="Arial" w:eastAsia="Verdana" w:hAnsi="Arial" w:cs="Arial"/>
          <w:sz w:val="20"/>
          <w:szCs w:val="20"/>
        </w:rPr>
        <w:t xml:space="preserve"> – уговара се за нове царинске апликације.</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3.3. Захтеви ЕУ</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Сви системи који се морају развити како би се испунили захтеви ЕК се развијају и уводе у одређеном року.</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На овај начин је могуће комбиновати примену на једном или више пројеката у зависности од обима и рокова.</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 складу са чл.</w:t>
      </w:r>
      <w:proofErr w:type="gramEnd"/>
      <w:r w:rsidRPr="00925302">
        <w:rPr>
          <w:rFonts w:ascii="Arial" w:eastAsia="Verdana" w:hAnsi="Arial" w:cs="Arial"/>
          <w:sz w:val="20"/>
          <w:szCs w:val="20"/>
        </w:rPr>
        <w:t xml:space="preserve"> 8. </w:t>
      </w:r>
      <w:proofErr w:type="gramStart"/>
      <w:r w:rsidRPr="00925302">
        <w:rPr>
          <w:rFonts w:ascii="Arial" w:eastAsia="Verdana" w:hAnsi="Arial" w:cs="Arial"/>
          <w:sz w:val="20"/>
          <w:szCs w:val="20"/>
        </w:rPr>
        <w:t>ст</w:t>
      </w:r>
      <w:proofErr w:type="gramEnd"/>
      <w:r w:rsidRPr="00925302">
        <w:rPr>
          <w:rFonts w:ascii="Arial" w:eastAsia="Verdana" w:hAnsi="Arial" w:cs="Arial"/>
          <w:sz w:val="20"/>
          <w:szCs w:val="20"/>
        </w:rPr>
        <w:t>. 2. Одлуке е-Царине, Вишегодишњи стратешки план (MASP) представља алат за управљање и планирање који је израдила Европска комисија у сарадњи са земљама чланицама како би се обезбедило ефективно и усклађено управљање ИТ пројектима постављањем како стратешког оквира, тако и кључних ставки.</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 члану 280.</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Царинског закона Уније се наводи да Комисија треба да изради програм рада који се односи на развој и увођење електронских система.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Програм рада UCC садржи детаљне описе пројеката, њихове законске основе које се тичу одредби UCC, кључне ставке за израду стабилних техничких спецификација и предвиђене датуме за пуштање система у рад.</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Ова два стратешка документа су повезана.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Пројекти садржани у програму рада Царинског закона Уније представљају селекцију пројеката наведених у Вишегодишњем стратешком плану (MASP).</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Програм рада UCC се заснива на приоритетима у циљу планирања и управљања развојем електронских система који су у вези са UCC.</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Приступи за имплементацију нових система који се могу применити на нивоу ЕУ су:</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централизовани</w:t>
      </w:r>
      <w:proofErr w:type="gramEnd"/>
      <w:r w:rsidRPr="00925302">
        <w:rPr>
          <w:rFonts w:ascii="Arial" w:eastAsia="Verdana" w:hAnsi="Arial" w:cs="Arial"/>
          <w:b/>
          <w:sz w:val="20"/>
          <w:szCs w:val="20"/>
        </w:rPr>
        <w:t xml:space="preserve"> развој</w:t>
      </w:r>
      <w:r w:rsidRPr="00925302">
        <w:rPr>
          <w:rFonts w:ascii="Arial" w:eastAsia="Verdana" w:hAnsi="Arial" w:cs="Arial"/>
          <w:sz w:val="20"/>
          <w:szCs w:val="20"/>
        </w:rPr>
        <w:t xml:space="preserve"> – све функционалности система развија DG TAXUD. Национални утицај на централизовани развој се огледа у развоју интерфејса за централни систем;</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дистрибуирани</w:t>
      </w:r>
      <w:proofErr w:type="gramEnd"/>
      <w:r w:rsidRPr="00925302">
        <w:rPr>
          <w:rFonts w:ascii="Arial" w:eastAsia="Verdana" w:hAnsi="Arial" w:cs="Arial"/>
          <w:b/>
          <w:sz w:val="20"/>
          <w:szCs w:val="20"/>
        </w:rPr>
        <w:t xml:space="preserve"> развој</w:t>
      </w:r>
      <w:r w:rsidRPr="00925302">
        <w:rPr>
          <w:rFonts w:ascii="Arial" w:eastAsia="Verdana" w:hAnsi="Arial" w:cs="Arial"/>
          <w:sz w:val="20"/>
          <w:szCs w:val="20"/>
        </w:rPr>
        <w:t xml:space="preserve"> – неке компоненте система за пратећу инфраструктуру креира и развија DG TAXUD. </w:t>
      </w:r>
      <w:proofErr w:type="gramStart"/>
      <w:r w:rsidRPr="00925302">
        <w:rPr>
          <w:rFonts w:ascii="Arial" w:eastAsia="Verdana" w:hAnsi="Arial" w:cs="Arial"/>
          <w:sz w:val="20"/>
          <w:szCs w:val="20"/>
        </w:rPr>
        <w:t>Кључна функционалност (националне компоненте) мора бити имплементирана од стране земаља чланица.</w:t>
      </w:r>
      <w:proofErr w:type="gramEnd"/>
      <w:r w:rsidRPr="00925302">
        <w:rPr>
          <w:rFonts w:ascii="Arial" w:eastAsia="Verdana" w:hAnsi="Arial" w:cs="Arial"/>
          <w:sz w:val="20"/>
          <w:szCs w:val="20"/>
        </w:rPr>
        <w:t xml:space="preserve"> Опште техничке спецификације прописује DG TAXUD;</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национални</w:t>
      </w:r>
      <w:proofErr w:type="gramEnd"/>
      <w:r w:rsidRPr="00925302">
        <w:rPr>
          <w:rFonts w:ascii="Arial" w:eastAsia="Verdana" w:hAnsi="Arial" w:cs="Arial"/>
          <w:b/>
          <w:sz w:val="20"/>
          <w:szCs w:val="20"/>
        </w:rPr>
        <w:t xml:space="preserve"> развој</w:t>
      </w:r>
      <w:r w:rsidRPr="00925302">
        <w:rPr>
          <w:rFonts w:ascii="Arial" w:eastAsia="Verdana" w:hAnsi="Arial" w:cs="Arial"/>
          <w:sz w:val="20"/>
          <w:szCs w:val="20"/>
        </w:rPr>
        <w:t xml:space="preserve"> – земље чланице морају да развију све потребне функционалности у националним системима. Функционалност система се договара са DG TAXUD;</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комбиновани</w:t>
      </w:r>
      <w:proofErr w:type="gramEnd"/>
      <w:r w:rsidRPr="00925302">
        <w:rPr>
          <w:rFonts w:ascii="Arial" w:eastAsia="Verdana" w:hAnsi="Arial" w:cs="Arial"/>
          <w:b/>
          <w:sz w:val="20"/>
          <w:szCs w:val="20"/>
        </w:rPr>
        <w:t xml:space="preserve"> развој</w:t>
      </w:r>
      <w:r w:rsidRPr="00925302">
        <w:rPr>
          <w:rFonts w:ascii="Arial" w:eastAsia="Verdana" w:hAnsi="Arial" w:cs="Arial"/>
          <w:sz w:val="20"/>
          <w:szCs w:val="20"/>
        </w:rPr>
        <w:t xml:space="preserve"> – односи се на развој који земљама чланицама даје могућност да користе било централно развијен систем који функционише на централном нивоу или да развију неке компоненте на сопственом националном домену и сами управљају њиховим радом.</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3.4. Апликације на националном нивоу</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УЦ је започела интеграцију постојећих система, али услед законодавних измена или нових интерфејса са интерним и екстерним системима у будућности потребно је извршити неопходне измене.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 xml:space="preserve">Аутоматизација </w:t>
      </w:r>
      <w:r w:rsidRPr="00925302">
        <w:rPr>
          <w:rFonts w:ascii="Arial" w:eastAsia="Verdana" w:hAnsi="Arial" w:cs="Arial"/>
          <w:sz w:val="20"/>
          <w:szCs w:val="20"/>
        </w:rPr>
        <w:lastRenderedPageBreak/>
        <w:t>пословних процеса који се тичу увоза је национални развој, а нова унапређења система и интерфејси, нови захтеви на националном нивоу, промене у законодавним процедурама и скуповима података довешће до побољшања унутар система.</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Измене скупова и формата података ће утицати на електронску размену са трговинским сектором, систем извештавања, складиштење података и интерфејсе са екстерним системима.</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Истовремено је у току неколико пројеката на којима се ради на испуњењу националних захтева за побољшање система апликација УЦ:</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системи</w:t>
      </w:r>
      <w:proofErr w:type="gramEnd"/>
      <w:r w:rsidRPr="00925302">
        <w:rPr>
          <w:rFonts w:ascii="Arial" w:eastAsia="Verdana" w:hAnsi="Arial" w:cs="Arial"/>
          <w:sz w:val="20"/>
          <w:szCs w:val="20"/>
        </w:rPr>
        <w:t xml:space="preserve"> за тарифско окружење – ITMS;</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системи</w:t>
      </w:r>
      <w:proofErr w:type="gramEnd"/>
      <w:r w:rsidRPr="00925302">
        <w:rPr>
          <w:rFonts w:ascii="Arial" w:eastAsia="Verdana" w:hAnsi="Arial" w:cs="Arial"/>
          <w:sz w:val="20"/>
          <w:szCs w:val="20"/>
        </w:rPr>
        <w:t xml:space="preserve"> за главне пословне процесе – CDS, AES/ECS, AIS/ICS, израда софтвера за експресне пошиљке;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повезивање</w:t>
      </w:r>
      <w:proofErr w:type="gramEnd"/>
      <w:r w:rsidRPr="00925302">
        <w:rPr>
          <w:rFonts w:ascii="Arial" w:eastAsia="Verdana" w:hAnsi="Arial" w:cs="Arial"/>
          <w:sz w:val="20"/>
          <w:szCs w:val="20"/>
        </w:rPr>
        <w:t xml:space="preserve"> са екстерним субјектима – CCI, ICS2, фаза 5. </w:t>
      </w:r>
      <w:proofErr w:type="gramStart"/>
      <w:r w:rsidRPr="00925302">
        <w:rPr>
          <w:rFonts w:ascii="Arial" w:eastAsia="Verdana" w:hAnsi="Arial" w:cs="Arial"/>
          <w:sz w:val="20"/>
          <w:szCs w:val="20"/>
        </w:rPr>
        <w:t>и</w:t>
      </w:r>
      <w:proofErr w:type="gramEnd"/>
      <w:r w:rsidRPr="00925302">
        <w:rPr>
          <w:rFonts w:ascii="Arial" w:eastAsia="Verdana" w:hAnsi="Arial" w:cs="Arial"/>
          <w:sz w:val="20"/>
          <w:szCs w:val="20"/>
        </w:rPr>
        <w:t xml:space="preserve"> 6. NCTS;</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интерни</w:t>
      </w:r>
      <w:proofErr w:type="gramEnd"/>
      <w:r w:rsidRPr="00925302">
        <w:rPr>
          <w:rFonts w:ascii="Arial" w:eastAsia="Verdana" w:hAnsi="Arial" w:cs="Arial"/>
          <w:sz w:val="20"/>
          <w:szCs w:val="20"/>
        </w:rPr>
        <w:t xml:space="preserve"> сервиси – ЉР, финансије, анализа ризика, накнадна контрола и ревизија и други;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повезивање</w:t>
      </w:r>
      <w:proofErr w:type="gramEnd"/>
      <w:r w:rsidRPr="00925302">
        <w:rPr>
          <w:rFonts w:ascii="Arial" w:eastAsia="Verdana" w:hAnsi="Arial" w:cs="Arial"/>
          <w:sz w:val="20"/>
          <w:szCs w:val="20"/>
        </w:rPr>
        <w:t xml:space="preserve"> система за размену информација у међународној трговини – Једношалтерски систем (SW) са другим ИКТ системима;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систем</w:t>
      </w:r>
      <w:proofErr w:type="gramEnd"/>
      <w:r w:rsidRPr="00925302">
        <w:rPr>
          <w:rFonts w:ascii="Arial" w:eastAsia="Verdana" w:hAnsi="Arial" w:cs="Arial"/>
          <w:sz w:val="20"/>
          <w:szCs w:val="20"/>
        </w:rPr>
        <w:t xml:space="preserve"> складиштења царинских података.</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3.5. Преглед пословних апликација УЦ</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Царинске пословне апликације се могу груписати на основу главних царинских пословних процеса: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системи</w:t>
      </w:r>
      <w:proofErr w:type="gramEnd"/>
      <w:r w:rsidRPr="00925302">
        <w:rPr>
          <w:rFonts w:ascii="Arial" w:eastAsia="Verdana" w:hAnsi="Arial" w:cs="Arial"/>
          <w:b/>
          <w:sz w:val="20"/>
          <w:szCs w:val="20"/>
        </w:rPr>
        <w:t xml:space="preserve"> за тарифско окружење</w:t>
      </w:r>
      <w:r w:rsidRPr="00925302">
        <w:rPr>
          <w:rFonts w:ascii="Arial" w:eastAsia="Verdana" w:hAnsi="Arial" w:cs="Arial"/>
          <w:sz w:val="20"/>
          <w:szCs w:val="20"/>
        </w:rPr>
        <w:t xml:space="preserve"> – ITMS (TARIC 3, Quota, Surveillance, SMS, EBTI, BOI итд.);</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системи</w:t>
      </w:r>
      <w:proofErr w:type="gramEnd"/>
      <w:r w:rsidRPr="00925302">
        <w:rPr>
          <w:rFonts w:ascii="Arial" w:eastAsia="Verdana" w:hAnsi="Arial" w:cs="Arial"/>
          <w:b/>
          <w:sz w:val="20"/>
          <w:szCs w:val="20"/>
        </w:rPr>
        <w:t xml:space="preserve"> за главне пословне процесе</w:t>
      </w:r>
      <w:r w:rsidRPr="00925302">
        <w:rPr>
          <w:rFonts w:ascii="Arial" w:eastAsia="Verdana" w:hAnsi="Arial" w:cs="Arial"/>
          <w:sz w:val="20"/>
          <w:szCs w:val="20"/>
        </w:rPr>
        <w:t xml:space="preserve"> – NCTS, AES/ECS, AIS/ICS, израда софтвера за експресне пошиљке;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системи</w:t>
      </w:r>
      <w:proofErr w:type="gramEnd"/>
      <w:r w:rsidRPr="00925302">
        <w:rPr>
          <w:rFonts w:ascii="Arial" w:eastAsia="Verdana" w:hAnsi="Arial" w:cs="Arial"/>
          <w:b/>
          <w:sz w:val="20"/>
          <w:szCs w:val="20"/>
        </w:rPr>
        <w:t xml:space="preserve"> за контролу и управљање ризиком </w:t>
      </w:r>
      <w:r w:rsidRPr="00925302">
        <w:rPr>
          <w:rFonts w:ascii="Arial" w:eastAsia="Verdana" w:hAnsi="Arial" w:cs="Arial"/>
          <w:sz w:val="20"/>
          <w:szCs w:val="20"/>
        </w:rPr>
        <w:t>– систем анализе ризика, COPIS;</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системи</w:t>
      </w:r>
      <w:proofErr w:type="gramEnd"/>
      <w:r w:rsidRPr="00925302">
        <w:rPr>
          <w:rFonts w:ascii="Arial" w:eastAsia="Verdana" w:hAnsi="Arial" w:cs="Arial"/>
          <w:b/>
          <w:sz w:val="20"/>
          <w:szCs w:val="20"/>
        </w:rPr>
        <w:t xml:space="preserve"> за привредне субјекте </w:t>
      </w:r>
      <w:r w:rsidRPr="00925302">
        <w:rPr>
          <w:rFonts w:ascii="Arial" w:eastAsia="Verdana" w:hAnsi="Arial" w:cs="Arial"/>
          <w:sz w:val="20"/>
          <w:szCs w:val="20"/>
        </w:rPr>
        <w:t>– EOS-EORI2, EOS-AEO и MRA, RSS, REX, царинске одлуке, UUM&amp;DS;</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пратећи</w:t>
      </w:r>
      <w:proofErr w:type="gramEnd"/>
      <w:r w:rsidRPr="00925302">
        <w:rPr>
          <w:rFonts w:ascii="Arial" w:eastAsia="Verdana" w:hAnsi="Arial" w:cs="Arial"/>
          <w:b/>
          <w:sz w:val="20"/>
          <w:szCs w:val="20"/>
        </w:rPr>
        <w:t xml:space="preserve"> и додатни системи</w:t>
      </w:r>
      <w:r w:rsidRPr="00925302">
        <w:rPr>
          <w:rFonts w:ascii="Arial" w:eastAsia="Verdana" w:hAnsi="Arial" w:cs="Arial"/>
          <w:sz w:val="20"/>
          <w:szCs w:val="20"/>
        </w:rPr>
        <w:t xml:space="preserve"> – CS/RD2, CS/MIS;</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други</w:t>
      </w:r>
      <w:proofErr w:type="gramEnd"/>
      <w:r w:rsidRPr="00925302">
        <w:rPr>
          <w:rFonts w:ascii="Arial" w:eastAsia="Verdana" w:hAnsi="Arial" w:cs="Arial"/>
          <w:b/>
          <w:sz w:val="20"/>
          <w:szCs w:val="20"/>
        </w:rPr>
        <w:t xml:space="preserve"> системи</w:t>
      </w:r>
      <w:r w:rsidRPr="00925302">
        <w:rPr>
          <w:rFonts w:ascii="Arial" w:eastAsia="Verdana" w:hAnsi="Arial" w:cs="Arial"/>
          <w:sz w:val="20"/>
          <w:szCs w:val="20"/>
        </w:rPr>
        <w:t xml:space="preserve"> – EMCS, SEED (EU).</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3.6. Технологије у повоју</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С обзиром да се технологије брзо развијају у данашње време, организације морају обезбедити најсавременија решења како би одржале своју конкурентност.</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Следећи предлог у оквиру актуелног плана имплементације садржи препоруку за будуће усвајање технологија нове генерације.</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i/>
          <w:sz w:val="20"/>
          <w:szCs w:val="20"/>
        </w:rPr>
        <w:t>Вештачка интелигенција (AI)</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Систем информационих и комуникационих технологија (ИКТ) УЦ ради у затвореном окружењу уз ограничени број интерконекција са спољним системима.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Ова екстерна окружења су углавном такође затворена и придржавају се строгих протокола за повезивање.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До сада су такви затворени системи приступали вештачкој интелигенцији (AI) са обазривим оптимизмом.</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Међутим ИТ стратегија УЦ признаје несумњиви потенцијал AI за револуционарне промене активности сервисне подршке, побољшање корисничког искуства и смањење ризика.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Иако имплементација AI не мора бити обухваћена првим делом планираних побољшања, стратешки приступ усвајању AI се убудуће топло препоручује.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Овај приступ се може искористити као вредни оквир за побољшање ефикасности и управљања ризицима у систему ИКТ УЦ.</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i/>
          <w:sz w:val="20"/>
          <w:szCs w:val="20"/>
        </w:rPr>
        <w:t>Платформе за развој софтвера без кодирања</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 данашњем динамичном пословном окружењу традиционалне методе развоја софтвера теже могу да испрате потражњу за брзим иновацијама.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Платформе за развој софтвера без кодирања или уз минимално кодирање представљају технологије у повоју које могу помоћи фирмама да убрзају процес развоја и смање трошкове.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Помоћу ових платформи свако може да креира моћне апликације, независно од свог искуства са кодирањем.</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lastRenderedPageBreak/>
        <w:t xml:space="preserve">Уз помоћ платформи за развој софтвера без кодирања, а као што су Power Automate или JIRA, УЦ може да утврди које су то области у којима овај приступ може бити од користи, нарочито код подршке мање важних процеса које је потребно побољшати. </w:t>
      </w:r>
      <w:proofErr w:type="gramStart"/>
      <w:r w:rsidRPr="00925302">
        <w:rPr>
          <w:rFonts w:ascii="Arial" w:eastAsia="Verdana" w:hAnsi="Arial" w:cs="Arial"/>
          <w:sz w:val="20"/>
          <w:szCs w:val="20"/>
        </w:rPr>
        <w:t>Ова технологија такође може унапредити креативност и вештине решавања проблема ИТ особља и омогућити запосленима у другим секторима да се учествују како би ИТ ресурси били слободни за сложеније задатке.</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i/>
          <w:sz w:val="20"/>
          <w:szCs w:val="20"/>
        </w:rPr>
        <w:t>Софтвер као услуга (SaaS)</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Традиционални системи често не могу да одрже корак са брзим променама због чега је тешко корисницима пружити изванредно искуство и прилагодити се новим трендовима.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Ту наступа софтвер као услуга (SaaS) који нуди стратешку предност организацијама напредног размишљања.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SaaS омогућава користи које не подразумевају само ниже трошкове и већу ефикасност, већ и могућност интеграције најсавременијих технологија и брже, безбедније и поузданије пружање услуга.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Осим тога, SaaS може помоћи УЦ да имплементира континуиране сервисне операције усвајањем сервиса високог нивоа доступности уз добре SLA.</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sz w:val="20"/>
          <w:szCs w:val="20"/>
        </w:rPr>
        <w:t>4. ПРАВАЦ РАЗВОЈА ТЕХНИЧКЕ ИНФРАСТРУКТУРЕ</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4.1. Стратешки правци развоја технолошке инфраструктуре</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УЦ је посвећена развоју, спровођењу и одржавању брзих, отворених, вишеструко искористивих и стандардизованих ИКТ у складу са новим технолошким достигнућима.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Модернизација техничке инфраструктуре савременим технологијама је од суштинског значаја за испуњење развојних захтева нових ИТ система.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Надоградња застареле опреме ће повећати учинак система, побољшати безбедносне мере и оптимизовати оперативну ефикасност.</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Препознавши потребу за модерном техничком инфраструктуром како би нови ИТ системи били подржани, УЦ ће спровести програм континуиране надоградње ИТ опреме.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Како би се оптимизовала расподела ресурса и непотребни трошкови свели на минимум, програм надоградње ИТ опреме ће следити неке од основних начела управљања животним циклусом ИТ опреме, обухватајући смањење учинка, веће трошкове одржавања, подршку продавца пред истек радног века итд.</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Овим приступом се трошкови могу предвидети и спречити преоптерећење буџета.</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У свом приступу информационим технологијама УЦ даје приоритет следећим циљевима: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пружање</w:t>
      </w:r>
      <w:proofErr w:type="gramEnd"/>
      <w:r w:rsidRPr="00925302">
        <w:rPr>
          <w:rFonts w:ascii="Arial" w:eastAsia="Verdana" w:hAnsi="Arial" w:cs="Arial"/>
          <w:sz w:val="20"/>
          <w:szCs w:val="20"/>
        </w:rPr>
        <w:t xml:space="preserve"> безбедних и висококвалитетних услуга ИКТ корисницима у Републици Србији, које подржавају царинске политике и административне процесе специфичне за УЦ;</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обезбеђивање</w:t>
      </w:r>
      <w:proofErr w:type="gramEnd"/>
      <w:r w:rsidRPr="00925302">
        <w:rPr>
          <w:rFonts w:ascii="Arial" w:eastAsia="Verdana" w:hAnsi="Arial" w:cs="Arial"/>
          <w:sz w:val="20"/>
          <w:szCs w:val="20"/>
        </w:rPr>
        <w:t xml:space="preserve"> континуитета рада ИТ функција у случају непредвиђених околности;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обезбеђење</w:t>
      </w:r>
      <w:proofErr w:type="gramEnd"/>
      <w:r w:rsidRPr="00925302">
        <w:rPr>
          <w:rFonts w:ascii="Arial" w:eastAsia="Verdana" w:hAnsi="Arial" w:cs="Arial"/>
          <w:sz w:val="20"/>
          <w:szCs w:val="20"/>
        </w:rPr>
        <w:t xml:space="preserve"> услуга и савета око аутоматизације канцеларијских процеса;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успостављање</w:t>
      </w:r>
      <w:proofErr w:type="gramEnd"/>
      <w:r w:rsidRPr="00925302">
        <w:rPr>
          <w:rFonts w:ascii="Arial" w:eastAsia="Verdana" w:hAnsi="Arial" w:cs="Arial"/>
          <w:sz w:val="20"/>
          <w:szCs w:val="20"/>
        </w:rPr>
        <w:t xml:space="preserve"> и управљање инфраструктуром којом се омогућава интероперабилност између УЦ, Европске уније (ЕУ), партнерских земаља и других институција у Републици Србији;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ефикасно</w:t>
      </w:r>
      <w:proofErr w:type="gramEnd"/>
      <w:r w:rsidRPr="00925302">
        <w:rPr>
          <w:rFonts w:ascii="Arial" w:eastAsia="Verdana" w:hAnsi="Arial" w:cs="Arial"/>
          <w:sz w:val="20"/>
          <w:szCs w:val="20"/>
        </w:rPr>
        <w:t xml:space="preserve"> управљање инсталацијом и радом пратеће опреме и мрежа.</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4.2. Центри података и сервери</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Центри података (DC) чине окосницу савременог пословања.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Представљају централизовану локацију у којој се налази основна опрема ИКТ, обезбеђују непрекидан рад основних сервиса и њихову заштиту од неовлашћеног приступа.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Овим централизованим приступом су омогућени једноставније управљање, бољи безбедносни протоколи и ефикасна решења за опоравак од хаваријских ситуација.</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Да би се оптималан учинак и скалабилност одржали, DC је предмет сталног побољшавања.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 овој стратегији приоритет има модернизација постојеће инфраструктуре са фокусом на стављање застареле опреме ван употребе уколико она више не испуњава актуелне захтеве пословања или спречава даљи развој.</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 xml:space="preserve">Стратешким утврђивањем фаза у примени савремених технологија, DC УЦ ће се постарати да и </w:t>
      </w:r>
      <w:r w:rsidRPr="00925302">
        <w:rPr>
          <w:rFonts w:ascii="Arial" w:eastAsia="Verdana" w:hAnsi="Arial" w:cs="Arial"/>
          <w:sz w:val="20"/>
          <w:szCs w:val="20"/>
        </w:rPr>
        <w:lastRenderedPageBreak/>
        <w:t>даље буде поуздан и безбедан темељ свих пословних операција.</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Што се тиче будућег рада, УЦ планира да настави са консолидацијом DC заузимајући одмерен приступ.</w:t>
      </w:r>
      <w:proofErr w:type="gramEnd"/>
      <w:r w:rsidRPr="00925302">
        <w:rPr>
          <w:rFonts w:ascii="Arial" w:eastAsia="Verdana" w:hAnsi="Arial" w:cs="Arial"/>
          <w:sz w:val="20"/>
          <w:szCs w:val="20"/>
        </w:rPr>
        <w:t xml:space="preserve"> У будућим плановима приоритет имају:</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опрема</w:t>
      </w:r>
      <w:proofErr w:type="gramEnd"/>
      <w:r w:rsidRPr="00925302">
        <w:rPr>
          <w:rFonts w:ascii="Arial" w:eastAsia="Verdana" w:hAnsi="Arial" w:cs="Arial"/>
          <w:b/>
          <w:sz w:val="20"/>
          <w:szCs w:val="20"/>
        </w:rPr>
        <w:t xml:space="preserve"> DC:</w:t>
      </w:r>
      <w:r w:rsidRPr="00925302">
        <w:rPr>
          <w:rFonts w:ascii="Arial" w:eastAsia="Verdana" w:hAnsi="Arial" w:cs="Arial"/>
          <w:sz w:val="20"/>
          <w:szCs w:val="20"/>
        </w:rPr>
        <w:t xml:space="preserve"> УЦ ће обезбедити примену добре праксе за увођење опреме DC која је пре свега јака, отпорна, одржива и безбедна;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скалабилност</w:t>
      </w:r>
      <w:proofErr w:type="gramEnd"/>
      <w:r w:rsidRPr="00925302">
        <w:rPr>
          <w:rFonts w:ascii="Arial" w:eastAsia="Verdana" w:hAnsi="Arial" w:cs="Arial"/>
          <w:b/>
          <w:sz w:val="20"/>
          <w:szCs w:val="20"/>
        </w:rPr>
        <w:t xml:space="preserve"> и учинак:</w:t>
      </w:r>
      <w:r w:rsidRPr="00925302">
        <w:rPr>
          <w:rFonts w:ascii="Arial" w:eastAsia="Verdana" w:hAnsi="Arial" w:cs="Arial"/>
          <w:sz w:val="20"/>
          <w:szCs w:val="20"/>
        </w:rPr>
        <w:t xml:space="preserve"> УЦ ће се постарати да инфраструктура буде таква да је могуће повећање броја апликација и захтева корисника без смањења учинка;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доступност</w:t>
      </w:r>
      <w:proofErr w:type="gramEnd"/>
      <w:r w:rsidRPr="00925302">
        <w:rPr>
          <w:rFonts w:ascii="Arial" w:eastAsia="Verdana" w:hAnsi="Arial" w:cs="Arial"/>
          <w:b/>
          <w:sz w:val="20"/>
          <w:szCs w:val="20"/>
        </w:rPr>
        <w:t xml:space="preserve"> и безбедност:</w:t>
      </w:r>
      <w:r w:rsidRPr="00925302">
        <w:rPr>
          <w:rFonts w:ascii="Arial" w:eastAsia="Verdana" w:hAnsi="Arial" w:cs="Arial"/>
          <w:sz w:val="20"/>
          <w:szCs w:val="20"/>
        </w:rPr>
        <w:t xml:space="preserve"> одржавање сталне доступности сервиса и повећање безбедности података ће бити од највећег значаја током целог процеса консолидације;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енергетска</w:t>
      </w:r>
      <w:proofErr w:type="gramEnd"/>
      <w:r w:rsidRPr="00925302">
        <w:rPr>
          <w:rFonts w:ascii="Arial" w:eastAsia="Verdana" w:hAnsi="Arial" w:cs="Arial"/>
          <w:b/>
          <w:sz w:val="20"/>
          <w:szCs w:val="20"/>
        </w:rPr>
        <w:t xml:space="preserve"> ефикасност:</w:t>
      </w:r>
      <w:r w:rsidRPr="00925302">
        <w:rPr>
          <w:rFonts w:ascii="Arial" w:eastAsia="Verdana" w:hAnsi="Arial" w:cs="Arial"/>
          <w:sz w:val="20"/>
          <w:szCs w:val="20"/>
        </w:rPr>
        <w:t xml:space="preserve"> УЦ је посвећена максималном смањењу утицаја њеног DC на животну средину тако што предност даје мерама за уштеду енергије.</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Усвајањем приступа који је окренут ка будућности и у којем приоритет имају модернизација, одрживост и робусна стратегија DC, УЦ је одлучила да будућа примарна локација DC буде државни центар података.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УЦ ће овим приступом испоштовати све прописе и стандарде.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Овом одлуком се обезбеђује приступ најсавременијој архитектури и сервисима, чиме се повећава поузданост, безбедност и скалабилност операција.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Текућа модернизација државног центра података је у складу са циљевима УЦ.</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i/>
          <w:sz w:val="20"/>
          <w:szCs w:val="20"/>
        </w:rPr>
        <w:t>Серверски оперативни системи</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УЦ је донела стратешку одлуку да са застарелог система пређе на виртуелизациону платформу.</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Избор серверског оперативног система (OС) за нову виртуелизациону инфраструктуру УЦ је од суштинског значаја за њену ефективну подршку свим пословним апликацијама и њиховим компонентама.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Због тога приликом одабира серверског ОС треба водити рачуна да исти буде компатибилан са виртуелизационим технологијама.</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Поред основне подршке за апликације, одабрани серверски ОС може имати унапред уграђене сервисе који могу поједноставити интеграцију и системске операције.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Иако ови сервиси нису од суштинског значаја, тим за ИКТ УЦ ће извршити детаљно планирање како би се одредила најпогоднија дистрибуција ових сервиса на целој платформи.</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Овим приступом ће бити обезбеђен оптималан учинак сервера, јер ће се максимално смањити непотребно оптерећење.</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Код одабира серверског ОС приоритет морају имати робусне безбедносне карактеристике, укључујући: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контролу</w:t>
      </w:r>
      <w:proofErr w:type="gramEnd"/>
      <w:r w:rsidRPr="00925302">
        <w:rPr>
          <w:rFonts w:ascii="Arial" w:eastAsia="Verdana" w:hAnsi="Arial" w:cs="Arial"/>
          <w:b/>
          <w:sz w:val="20"/>
          <w:szCs w:val="20"/>
        </w:rPr>
        <w:t xml:space="preserve"> привилегованог приступа:</w:t>
      </w:r>
      <w:r w:rsidRPr="00925302">
        <w:rPr>
          <w:rFonts w:ascii="Arial" w:eastAsia="Verdana" w:hAnsi="Arial" w:cs="Arial"/>
          <w:sz w:val="20"/>
          <w:szCs w:val="20"/>
        </w:rPr>
        <w:t xml:space="preserve"> грануларна контрола приступа привилегованих корисника је неопходна за заштиту виртуелизованог окружења;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грануларне</w:t>
      </w:r>
      <w:proofErr w:type="gramEnd"/>
      <w:r w:rsidRPr="00925302">
        <w:rPr>
          <w:rFonts w:ascii="Arial" w:eastAsia="Verdana" w:hAnsi="Arial" w:cs="Arial"/>
          <w:b/>
          <w:sz w:val="20"/>
          <w:szCs w:val="20"/>
        </w:rPr>
        <w:t xml:space="preserve"> резервне копије и враћање у претходно стање: </w:t>
      </w:r>
      <w:r w:rsidRPr="00925302">
        <w:rPr>
          <w:rFonts w:ascii="Arial" w:eastAsia="Verdana" w:hAnsi="Arial" w:cs="Arial"/>
          <w:sz w:val="20"/>
          <w:szCs w:val="20"/>
        </w:rPr>
        <w:t>могућност израде резервних копија одређених скупова података и грануларно враћање у претходно стање обезбеђује ефикасно управљање подацима и максимално скраћује време застоја у случају инцидената;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централизовано</w:t>
      </w:r>
      <w:proofErr w:type="gramEnd"/>
      <w:r w:rsidRPr="00925302">
        <w:rPr>
          <w:rFonts w:ascii="Arial" w:eastAsia="Verdana" w:hAnsi="Arial" w:cs="Arial"/>
          <w:b/>
          <w:sz w:val="20"/>
          <w:szCs w:val="20"/>
        </w:rPr>
        <w:t xml:space="preserve"> управљање закрпама:</w:t>
      </w:r>
      <w:r w:rsidRPr="00925302">
        <w:rPr>
          <w:rFonts w:ascii="Arial" w:eastAsia="Verdana" w:hAnsi="Arial" w:cs="Arial"/>
          <w:sz w:val="20"/>
          <w:szCs w:val="20"/>
        </w:rPr>
        <w:t xml:space="preserve"> централизовани систем за увођење безбедносних закрпа и ажурирање поједностављује одржавање система и смањује рањивост безбедности.</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4.3. Комуникације</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i/>
          <w:sz w:val="20"/>
          <w:szCs w:val="20"/>
        </w:rPr>
        <w:t>LAN</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ИКТ УЦ користе локалне мреже (local area network LAN) за повезивање физичких сервера, рачунара крајњих тачака, мрежне опреме и другог пратећег хардвера.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LAN представља „крвоток” интерне комуникације.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Због развоја технологије и потребних промена у УЦ, иста треба да има стратешки приступ планирању будућих побољшања LAN.</w:t>
      </w:r>
      <w:proofErr w:type="gramEnd"/>
      <w:r w:rsidRPr="00925302">
        <w:rPr>
          <w:rFonts w:ascii="Arial" w:eastAsia="Verdana" w:hAnsi="Arial" w:cs="Arial"/>
          <w:sz w:val="20"/>
          <w:szCs w:val="20"/>
        </w:rPr>
        <w:t xml:space="preserve"> Следећи овај приступ и трендове у делатности ИТ, у обзир се могу узети следеће кључне смернице: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безбедност</w:t>
      </w:r>
      <w:proofErr w:type="gramEnd"/>
      <w:r w:rsidRPr="00925302">
        <w:rPr>
          <w:rFonts w:ascii="Arial" w:eastAsia="Verdana" w:hAnsi="Arial" w:cs="Arial"/>
          <w:b/>
          <w:sz w:val="20"/>
          <w:szCs w:val="20"/>
        </w:rPr>
        <w:t xml:space="preserve">: </w:t>
      </w:r>
      <w:r w:rsidRPr="00925302">
        <w:rPr>
          <w:rFonts w:ascii="Arial" w:eastAsia="Verdana" w:hAnsi="Arial" w:cs="Arial"/>
          <w:sz w:val="20"/>
          <w:szCs w:val="20"/>
        </w:rPr>
        <w:t xml:space="preserve">LAN стратегија мора дати приоритет робусним безбедносним мерама. То подразумева </w:t>
      </w:r>
      <w:r w:rsidRPr="00925302">
        <w:rPr>
          <w:rFonts w:ascii="Arial" w:eastAsia="Verdana" w:hAnsi="Arial" w:cs="Arial"/>
          <w:sz w:val="20"/>
          <w:szCs w:val="20"/>
        </w:rPr>
        <w:lastRenderedPageBreak/>
        <w:t>примену нове генерације мрежних баријера, система детекције упада, приступ мрежи са нултим поверењем и шифровање података ради заштите осетљивих финансијских података;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капацитет</w:t>
      </w:r>
      <w:proofErr w:type="gramEnd"/>
      <w:r w:rsidRPr="00925302">
        <w:rPr>
          <w:rFonts w:ascii="Arial" w:eastAsia="Verdana" w:hAnsi="Arial" w:cs="Arial"/>
          <w:sz w:val="20"/>
          <w:szCs w:val="20"/>
        </w:rPr>
        <w:t>: улагање у кабловску инфраструктуру великог пропусног опсега, као што су оптички каблови, ће обезбедити да мрежа може да поднесе све већи проток података који се предвиђа за наредне године.</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Овај свеобухватни приступ се примењује како за активну опрему, као што су прекидачи и рутери, тако и за пасивне компоненте, укључујући каблове и комуникационе панеле.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Модернизацијом и активних и пасивних елемената УЦ ће обезбедити висок учинак, поузданост и скалабилност, заједно са повећањем брзине мреже, побољшати руковање подацима и обезбедити усаглашеност са прописима и стандардима.</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i/>
          <w:sz w:val="20"/>
          <w:szCs w:val="20"/>
        </w:rPr>
        <w:t>WAN</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УЦ користи регионалну рачунарску мрежу (WAN) за повезивање својих географски различитих локација са главним центром података. Ова инфраструктура WAN преноси осетљиве податке због чега је њена безбедност од највећег значаја за интегритет пословних процеса УЦ. УЦ ће осмислити приступ за стратешко побољшање WAN, чиме ће омогућити највиши ниво безбедности преноса података: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централизоване</w:t>
      </w:r>
      <w:proofErr w:type="gramEnd"/>
      <w:r w:rsidRPr="00925302">
        <w:rPr>
          <w:rFonts w:ascii="Arial" w:eastAsia="Verdana" w:hAnsi="Arial" w:cs="Arial"/>
          <w:b/>
          <w:sz w:val="20"/>
          <w:szCs w:val="20"/>
        </w:rPr>
        <w:t xml:space="preserve"> операције: </w:t>
      </w:r>
      <w:r w:rsidRPr="00925302">
        <w:rPr>
          <w:rFonts w:ascii="Arial" w:eastAsia="Verdana" w:hAnsi="Arial" w:cs="Arial"/>
          <w:sz w:val="20"/>
          <w:szCs w:val="20"/>
        </w:rPr>
        <w:t>инфраструктура WAN омогућава беспрекоран приступ систему УЦ и подацима у целој организацији. Да би се придржавала регулаторних стандарда, заштитила осетљиве податке и управљала оперативним ризиком, УЦ треба да буде посвећена обезбеђењу снажног, централизованог безбедносног оквира и централизованим ИТ операцијама;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безбедност</w:t>
      </w:r>
      <w:proofErr w:type="gramEnd"/>
      <w:r w:rsidRPr="00925302">
        <w:rPr>
          <w:rFonts w:ascii="Arial" w:eastAsia="Verdana" w:hAnsi="Arial" w:cs="Arial"/>
          <w:b/>
          <w:sz w:val="20"/>
          <w:szCs w:val="20"/>
        </w:rPr>
        <w:t xml:space="preserve">: </w:t>
      </w:r>
      <w:r w:rsidRPr="00925302">
        <w:rPr>
          <w:rFonts w:ascii="Arial" w:eastAsia="Verdana" w:hAnsi="Arial" w:cs="Arial"/>
          <w:sz w:val="20"/>
          <w:szCs w:val="20"/>
        </w:rPr>
        <w:t>стална евалуација и имплементација најновијих стандарда шифровања, као и протокола за контролу приступа како би се ојачала инфраструктура WAN. Вишефакторска аутентификација (MFA) и контрола приступа заснована на улогама (RBAC) ће бити узете у обзир као додатна заштита преноса осетљивих података;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праћење</w:t>
      </w:r>
      <w:proofErr w:type="gramEnd"/>
      <w:r w:rsidRPr="00925302">
        <w:rPr>
          <w:rFonts w:ascii="Arial" w:eastAsia="Verdana" w:hAnsi="Arial" w:cs="Arial"/>
          <w:b/>
          <w:sz w:val="20"/>
          <w:szCs w:val="20"/>
        </w:rPr>
        <w:t xml:space="preserve"> мреже и детекција претњи:</w:t>
      </w:r>
      <w:r w:rsidRPr="00925302">
        <w:rPr>
          <w:rFonts w:ascii="Arial" w:eastAsia="Verdana" w:hAnsi="Arial" w:cs="Arial"/>
          <w:sz w:val="20"/>
          <w:szCs w:val="20"/>
        </w:rPr>
        <w:t xml:space="preserve"> имплементација робусног система за праћење мреже за благовремено откривање и смањење могућих претњи по безбедност;</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редунданса</w:t>
      </w:r>
      <w:proofErr w:type="gramEnd"/>
      <w:r w:rsidRPr="00925302">
        <w:rPr>
          <w:rFonts w:ascii="Arial" w:eastAsia="Verdana" w:hAnsi="Arial" w:cs="Arial"/>
          <w:b/>
          <w:sz w:val="20"/>
          <w:szCs w:val="20"/>
        </w:rPr>
        <w:t xml:space="preserve"> и опоравак од хаваријских ситуација:</w:t>
      </w:r>
      <w:r w:rsidRPr="00925302">
        <w:rPr>
          <w:rFonts w:ascii="Arial" w:eastAsia="Verdana" w:hAnsi="Arial" w:cs="Arial"/>
          <w:sz w:val="20"/>
          <w:szCs w:val="20"/>
        </w:rPr>
        <w:t xml:space="preserve"> архитектура WAN има могућност премошћавања отказа како би се обезбедио наставак рада прекинутог сервиса и доступност података;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редовна</w:t>
      </w:r>
      <w:proofErr w:type="gramEnd"/>
      <w:r w:rsidRPr="00925302">
        <w:rPr>
          <w:rFonts w:ascii="Arial" w:eastAsia="Verdana" w:hAnsi="Arial" w:cs="Arial"/>
          <w:b/>
          <w:sz w:val="20"/>
          <w:szCs w:val="20"/>
        </w:rPr>
        <w:t xml:space="preserve"> процена безбедности:</w:t>
      </w:r>
      <w:r w:rsidRPr="00925302">
        <w:rPr>
          <w:rFonts w:ascii="Arial" w:eastAsia="Verdana" w:hAnsi="Arial" w:cs="Arial"/>
          <w:sz w:val="20"/>
          <w:szCs w:val="20"/>
        </w:rPr>
        <w:t xml:space="preserve"> редовно спровођење теста непробојности и процене рањивости како би се откриле и уклониле могуће слабе тачке.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Спровођењем ових стратешких побољшања УЦ ће моћи да значајно повећа безбедност инфраструктуре WAN чиме ће заштитити осетљиве податке и обезбедити сталну поузданост сервиса УЦ.</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i/>
          <w:sz w:val="20"/>
          <w:szCs w:val="20"/>
        </w:rPr>
        <w:t>CCN/CSI и CCN2</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Као члан Конвенције о заједничком транзитном поступку, УЦ је повезана на мрежу DG TAXUD путем заједничке комуникационе мреже (CCN) и заједничког системског интерфејса (CSI).</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Радна инфраструктура CCN/CSI се састоји од инфраструктуре затворене, безбедне мреже коју омогућава Европска комисија како би се олакшала размена информација између националне царинске и пореске управе.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Као што је наведено у Прилогу 5.</w:t>
      </w:r>
      <w:proofErr w:type="gramEnd"/>
      <w:r w:rsidRPr="00925302">
        <w:rPr>
          <w:rFonts w:ascii="Arial" w:eastAsia="Verdana" w:hAnsi="Arial" w:cs="Arial"/>
          <w:sz w:val="20"/>
          <w:szCs w:val="20"/>
        </w:rPr>
        <w:t xml:space="preserve"> MASP: ИТ стратегија, овај тип повезивања се сматра застарелим и користи се само за интеракцију земаља чланица путем застарелих апликација које користе парадигму CSI.</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CCN2 је посебан пројекат у оквиру MASP и представља нову генерацију садашње архитектуре CCN.</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То је платформа која подржава интеракције земаља чланица путем свих нових апликација које користе парадигму SOA.</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Користи архитектуру SOA и обезбеђује скуп сервиса додате вредности како би се подржале парадигме развоја и увођења нових апликација.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Апликације које ће бити развијене ће користити ову нову инфраструктуру CCN2.</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Развој CCN2 је у складу са свом консолидацијом архитектуре DG TAXUD.</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Такође је у складу и са визијом УЦ која се односи на реконструкцију инфраструктуре ИКТ и увођење окружења омогућеног за SOA.</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i/>
          <w:sz w:val="20"/>
          <w:szCs w:val="20"/>
        </w:rPr>
        <w:lastRenderedPageBreak/>
        <w:t>Бежична (WiFi) мрежа и интернет ствари (IoT)</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Тешко је замислити модеран систем ИКТ без бежичног приступа и мобилних уређаја или уређаја IoT.</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Иако Пословна стратегија УЦ не захтева ни мобилни приступ сервисима и подацима ИКТ, нити посебну стратегију за IoT, брзи технолошки развој указује на то да ће ове функције вероватно убрзо постати неопходне.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Због тога је увођење мобилног приступа и проучавање стратегије за IoT потребно узети у обзир као могуће будуће правце.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 сваком случају, веома брза, робусна и безбедна бежична мрежа може значајно побољшати искуство крајњих корисника тако што омогућава једноставнији и бржи приступ неопходној подршци.</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Због сталног развоја мобилних уређаја и IoT УЦ треба да размотри стратешки приступ увођењу безбедне и робусне бежичне мреже којој се приступа на основу провере идентитета.</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4.4. Радне станице</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Радне станице су важне, јер омогућавају интеракцију рачунарског система са корисником и окружењем.</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Да би се омогућио свакодневни рад, УЦ мора проверити да ли све радне станице могу да подрже пословање које расте, планирана и текућа технолошка побољшања.</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Добро дефинисана ИТ стратегија за радне станице се не бави само омогућавањем рада.</w:t>
      </w:r>
      <w:proofErr w:type="gramEnd"/>
      <w:r w:rsidRPr="00925302">
        <w:rPr>
          <w:rFonts w:ascii="Arial" w:eastAsia="Verdana" w:hAnsi="Arial" w:cs="Arial"/>
          <w:sz w:val="20"/>
          <w:szCs w:val="20"/>
        </w:rPr>
        <w:t xml:space="preserve"> УЦ ће усвојити следеће смернице за радне станице: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улагање</w:t>
      </w:r>
      <w:proofErr w:type="gramEnd"/>
      <w:r w:rsidRPr="00925302">
        <w:rPr>
          <w:rFonts w:ascii="Arial" w:eastAsia="Verdana" w:hAnsi="Arial" w:cs="Arial"/>
          <w:sz w:val="20"/>
          <w:szCs w:val="20"/>
        </w:rPr>
        <w:t xml:space="preserve"> у радне станице у складу са потребама и основним функцијама;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усклађеност</w:t>
      </w:r>
      <w:proofErr w:type="gramEnd"/>
      <w:r w:rsidRPr="00925302">
        <w:rPr>
          <w:rFonts w:ascii="Arial" w:eastAsia="Verdana" w:hAnsi="Arial" w:cs="Arial"/>
          <w:sz w:val="20"/>
          <w:szCs w:val="20"/>
        </w:rPr>
        <w:t xml:space="preserve"> са захтевима ИКТ и разматрање будућих потреба;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израда</w:t>
      </w:r>
      <w:proofErr w:type="gramEnd"/>
      <w:r w:rsidRPr="00925302">
        <w:rPr>
          <w:rFonts w:ascii="Arial" w:eastAsia="Verdana" w:hAnsi="Arial" w:cs="Arial"/>
          <w:sz w:val="20"/>
          <w:szCs w:val="20"/>
        </w:rPr>
        <w:t xml:space="preserve"> јединственог инвентара свих радних станица са могућношћу даљинског управљања;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обезбеђивање</w:t>
      </w:r>
      <w:proofErr w:type="gramEnd"/>
      <w:r w:rsidRPr="00925302">
        <w:rPr>
          <w:rFonts w:ascii="Arial" w:eastAsia="Verdana" w:hAnsi="Arial" w:cs="Arial"/>
          <w:sz w:val="20"/>
          <w:szCs w:val="20"/>
        </w:rPr>
        <w:t xml:space="preserve"> радних станица од неовлашћеног приступа и њихово закључавање (шифровање) у случају отуђења;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обезбеђивање</w:t>
      </w:r>
      <w:proofErr w:type="gramEnd"/>
      <w:r w:rsidRPr="00925302">
        <w:rPr>
          <w:rFonts w:ascii="Arial" w:eastAsia="Verdana" w:hAnsi="Arial" w:cs="Arial"/>
          <w:sz w:val="20"/>
          <w:szCs w:val="20"/>
        </w:rPr>
        <w:t xml:space="preserve"> радних станица од сајбер напада;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обављање</w:t>
      </w:r>
      <w:proofErr w:type="gramEnd"/>
      <w:r w:rsidRPr="00925302">
        <w:rPr>
          <w:rFonts w:ascii="Arial" w:eastAsia="Verdana" w:hAnsi="Arial" w:cs="Arial"/>
          <w:sz w:val="20"/>
          <w:szCs w:val="20"/>
        </w:rPr>
        <w:t xml:space="preserve"> редовне процене како би се отклониле могуће неисправне конфигурације или неусклађеност са овим смерницама.</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Стратешким одабиром радних станица које су у складу са овим смерницама, УЦ може створити техничко окружење које јој омогућава да буде продуктивнија, безбеднија и једноставнија.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Напомиње се да радне станице не представљају само додатну опрему, већ су стратешка улагања која целокупно рачунарско искуство могу подићи на виши ниво.</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i/>
          <w:sz w:val="20"/>
          <w:szCs w:val="20"/>
        </w:rPr>
        <w:t>ОС радних станица</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Код избора ОС радне станице приоритет има једноставан кориснички интерфејс како би се побољшали искуство и продуктивност запослених.</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Одабрани клијентски ОС мора имати и могућност инсталације и коришћења основних локалних апликација, обезбеђивати континуитет рада и задовољавати специфичне потребе корисника.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Због тога УЦ бира оперативни систем Microsoft Windows као платформу за клијентску радну станицу.</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Централни кориснички директоријум ће управљати приступом клијентском ОС, омогућавајући даљинско управљање и јаке безбедносне протоколе.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Овај централизовани приступ олакшава спровођење права приступа са грануларном контролом, при чему сваки корисник добија посебно одобрење у складу са својом улогом, као и система даљинског управљања ОС.</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i/>
          <w:sz w:val="20"/>
          <w:szCs w:val="20"/>
        </w:rPr>
        <w:t>Апликације радне станице</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УЦ даје приоритет ефикасним пословним процесима, а да се при томе не ослања само на одређене клијентске апликације.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Овај приступ омогућава коришћење прилагођених апликација које су креиране тако да повећају продуктивност запослених, у смислу конверзације и комуникације (нпр.</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 xml:space="preserve">Outlook, Teams, Skype), управљања канцеларијским пословима и документацијом (MS Office, дигитални потпис) или других корисних </w:t>
      </w:r>
      <w:r w:rsidRPr="00925302">
        <w:rPr>
          <w:rFonts w:ascii="Arial" w:eastAsia="Verdana" w:hAnsi="Arial" w:cs="Arial"/>
          <w:sz w:val="20"/>
          <w:szCs w:val="20"/>
        </w:rPr>
        <w:lastRenderedPageBreak/>
        <w:t>апликација за свакодневни рад (читач pdf докумената, апликација за штампање, скенирање).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Међутим, мора се обезбедити да ове апликације никако не угрожавају безбедност и стабилност клијентског ОС.</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У циљу смањења могућих ризика повезаних са клијентским апликацијама, сектор за ИКТ се руководи следећим смерницама: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набавка</w:t>
      </w:r>
      <w:proofErr w:type="gramEnd"/>
      <w:r w:rsidRPr="00925302">
        <w:rPr>
          <w:rFonts w:ascii="Arial" w:eastAsia="Verdana" w:hAnsi="Arial" w:cs="Arial"/>
          <w:b/>
          <w:sz w:val="20"/>
          <w:szCs w:val="20"/>
        </w:rPr>
        <w:t xml:space="preserve"> апликација са лиценцом од проверених продаваца:</w:t>
      </w:r>
      <w:r w:rsidRPr="00925302">
        <w:rPr>
          <w:rFonts w:ascii="Arial" w:eastAsia="Verdana" w:hAnsi="Arial" w:cs="Arial"/>
          <w:sz w:val="20"/>
          <w:szCs w:val="20"/>
        </w:rPr>
        <w:t xml:space="preserve"> дозвољено је коришћење само апликација са лиценцом које су набављене од угледних продаваца. На овај начин се смањује ризик од штетног софтвера или рањивости садржаних у недозвољеном софтверу;</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редовно</w:t>
      </w:r>
      <w:proofErr w:type="gramEnd"/>
      <w:r w:rsidRPr="00925302">
        <w:rPr>
          <w:rFonts w:ascii="Arial" w:eastAsia="Verdana" w:hAnsi="Arial" w:cs="Arial"/>
          <w:b/>
          <w:sz w:val="20"/>
          <w:szCs w:val="20"/>
        </w:rPr>
        <w:t xml:space="preserve"> управљање закрпама:</w:t>
      </w:r>
      <w:r w:rsidRPr="00925302">
        <w:rPr>
          <w:rFonts w:ascii="Arial" w:eastAsia="Verdana" w:hAnsi="Arial" w:cs="Arial"/>
          <w:sz w:val="20"/>
          <w:szCs w:val="20"/>
        </w:rPr>
        <w:t xml:space="preserve"> обезбеђивање благовремене примене безбедносних закрпа за све клијентске апликације. На овај начин се максимално смањује злоупотреба познатих рањивости од стране сајбер нападача;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строга</w:t>
      </w:r>
      <w:proofErr w:type="gramEnd"/>
      <w:r w:rsidRPr="00925302">
        <w:rPr>
          <w:rFonts w:ascii="Arial" w:eastAsia="Verdana" w:hAnsi="Arial" w:cs="Arial"/>
          <w:b/>
          <w:sz w:val="20"/>
          <w:szCs w:val="20"/>
        </w:rPr>
        <w:t xml:space="preserve"> контрола приступа недозвољених апликација:</w:t>
      </w:r>
      <w:r w:rsidRPr="00925302">
        <w:rPr>
          <w:rFonts w:ascii="Arial" w:eastAsia="Verdana" w:hAnsi="Arial" w:cs="Arial"/>
          <w:sz w:val="20"/>
          <w:szCs w:val="20"/>
        </w:rPr>
        <w:t xml:space="preserve"> спровођење посебних мера безбедности у циљу спречавања инсталације недозвољених апликација. На овај начин се чува интегритет клијентског ОС и смањује површина напада;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централизовано</w:t>
      </w:r>
      <w:proofErr w:type="gramEnd"/>
      <w:r w:rsidRPr="00925302">
        <w:rPr>
          <w:rFonts w:ascii="Arial" w:eastAsia="Verdana" w:hAnsi="Arial" w:cs="Arial"/>
          <w:b/>
          <w:sz w:val="20"/>
          <w:szCs w:val="20"/>
        </w:rPr>
        <w:t xml:space="preserve"> управљање и контрола:</w:t>
      </w:r>
      <w:r w:rsidRPr="00925302">
        <w:rPr>
          <w:rFonts w:ascii="Arial" w:eastAsia="Verdana" w:hAnsi="Arial" w:cs="Arial"/>
          <w:sz w:val="20"/>
          <w:szCs w:val="20"/>
        </w:rPr>
        <w:t xml:space="preserve"> имплементација централизованог система за потребе даљинског управљања и контроле клијентских апликација. </w:t>
      </w:r>
      <w:proofErr w:type="gramStart"/>
      <w:r w:rsidRPr="00925302">
        <w:rPr>
          <w:rFonts w:ascii="Arial" w:eastAsia="Verdana" w:hAnsi="Arial" w:cs="Arial"/>
          <w:sz w:val="20"/>
          <w:szCs w:val="20"/>
        </w:rPr>
        <w:t>На овај начин се омогућава ефикасно увођење, ажурирање и праћење, чиме се додатно повећава безбедност и ефикасност рада.</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Застареле апликација на чијим слабим тачкама нису постављене закрпе могу представљати велике безбедносне пропусте на клијентским оперативним системима.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Нападачи могу злоупотребити ове слабе тачке како би добили неовлашћен приступ осетљивим подацима и прекинули основне пословне процесе.</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4.5. Мобилни уређаји</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Као што је претходно наведено, због тога што се УЦ ослања на десктоп рачунаре и радне станице, потенцијал мобилних уређаја за омогућавање једноставнијих операција УЦ је ограничен.</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Међутим, текућа побољшања и брзи развој ИТ пружају добру прилику за коришћење предности технологије мобилних уређаја.</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 данашњем динамичном окружењу је неопходно максимално повећање ефикасности и брже пружање вредности купцима.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Мобилни уређаји више нису само опција за остварење ових циљева.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Осим тога, промовисање беспапирног друштва од стране Европске комисије подржава потребу да се иде корак даље од традиционалних радних токова који се ослањају на рачунаре.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Да би се прилагодила будућности без папира и повећала ефикасност, УЦ треба да размотри интеграцију мобилних уређаја или мобилних терминала за одређене пословне процесе.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Ова решења су савршена за нискоризичне трансакције осетљиве на време, омогућавајући УЦ да брже и одговорније услужује своје клијенте.</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i/>
          <w:sz w:val="20"/>
          <w:szCs w:val="20"/>
        </w:rPr>
        <w:t>ОC мобилних уређаја</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Иако УЦ за сада не користи мобилне уређаје, нова достигнућа информационе технологије указују на то да ће вероватно имати важну улогу у будућности.</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Да би искористила овај потенцијал, УЦ треба да размотри стратешки приступ управљању ОС мобилних уређаја.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Међутим, УЦ треба да узме у обзир коришћење мобилних уређаја које је ограничено само на сервисе без или са малим утицајем на њене пословне процесе.</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За разлику од конвенционалних радних станица, мобилни уређаји користе бежични или мобилни интернет за приступ мрежи, што доводи до различитих безбедносних проблема.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Потребан је другачији начин управљања њиховим ОС и правима приступа из централне локације.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Срећом су систем даљинског управљања и контроле ОС мобилних уређаја унапређени.</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Уколико УЦ одлучи да их користи у својим пословним процесима, успостављање таквог система ће бити неопходно.</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4.6. Базе података (БП)</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lastRenderedPageBreak/>
        <w:t>У данашњем свету који почива на подацима, базе података (БП) су напредовале много даље од једноставних складишних решења.</w:t>
      </w:r>
      <w:proofErr w:type="gramEnd"/>
      <w:r w:rsidRPr="00925302">
        <w:rPr>
          <w:rFonts w:ascii="Arial" w:eastAsia="Verdana" w:hAnsi="Arial" w:cs="Arial"/>
          <w:sz w:val="20"/>
          <w:szCs w:val="20"/>
        </w:rPr>
        <w:t xml:space="preserve"> Имајући у виду како добро креиране и организоване базе података могу допринети остварењу стратешких циљева, ова стратегија тежи да искористи њихов потенцијал у целости: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консолидација</w:t>
      </w:r>
      <w:proofErr w:type="gramEnd"/>
      <w:r w:rsidRPr="00925302">
        <w:rPr>
          <w:rFonts w:ascii="Arial" w:eastAsia="Verdana" w:hAnsi="Arial" w:cs="Arial"/>
          <w:sz w:val="20"/>
          <w:szCs w:val="20"/>
        </w:rPr>
        <w:t xml:space="preserve"> основних и пратећих апликација у једну БП са једним продавцем БП и сервером са наменским инстанцама;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интегритет</w:t>
      </w:r>
      <w:proofErr w:type="gramEnd"/>
      <w:r w:rsidRPr="00925302">
        <w:rPr>
          <w:rFonts w:ascii="Arial" w:eastAsia="Verdana" w:hAnsi="Arial" w:cs="Arial"/>
          <w:sz w:val="20"/>
          <w:szCs w:val="20"/>
        </w:rPr>
        <w:t xml:space="preserve"> и висока доступност података су најважнији захтеви;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БП треба да подржава модел релационих података и да има интерфејс за интеграцију са апликацијама;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омогућавање</w:t>
      </w:r>
      <w:proofErr w:type="gramEnd"/>
      <w:r w:rsidRPr="00925302">
        <w:rPr>
          <w:rFonts w:ascii="Arial" w:eastAsia="Verdana" w:hAnsi="Arial" w:cs="Arial"/>
          <w:sz w:val="20"/>
          <w:szCs w:val="20"/>
        </w:rPr>
        <w:t xml:space="preserve"> одговарајуће безбедности информација и на нивоу ОС и на нивоу БП;</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 БП мора да има могућност одржавања, као што су израда резервних копија и праћење.</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Уколико се фокусирају на горе наведене стратешке циљеве, организације могу на располагању имати прави потенцијал својих база података и стећи значајну предност међу конкуренцијом у доба података.</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4.7. Интеграција најсавременијих технологија</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Област базе података и комуникација се стално развија, тако да наша стратегија за DC мора бити прилагодљива и усмерена на будућност.</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 овом одељку је описана стратешка визија која може задовољити не само садашње, већ и будуће потребе.</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 xml:space="preserve">– </w:t>
      </w:r>
      <w:r w:rsidRPr="00925302">
        <w:rPr>
          <w:rFonts w:ascii="Arial" w:eastAsia="Verdana" w:hAnsi="Arial" w:cs="Arial"/>
          <w:b/>
          <w:sz w:val="20"/>
          <w:szCs w:val="20"/>
        </w:rPr>
        <w:t>Интеграција у облаку (cloud)</w:t>
      </w:r>
      <w:r w:rsidRPr="00925302">
        <w:rPr>
          <w:rFonts w:ascii="Arial" w:eastAsia="Verdana" w:hAnsi="Arial" w:cs="Arial"/>
          <w:sz w:val="20"/>
          <w:szCs w:val="20"/>
        </w:rPr>
        <w:t xml:space="preserve"> – рачунарство у облаку је постала доминантна сила, са приступом рачунарских ресурсима на захтев.</w:t>
      </w:r>
      <w:proofErr w:type="gramEnd"/>
      <w:r w:rsidRPr="00925302">
        <w:rPr>
          <w:rFonts w:ascii="Arial" w:eastAsia="Verdana" w:hAnsi="Arial" w:cs="Arial"/>
          <w:sz w:val="20"/>
          <w:szCs w:val="20"/>
        </w:rPr>
        <w:t xml:space="preserve"> Будућност облака је њихово ширење усвајањем неколико могућих приступа као што је приватни хибридни облак, рачунарство без сервера итд;</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хиперконвергована</w:t>
      </w:r>
      <w:proofErr w:type="gramEnd"/>
      <w:r w:rsidRPr="00925302">
        <w:rPr>
          <w:rFonts w:ascii="Arial" w:eastAsia="Verdana" w:hAnsi="Arial" w:cs="Arial"/>
          <w:b/>
          <w:sz w:val="20"/>
          <w:szCs w:val="20"/>
        </w:rPr>
        <w:t xml:space="preserve"> инфраструктура (HCI) </w:t>
      </w:r>
      <w:r w:rsidRPr="00925302">
        <w:rPr>
          <w:rFonts w:ascii="Arial" w:eastAsia="Verdana" w:hAnsi="Arial" w:cs="Arial"/>
          <w:sz w:val="20"/>
          <w:szCs w:val="20"/>
        </w:rPr>
        <w:t>– овај приступ нуди брже увођење, лакше управљање и већу скалабилност у поређењу са традиционалним поставкама DC;</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контејнеризација</w:t>
      </w:r>
      <w:proofErr w:type="gramEnd"/>
      <w:r w:rsidRPr="00925302">
        <w:rPr>
          <w:rFonts w:ascii="Arial" w:eastAsia="Verdana" w:hAnsi="Arial" w:cs="Arial"/>
          <w:sz w:val="20"/>
          <w:szCs w:val="20"/>
        </w:rPr>
        <w:t xml:space="preserve"> – будућност центара података и комуникација, брза, скалабилна и ефикасна.</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Усвајањем ових трендова који су усмерени ка будућности – интеграције у облаку, хиперконверговане инфраструктура, контејнеризације – DC УЦ може постати безбедна, скалабилна и ефикасна платформа која омогућава брзо обављање послова и иновације.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Ова стратешка визија омогућава да DC УЦ остане чврста основа за даљи успех у области технологије која се стално мења.</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sz w:val="20"/>
          <w:szCs w:val="20"/>
        </w:rPr>
        <w:t>5. БЕЗБЕДНОСТ ИКТ</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Захтеви државне безбедности</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Као државна институција, УЦ мора поступати у складу са стратегијом државне информационе безбедности</w:t>
      </w:r>
      <w:r w:rsidRPr="00925302">
        <w:rPr>
          <w:rFonts w:ascii="Arial" w:eastAsia="Verdana" w:hAnsi="Arial" w:cs="Arial"/>
          <w:sz w:val="20"/>
          <w:szCs w:val="20"/>
          <w:vertAlign w:val="superscript"/>
        </w:rPr>
        <w:t>3</w:t>
      </w:r>
      <w:r w:rsidRPr="00925302">
        <w:rPr>
          <w:rFonts w:ascii="Arial" w:eastAsia="Verdana" w:hAnsi="Arial" w:cs="Arial"/>
          <w:sz w:val="20"/>
          <w:szCs w:val="20"/>
        </w:rPr>
        <w:t>, која се спроводи путем разних прописа.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Како би наша ИКТ стратегија безбедности засигурно била у складу са свим нашим пословним циљевима, неопходно је узети у обзир национални правни оквир, нарочито у погледу Закона о информационој безбедности и Закона о заштити података о личности.</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Ови прописи представљају смернице за приступ безбедности који има УЦ и омогућавају јој да постигне равнотежу између смањења ризика и одржавања оперативне ефикасности.</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Добра стратегија безбедности ИКТ је неопходна за заштиту података, спречавање прекида и одржавање континуитета пословања.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Обим безбедности ИКТ је прилично велики и превазилази ИКТ, односно обухвата целу организацију.</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Ово је главни разлог због којег УЦ треба да размотри израду стратешких докумената о усвајању система информационе безбедности којим се успостављају мере безбедности, принципи, методе и процедуре за постизање и одржавање адекватног нивоа безбедности организације.</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Да би се ефективно заштитили подаци и системи организације, УЦ разматра стратешки приступ безбедности ИКТ, а у наставку су наведене кључне области за побољшање одбране организације: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1.</w:t>
      </w:r>
      <w:r w:rsidRPr="00925302">
        <w:rPr>
          <w:rFonts w:ascii="Arial" w:eastAsia="Verdana" w:hAnsi="Arial" w:cs="Arial"/>
          <w:b/>
          <w:sz w:val="20"/>
          <w:szCs w:val="20"/>
        </w:rPr>
        <w:t xml:space="preserve"> </w:t>
      </w:r>
      <w:proofErr w:type="gramStart"/>
      <w:r w:rsidRPr="00925302">
        <w:rPr>
          <w:rFonts w:ascii="Arial" w:eastAsia="Verdana" w:hAnsi="Arial" w:cs="Arial"/>
          <w:b/>
          <w:sz w:val="20"/>
          <w:szCs w:val="20"/>
        </w:rPr>
        <w:t>процена</w:t>
      </w:r>
      <w:proofErr w:type="gramEnd"/>
      <w:r w:rsidRPr="00925302">
        <w:rPr>
          <w:rFonts w:ascii="Arial" w:eastAsia="Verdana" w:hAnsi="Arial" w:cs="Arial"/>
          <w:b/>
          <w:sz w:val="20"/>
          <w:szCs w:val="20"/>
        </w:rPr>
        <w:t xml:space="preserve"> ризика:</w:t>
      </w:r>
      <w:r w:rsidRPr="00925302">
        <w:rPr>
          <w:rFonts w:ascii="Arial" w:eastAsia="Verdana" w:hAnsi="Arial" w:cs="Arial"/>
          <w:sz w:val="20"/>
          <w:szCs w:val="20"/>
        </w:rPr>
        <w:t xml:space="preserve"> први корак подразумева утврђивање слабих тачака ваше организације. Спроведите свеобухватну процену ризика како бисте открили угрожену имовину, могуће претње и слабости које могу бити злоупотребљене;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lastRenderedPageBreak/>
        <w:t>2.</w:t>
      </w:r>
      <w:r w:rsidRPr="00925302">
        <w:rPr>
          <w:rFonts w:ascii="Arial" w:eastAsia="Verdana" w:hAnsi="Arial" w:cs="Arial"/>
          <w:b/>
          <w:sz w:val="20"/>
          <w:szCs w:val="20"/>
        </w:rPr>
        <w:t xml:space="preserve"> </w:t>
      </w:r>
      <w:proofErr w:type="gramStart"/>
      <w:r w:rsidRPr="00925302">
        <w:rPr>
          <w:rFonts w:ascii="Arial" w:eastAsia="Verdana" w:hAnsi="Arial" w:cs="Arial"/>
          <w:b/>
          <w:sz w:val="20"/>
          <w:szCs w:val="20"/>
        </w:rPr>
        <w:t>одбрана</w:t>
      </w:r>
      <w:proofErr w:type="gramEnd"/>
      <w:r w:rsidRPr="00925302">
        <w:rPr>
          <w:rFonts w:ascii="Arial" w:eastAsia="Verdana" w:hAnsi="Arial" w:cs="Arial"/>
          <w:b/>
          <w:sz w:val="20"/>
          <w:szCs w:val="20"/>
        </w:rPr>
        <w:t xml:space="preserve"> по дубини:</w:t>
      </w:r>
      <w:r w:rsidRPr="00925302">
        <w:rPr>
          <w:rFonts w:ascii="Arial" w:eastAsia="Verdana" w:hAnsi="Arial" w:cs="Arial"/>
          <w:sz w:val="20"/>
          <w:szCs w:val="20"/>
        </w:rPr>
        <w:t xml:space="preserve"> немојте се ослањати само на једно безбедносно решење. </w:t>
      </w:r>
      <w:proofErr w:type="gramStart"/>
      <w:r w:rsidRPr="00925302">
        <w:rPr>
          <w:rFonts w:ascii="Arial" w:eastAsia="Verdana" w:hAnsi="Arial" w:cs="Arial"/>
          <w:sz w:val="20"/>
          <w:szCs w:val="20"/>
        </w:rPr>
        <w:t>Спроведите стратегију слојевите одбране која подразумева разне контроле.</w:t>
      </w:r>
      <w:proofErr w:type="gramEnd"/>
      <w:r w:rsidRPr="00925302">
        <w:rPr>
          <w:rFonts w:ascii="Arial" w:eastAsia="Verdana" w:hAnsi="Arial" w:cs="Arial"/>
          <w:sz w:val="20"/>
          <w:szCs w:val="20"/>
        </w:rPr>
        <w:t xml:space="preserve"> То могу бити мрежне баријере, системи детекције упада, шифровање података, контрола приступа и едукација корисника;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3.</w:t>
      </w:r>
      <w:r w:rsidRPr="00925302">
        <w:rPr>
          <w:rFonts w:ascii="Arial" w:eastAsia="Verdana" w:hAnsi="Arial" w:cs="Arial"/>
          <w:b/>
          <w:sz w:val="20"/>
          <w:szCs w:val="20"/>
        </w:rPr>
        <w:t xml:space="preserve"> </w:t>
      </w:r>
      <w:proofErr w:type="gramStart"/>
      <w:r w:rsidRPr="00925302">
        <w:rPr>
          <w:rFonts w:ascii="Arial" w:eastAsia="Verdana" w:hAnsi="Arial" w:cs="Arial"/>
          <w:b/>
          <w:sz w:val="20"/>
          <w:szCs w:val="20"/>
        </w:rPr>
        <w:t>људи</w:t>
      </w:r>
      <w:proofErr w:type="gramEnd"/>
      <w:r w:rsidRPr="00925302">
        <w:rPr>
          <w:rFonts w:ascii="Arial" w:eastAsia="Verdana" w:hAnsi="Arial" w:cs="Arial"/>
          <w:b/>
          <w:sz w:val="20"/>
          <w:szCs w:val="20"/>
        </w:rPr>
        <w:t xml:space="preserve"> су најважнији:</w:t>
      </w:r>
      <w:r w:rsidRPr="00925302">
        <w:rPr>
          <w:rFonts w:ascii="Arial" w:eastAsia="Verdana" w:hAnsi="Arial" w:cs="Arial"/>
          <w:sz w:val="20"/>
          <w:szCs w:val="20"/>
        </w:rPr>
        <w:t xml:space="preserve"> чак се и најнапреднија технологија може заобићи захваљујући људској грешци. </w:t>
      </w:r>
      <w:proofErr w:type="gramStart"/>
      <w:r w:rsidRPr="00925302">
        <w:rPr>
          <w:rFonts w:ascii="Arial" w:eastAsia="Verdana" w:hAnsi="Arial" w:cs="Arial"/>
          <w:sz w:val="20"/>
          <w:szCs w:val="20"/>
        </w:rPr>
        <w:t>Уложите у обуку запослених о безбедности на којој ће научити да препознају и избегну сајбер нападе.</w:t>
      </w:r>
      <w:proofErr w:type="gramEnd"/>
      <w:r w:rsidRPr="00925302">
        <w:rPr>
          <w:rFonts w:ascii="Arial" w:eastAsia="Verdana" w:hAnsi="Arial" w:cs="Arial"/>
          <w:sz w:val="20"/>
          <w:szCs w:val="20"/>
        </w:rPr>
        <w:t xml:space="preserve"> Пецање и тактике социјалног инжењеринга су честе, тако да је неопходно запослене добро обучити;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4.</w:t>
      </w:r>
      <w:r w:rsidRPr="00925302">
        <w:rPr>
          <w:rFonts w:ascii="Arial" w:eastAsia="Verdana" w:hAnsi="Arial" w:cs="Arial"/>
          <w:b/>
          <w:sz w:val="20"/>
          <w:szCs w:val="20"/>
        </w:rPr>
        <w:t xml:space="preserve"> </w:t>
      </w:r>
      <w:proofErr w:type="gramStart"/>
      <w:r w:rsidRPr="00925302">
        <w:rPr>
          <w:rFonts w:ascii="Arial" w:eastAsia="Verdana" w:hAnsi="Arial" w:cs="Arial"/>
          <w:b/>
          <w:sz w:val="20"/>
          <w:szCs w:val="20"/>
        </w:rPr>
        <w:t>план</w:t>
      </w:r>
      <w:proofErr w:type="gramEnd"/>
      <w:r w:rsidRPr="00925302">
        <w:rPr>
          <w:rFonts w:ascii="Arial" w:eastAsia="Verdana" w:hAnsi="Arial" w:cs="Arial"/>
          <w:b/>
          <w:sz w:val="20"/>
          <w:szCs w:val="20"/>
        </w:rPr>
        <w:t xml:space="preserve"> реаговања у случају инцидента:</w:t>
      </w:r>
      <w:r w:rsidRPr="00925302">
        <w:rPr>
          <w:rFonts w:ascii="Arial" w:eastAsia="Verdana" w:hAnsi="Arial" w:cs="Arial"/>
          <w:sz w:val="20"/>
          <w:szCs w:val="20"/>
        </w:rPr>
        <w:t xml:space="preserve"> упркос вашим великим напорима безбедност ипак може бити нарушена. </w:t>
      </w:r>
      <w:proofErr w:type="gramStart"/>
      <w:r w:rsidRPr="00925302">
        <w:rPr>
          <w:rFonts w:ascii="Arial" w:eastAsia="Verdana" w:hAnsi="Arial" w:cs="Arial"/>
          <w:sz w:val="20"/>
          <w:szCs w:val="20"/>
        </w:rPr>
        <w:t>Спреман и добро дефинисан план реаговања у случају инцидента ће максимално смањити штету и обезбедити брз опоравак.</w:t>
      </w:r>
      <w:proofErr w:type="gramEnd"/>
      <w:r w:rsidRPr="00925302">
        <w:rPr>
          <w:rFonts w:ascii="Arial" w:eastAsia="Verdana" w:hAnsi="Arial" w:cs="Arial"/>
          <w:sz w:val="20"/>
          <w:szCs w:val="20"/>
        </w:rPr>
        <w:t xml:space="preserve"> Овим планом треба дефинисати улоге и задужења, комуникационе протоколе и процедуре за враћање података;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5.</w:t>
      </w:r>
      <w:r w:rsidRPr="00925302">
        <w:rPr>
          <w:rFonts w:ascii="Arial" w:eastAsia="Verdana" w:hAnsi="Arial" w:cs="Arial"/>
          <w:b/>
          <w:sz w:val="20"/>
          <w:szCs w:val="20"/>
        </w:rPr>
        <w:t xml:space="preserve"> </w:t>
      </w:r>
      <w:proofErr w:type="gramStart"/>
      <w:r w:rsidRPr="00925302">
        <w:rPr>
          <w:rFonts w:ascii="Arial" w:eastAsia="Verdana" w:hAnsi="Arial" w:cs="Arial"/>
          <w:b/>
          <w:sz w:val="20"/>
          <w:szCs w:val="20"/>
        </w:rPr>
        <w:t>стално</w:t>
      </w:r>
      <w:proofErr w:type="gramEnd"/>
      <w:r w:rsidRPr="00925302">
        <w:rPr>
          <w:rFonts w:ascii="Arial" w:eastAsia="Verdana" w:hAnsi="Arial" w:cs="Arial"/>
          <w:b/>
          <w:sz w:val="20"/>
          <w:szCs w:val="20"/>
        </w:rPr>
        <w:t xml:space="preserve"> усавршавање:</w:t>
      </w:r>
      <w:r w:rsidRPr="00925302">
        <w:rPr>
          <w:rFonts w:ascii="Arial" w:eastAsia="Verdana" w:hAnsi="Arial" w:cs="Arial"/>
          <w:sz w:val="20"/>
          <w:szCs w:val="20"/>
        </w:rPr>
        <w:t xml:space="preserve"> сајбер претње се стално развијају. </w:t>
      </w:r>
      <w:proofErr w:type="gramStart"/>
      <w:r w:rsidRPr="00925302">
        <w:rPr>
          <w:rFonts w:ascii="Arial" w:eastAsia="Verdana" w:hAnsi="Arial" w:cs="Arial"/>
          <w:sz w:val="20"/>
          <w:szCs w:val="20"/>
        </w:rPr>
        <w:t>Редовно ревидирајте и ажурирајте своје безбедносне политике, процедуре и технологије како бисте задржали предност у односу на надолазеће претње.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Управљање закрпама је неопходно за отклањање слабих тачака софтвера чим исте буду откривене.</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Усвајањем стратешког приступа безбедности ИКТ организације могу значајно смањити ризик од сајбер напада и заштити своје вредне податке и имовину.</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Сталним праћењем, проценом и прилагођавањем безбедносних мера организација УЦ може остати отпорна на сајбер претње које се стално развијају.</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i/>
          <w:sz w:val="20"/>
          <w:szCs w:val="20"/>
        </w:rPr>
        <w:t>3 Стратегија за развој информационог друштва и информационе безбедности Републике Србије за период од 2021.</w:t>
      </w:r>
      <w:proofErr w:type="gramEnd"/>
      <w:r w:rsidRPr="00925302">
        <w:rPr>
          <w:rFonts w:ascii="Arial" w:eastAsia="Verdana" w:hAnsi="Arial" w:cs="Arial"/>
          <w:i/>
          <w:sz w:val="20"/>
          <w:szCs w:val="20"/>
        </w:rPr>
        <w:t xml:space="preserve"> </w:t>
      </w:r>
      <w:proofErr w:type="gramStart"/>
      <w:r w:rsidRPr="00925302">
        <w:rPr>
          <w:rFonts w:ascii="Arial" w:eastAsia="Verdana" w:hAnsi="Arial" w:cs="Arial"/>
          <w:i/>
          <w:sz w:val="20"/>
          <w:szCs w:val="20"/>
        </w:rPr>
        <w:t>до</w:t>
      </w:r>
      <w:proofErr w:type="gramEnd"/>
      <w:r w:rsidRPr="00925302">
        <w:rPr>
          <w:rFonts w:ascii="Arial" w:eastAsia="Verdana" w:hAnsi="Arial" w:cs="Arial"/>
          <w:i/>
          <w:sz w:val="20"/>
          <w:szCs w:val="20"/>
        </w:rPr>
        <w:t xml:space="preserve"> 2026, Закључак број 86/2021-5 „Службени гласник РС”, број 86 од 3. </w:t>
      </w:r>
      <w:proofErr w:type="gramStart"/>
      <w:r w:rsidRPr="00925302">
        <w:rPr>
          <w:rFonts w:ascii="Arial" w:eastAsia="Verdana" w:hAnsi="Arial" w:cs="Arial"/>
          <w:i/>
          <w:sz w:val="20"/>
          <w:szCs w:val="20"/>
        </w:rPr>
        <w:t>септембра</w:t>
      </w:r>
      <w:proofErr w:type="gramEnd"/>
      <w:r w:rsidRPr="00925302">
        <w:rPr>
          <w:rFonts w:ascii="Arial" w:eastAsia="Verdana" w:hAnsi="Arial" w:cs="Arial"/>
          <w:i/>
          <w:sz w:val="20"/>
          <w:szCs w:val="20"/>
        </w:rPr>
        <w:t xml:space="preserve"> 2021. </w:t>
      </w:r>
      <w:proofErr w:type="gramStart"/>
      <w:r w:rsidRPr="00925302">
        <w:rPr>
          <w:rFonts w:ascii="Arial" w:eastAsia="Verdana" w:hAnsi="Arial" w:cs="Arial"/>
          <w:i/>
          <w:sz w:val="20"/>
          <w:szCs w:val="20"/>
        </w:rPr>
        <w:t>године</w:t>
      </w:r>
      <w:proofErr w:type="gramEnd"/>
      <w:r w:rsidRPr="00925302">
        <w:rPr>
          <w:rFonts w:ascii="Arial" w:eastAsia="Verdana" w:hAnsi="Arial" w:cs="Arial"/>
          <w:i/>
          <w:sz w:val="20"/>
          <w:szCs w:val="20"/>
        </w:rPr>
        <w:t>.</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Безбедносне смернице ЕУ и Европске комисије</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Европска комисија заузима проактиван приступ сајбер безбедности, тако што поштује своје унутрашње безбедносне смернице и усклађује их са широм стратегијом сајбер безбедности ЕУ.</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Ова стратегија наглашава значај заштите основне инфраструктуре, промоције безбедних повезаних уређај и постављања колективне одбране од сајбер напада.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Европска комисија активно ради са земљама чланицама на обезбеђењу усклађеног приступа информационој безбедности у целој Европској унији.</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Општа уредба о заштити података (ОУЗП)</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Општа уредба о заштити података (ОУЗП) је Уредба Европске уније (ЕУ) којом се уређује обрада података о личности од стране организација.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Одобрио ју је Парламент ЕУ 2016.</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године</w:t>
      </w:r>
      <w:proofErr w:type="gramEnd"/>
      <w:r w:rsidRPr="00925302">
        <w:rPr>
          <w:rFonts w:ascii="Arial" w:eastAsia="Verdana" w:hAnsi="Arial" w:cs="Arial"/>
          <w:sz w:val="20"/>
          <w:szCs w:val="20"/>
        </w:rPr>
        <w:t xml:space="preserve">, а иста је ступила на снагу 25. </w:t>
      </w:r>
      <w:proofErr w:type="gramStart"/>
      <w:r w:rsidRPr="00925302">
        <w:rPr>
          <w:rFonts w:ascii="Arial" w:eastAsia="Verdana" w:hAnsi="Arial" w:cs="Arial"/>
          <w:sz w:val="20"/>
          <w:szCs w:val="20"/>
        </w:rPr>
        <w:t>маја</w:t>
      </w:r>
      <w:proofErr w:type="gramEnd"/>
      <w:r w:rsidRPr="00925302">
        <w:rPr>
          <w:rFonts w:ascii="Arial" w:eastAsia="Verdana" w:hAnsi="Arial" w:cs="Arial"/>
          <w:sz w:val="20"/>
          <w:szCs w:val="20"/>
        </w:rPr>
        <w:t xml:space="preserve"> 2018. </w:t>
      </w:r>
      <w:proofErr w:type="gramStart"/>
      <w:r w:rsidRPr="00925302">
        <w:rPr>
          <w:rFonts w:ascii="Arial" w:eastAsia="Verdana" w:hAnsi="Arial" w:cs="Arial"/>
          <w:sz w:val="20"/>
          <w:szCs w:val="20"/>
        </w:rPr>
        <w:t>године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ОУЗП је имала глобални утицај на праксу заштите података.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Принудила је организације да буду транспарентније у вези са прикупљањем података које обављају и лицима дају више контроле над сопственим подацима.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Иако је то у почетку била уредба за ЕУ, високо је подигла критеријуме заштите података и утицала на сличне законе о заштити података широм света.</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Процес приступања Србије ЕУ је у току и Србија је добила статус земље кандидата.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Због тога Влада Републике Србије за сада није у обавези да се придржава ОУЗП.</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Међутим, заштита података се сматра основним аспектом приватности и безбедности људи у Републици Србији. Због тога је Влада Републике Србије донела Закон о заштити података о личности.</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Овај закон је у складу са већином захтева из ОУЗП.</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sz w:val="20"/>
          <w:szCs w:val="20"/>
        </w:rPr>
        <w:t>6. ОРГАНИЗАЦИЈА И УПРАВЉАЊЕ ИТ</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 овом одељку је представљена стратегија организације и управљања ИКТ УЦ, са посебним освртом на прелазак са класичног управљања пројектима на методологију управљања сервисима ИТ (ITSM).</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6.1. Прелазак са управљања пројектима на методологију управљања сервисима ИТ</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 xml:space="preserve">УЦ је обично била усмерена на реализацију појединачних пројеката иницираних изменама националних или </w:t>
      </w:r>
      <w:r w:rsidRPr="00925302">
        <w:rPr>
          <w:rFonts w:ascii="Arial" w:eastAsia="Verdana" w:hAnsi="Arial" w:cs="Arial"/>
          <w:sz w:val="20"/>
          <w:szCs w:val="20"/>
        </w:rPr>
        <w:lastRenderedPageBreak/>
        <w:t>прописа ЕУ.</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Иако је управљање пројектима и даље важно, код сервисно оријентисаног приступа акценат је стављен на пружање и управљање услугама без прекида.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На овај начин се обезбеђује да ИТ буду у складу са потребама пословања и редовно остварују резултате.</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Применом методологије ITSM, као што је библиотека инфраструктуре ИТ (ITIL), обезбеђује се оквир за ову промену.</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ITSM промовише стандардизоване процесе пружања услуга, управљања инцидентима и сталног усавршавања.</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Прелазак са пројеката на сервисе захтева стратешки приступ и пажљиво планирање унутар оквира ITSM:</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1.</w:t>
      </w:r>
      <w:r w:rsidRPr="00925302">
        <w:rPr>
          <w:rFonts w:ascii="Arial" w:eastAsia="Verdana" w:hAnsi="Arial" w:cs="Arial"/>
          <w:b/>
          <w:sz w:val="20"/>
          <w:szCs w:val="20"/>
        </w:rPr>
        <w:t xml:space="preserve"> </w:t>
      </w:r>
      <w:proofErr w:type="gramStart"/>
      <w:r w:rsidRPr="00925302">
        <w:rPr>
          <w:rFonts w:ascii="Arial" w:eastAsia="Verdana" w:hAnsi="Arial" w:cs="Arial"/>
          <w:b/>
          <w:sz w:val="20"/>
          <w:szCs w:val="20"/>
        </w:rPr>
        <w:t>мапирање</w:t>
      </w:r>
      <w:proofErr w:type="gramEnd"/>
      <w:r w:rsidRPr="00925302">
        <w:rPr>
          <w:rFonts w:ascii="Arial" w:eastAsia="Verdana" w:hAnsi="Arial" w:cs="Arial"/>
          <w:b/>
          <w:sz w:val="20"/>
          <w:szCs w:val="20"/>
        </w:rPr>
        <w:t xml:space="preserve"> сервиса: </w:t>
      </w:r>
      <w:r w:rsidRPr="00925302">
        <w:rPr>
          <w:rFonts w:ascii="Arial" w:eastAsia="Verdana" w:hAnsi="Arial" w:cs="Arial"/>
          <w:sz w:val="20"/>
          <w:szCs w:val="20"/>
        </w:rPr>
        <w:t>анализирати постојеће процесе ITSM и утврдити могуће сервисе кандидате. Фокусирати се на функције које се често користе, које се могу аутоматизовати или на које би позитивно утицала шира интеграција;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2.</w:t>
      </w:r>
      <w:r w:rsidRPr="00925302">
        <w:rPr>
          <w:rFonts w:ascii="Arial" w:eastAsia="Verdana" w:hAnsi="Arial" w:cs="Arial"/>
          <w:b/>
          <w:sz w:val="20"/>
          <w:szCs w:val="20"/>
        </w:rPr>
        <w:t xml:space="preserve"> </w:t>
      </w:r>
      <w:proofErr w:type="gramStart"/>
      <w:r w:rsidRPr="00925302">
        <w:rPr>
          <w:rFonts w:ascii="Arial" w:eastAsia="Verdana" w:hAnsi="Arial" w:cs="Arial"/>
          <w:b/>
          <w:sz w:val="20"/>
          <w:szCs w:val="20"/>
        </w:rPr>
        <w:t>стандардизација</w:t>
      </w:r>
      <w:proofErr w:type="gramEnd"/>
      <w:r w:rsidRPr="00925302">
        <w:rPr>
          <w:rFonts w:ascii="Arial" w:eastAsia="Verdana" w:hAnsi="Arial" w:cs="Arial"/>
          <w:b/>
          <w:sz w:val="20"/>
          <w:szCs w:val="20"/>
        </w:rPr>
        <w:t xml:space="preserve"> и управљање: </w:t>
      </w:r>
      <w:r w:rsidRPr="00925302">
        <w:rPr>
          <w:rFonts w:ascii="Arial" w:eastAsia="Verdana" w:hAnsi="Arial" w:cs="Arial"/>
          <w:sz w:val="20"/>
          <w:szCs w:val="20"/>
        </w:rPr>
        <w:t>поставити јасне стандарде и праксе управљања сервисима како би се постигао уједначен дизајн и квалитет сервиса. Дефинисати интерфејсе сервиса, укључујући формате података и комуникационе протоколе;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3.</w:t>
      </w:r>
      <w:r w:rsidRPr="00925302">
        <w:rPr>
          <w:rFonts w:ascii="Arial" w:eastAsia="Verdana" w:hAnsi="Arial" w:cs="Arial"/>
          <w:b/>
          <w:sz w:val="20"/>
          <w:szCs w:val="20"/>
        </w:rPr>
        <w:t xml:space="preserve"> </w:t>
      </w:r>
      <w:proofErr w:type="gramStart"/>
      <w:r w:rsidRPr="00925302">
        <w:rPr>
          <w:rFonts w:ascii="Arial" w:eastAsia="Verdana" w:hAnsi="Arial" w:cs="Arial"/>
          <w:b/>
          <w:sz w:val="20"/>
          <w:szCs w:val="20"/>
        </w:rPr>
        <w:t>развој</w:t>
      </w:r>
      <w:proofErr w:type="gramEnd"/>
      <w:r w:rsidRPr="00925302">
        <w:rPr>
          <w:rFonts w:ascii="Arial" w:eastAsia="Verdana" w:hAnsi="Arial" w:cs="Arial"/>
          <w:b/>
          <w:sz w:val="20"/>
          <w:szCs w:val="20"/>
        </w:rPr>
        <w:t xml:space="preserve"> и увођење сервиса:</w:t>
      </w:r>
      <w:r w:rsidRPr="00925302">
        <w:rPr>
          <w:rFonts w:ascii="Arial" w:eastAsia="Verdana" w:hAnsi="Arial" w:cs="Arial"/>
          <w:sz w:val="20"/>
          <w:szCs w:val="20"/>
        </w:rPr>
        <w:t xml:space="preserve"> развити и увести ИТ сервисе применом одговарајућих технологија и усклађивањем са постојећим оквирима ITSM као што је ITIL. Безбедност, скалабилност и учинак морају имати приоритет;</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4.</w:t>
      </w:r>
      <w:r w:rsidRPr="00925302">
        <w:rPr>
          <w:rFonts w:ascii="Arial" w:eastAsia="Verdana" w:hAnsi="Arial" w:cs="Arial"/>
          <w:b/>
          <w:sz w:val="20"/>
          <w:szCs w:val="20"/>
        </w:rPr>
        <w:t xml:space="preserve"> </w:t>
      </w:r>
      <w:proofErr w:type="gramStart"/>
      <w:r w:rsidRPr="00925302">
        <w:rPr>
          <w:rFonts w:ascii="Arial" w:eastAsia="Verdana" w:hAnsi="Arial" w:cs="Arial"/>
          <w:b/>
          <w:sz w:val="20"/>
          <w:szCs w:val="20"/>
        </w:rPr>
        <w:t>стално</w:t>
      </w:r>
      <w:proofErr w:type="gramEnd"/>
      <w:r w:rsidRPr="00925302">
        <w:rPr>
          <w:rFonts w:ascii="Arial" w:eastAsia="Verdana" w:hAnsi="Arial" w:cs="Arial"/>
          <w:b/>
          <w:sz w:val="20"/>
          <w:szCs w:val="20"/>
        </w:rPr>
        <w:t xml:space="preserve"> усавршавање:</w:t>
      </w:r>
      <w:r w:rsidRPr="00925302">
        <w:rPr>
          <w:rFonts w:ascii="Arial" w:eastAsia="Verdana" w:hAnsi="Arial" w:cs="Arial"/>
          <w:sz w:val="20"/>
          <w:szCs w:val="20"/>
        </w:rPr>
        <w:t xml:space="preserve"> стално пратити и мерити учинак окружења сервисно оријентисаног ITSM. </w:t>
      </w:r>
      <w:proofErr w:type="gramStart"/>
      <w:r w:rsidRPr="00925302">
        <w:rPr>
          <w:rFonts w:ascii="Arial" w:eastAsia="Verdana" w:hAnsi="Arial" w:cs="Arial"/>
          <w:sz w:val="20"/>
          <w:szCs w:val="20"/>
        </w:rPr>
        <w:t>Утврдити и извршити побољшања на основу података о коришћењу и повратних информација корисника.</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6.2. Архитектура организације и SOA</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Архитектура организације (ЕА) служи као план којим су дефинисани структура, процеси и технологије које чине основу инфраструктуре ИКТ једне организације.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Представља холистички поглед који превазилази пословне процесе, апликације, податке и компоненте инфраструктуре.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Архитектура организације је шема целе области ИКТ високог нивоа.</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SOA је посебно усмерена на стил архитектуре за израду софтвера као модуларних сервиса који се могу користити више пута.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SOA је детаљнија, јер дефинише техничке појединости интеракције и међусобне комуникације сервиса.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Представља посебан приступ који се може применити унутар оквира EA.</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Упркос мишљењу да сложени оквири као што су архитектура организације и SOA нису погодни за динамично окружење УЦ, стварност је управо супротна.</w:t>
      </w:r>
      <w:proofErr w:type="gramEnd"/>
      <w:r w:rsidRPr="00925302">
        <w:rPr>
          <w:rFonts w:ascii="Arial" w:eastAsia="Verdana" w:hAnsi="Arial" w:cs="Arial"/>
          <w:sz w:val="20"/>
          <w:szCs w:val="20"/>
        </w:rPr>
        <w:t xml:space="preserve"> Применом и једне и друге тимови УЦ стичу неколико предности: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ефективнији</w:t>
      </w:r>
      <w:proofErr w:type="gramEnd"/>
      <w:r w:rsidRPr="00925302">
        <w:rPr>
          <w:rFonts w:ascii="Arial" w:eastAsia="Verdana" w:hAnsi="Arial" w:cs="Arial"/>
          <w:sz w:val="20"/>
          <w:szCs w:val="20"/>
        </w:rPr>
        <w:t xml:space="preserve"> одговор на потребе корисника;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бржа</w:t>
      </w:r>
      <w:proofErr w:type="gramEnd"/>
      <w:r w:rsidRPr="00925302">
        <w:rPr>
          <w:rFonts w:ascii="Arial" w:eastAsia="Verdana" w:hAnsi="Arial" w:cs="Arial"/>
          <w:sz w:val="20"/>
          <w:szCs w:val="20"/>
        </w:rPr>
        <w:t xml:space="preserve"> испорука иновативних производа и услуга;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оптимално</w:t>
      </w:r>
      <w:proofErr w:type="gramEnd"/>
      <w:r w:rsidRPr="00925302">
        <w:rPr>
          <w:rFonts w:ascii="Arial" w:eastAsia="Verdana" w:hAnsi="Arial" w:cs="Arial"/>
          <w:sz w:val="20"/>
          <w:szCs w:val="20"/>
        </w:rPr>
        <w:t xml:space="preserve"> коришћење средстава и нижи трошкови.</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6.3. Методологија управљања пројектима</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УЦ ће усвојити кључне компоненте методологије управљања пројектима под називом онлајн електронско управљање пројектима (TEMPO) TAXUD коју примењује DG TAXUD, упркос недовољним средствима за њено спровођење у целости.</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Пројекат се може поделити у неколико фаза, и то на фазу претходног проучавања, тендера, почетка, разраде, израде и преласка.</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Фаза претходног проучавања је усмерена на дефинисање пословних проблема и проналажење решења високог нивоа, а њени главни циљеви су омогућавање изводљивости пројекта и дефинисање јасних задатака, поља деловања и ограничења.</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Фаза тендера се спроводи у складу са државним поступком јавне набавке или поступком набавке програма спољне помоћи, у зависности од извора финансирања пројекта.</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 xml:space="preserve">Фаза почетка је фаза у којој се утврђује почетни обим, потенцијална архитектура пројекта и прибављају </w:t>
      </w:r>
      <w:r w:rsidRPr="00925302">
        <w:rPr>
          <w:rFonts w:ascii="Arial" w:eastAsia="Verdana" w:hAnsi="Arial" w:cs="Arial"/>
          <w:sz w:val="20"/>
          <w:szCs w:val="20"/>
        </w:rPr>
        <w:lastRenderedPageBreak/>
        <w:t>почетна средства и сагласност заинтересованих страна.</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Фаза разраде је усмерена на тестирање архитектуре система, док је циљ фазе израде постепено креирање функционалног софтвера како би се задовољиле потребе заинтересованих страна које имају највиши приоритет.</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И на крају, фаза преласка је усмерена на проверу исправности и пуштање система у рад у продукционом окружењу.</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Да би остварила општи циљ и очекиване резултате, а по разматрању услова и интерних капацитета, УЦ може применити друге оквире управљања пројектима.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На овај начин се обезбеђује прилагођена и комбинована примена два оквира, спречавајући могуће колизије приликом њихове имплементације током целокупног трајања пројекта.</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6.4. Методологије рада</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Рад сервиса је од суштинског значаја у сваком оквиру ITSM, јер обезбеђује управљање ИТ сервисима и њихово омогућавање клијентима и корисницима.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Од рада ИТ сервиса зависи да ли су ИТ сервиси поуздани, доступни, безбедни и усклађени са пословним потребама и очекивањима.</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Систем ИКТ УЦ усваја модерне, интегрисане системе који подразумевају све радне процесе и податке неопходне за рад царинског система, у реалном времену, путем једне форме сервиса.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Обезбеђивање високе доступности у таквом окружењу је тешко и захтева доста труда и обезбеђивање рада сервиса у УЦ.</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Стратешка одлука о приступу раду сервиса зависи од неколико кључних фактора: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броја</w:t>
      </w:r>
      <w:proofErr w:type="gramEnd"/>
      <w:r w:rsidRPr="00925302">
        <w:rPr>
          <w:rFonts w:ascii="Arial" w:eastAsia="Verdana" w:hAnsi="Arial" w:cs="Arial"/>
          <w:sz w:val="20"/>
          <w:szCs w:val="20"/>
        </w:rPr>
        <w:t xml:space="preserve"> ИТ особља;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нивоа</w:t>
      </w:r>
      <w:proofErr w:type="gramEnd"/>
      <w:r w:rsidRPr="00925302">
        <w:rPr>
          <w:rFonts w:ascii="Arial" w:eastAsia="Verdana" w:hAnsi="Arial" w:cs="Arial"/>
          <w:sz w:val="20"/>
          <w:szCs w:val="20"/>
        </w:rPr>
        <w:t xml:space="preserve"> искуства и образовања;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сложености</w:t>
      </w:r>
      <w:proofErr w:type="gramEnd"/>
      <w:r w:rsidRPr="00925302">
        <w:rPr>
          <w:rFonts w:ascii="Arial" w:eastAsia="Verdana" w:hAnsi="Arial" w:cs="Arial"/>
          <w:sz w:val="20"/>
          <w:szCs w:val="20"/>
        </w:rPr>
        <w:t xml:space="preserve"> технологије;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уговора</w:t>
      </w:r>
      <w:proofErr w:type="gramEnd"/>
      <w:r w:rsidRPr="00925302">
        <w:rPr>
          <w:rFonts w:ascii="Arial" w:eastAsia="Verdana" w:hAnsi="Arial" w:cs="Arial"/>
          <w:sz w:val="20"/>
          <w:szCs w:val="20"/>
        </w:rPr>
        <w:t xml:space="preserve"> о нивоу услуге (SLA).</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УЦ је изабрала комбиновани модел рада сервиса, који подразумева спољну подршку, центар за безбедносне операције (SOC) и унутрашње ресурсе: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спољна</w:t>
      </w:r>
      <w:proofErr w:type="gramEnd"/>
      <w:r w:rsidRPr="00925302">
        <w:rPr>
          <w:rFonts w:ascii="Arial" w:eastAsia="Verdana" w:hAnsi="Arial" w:cs="Arial"/>
          <w:b/>
          <w:sz w:val="20"/>
          <w:szCs w:val="20"/>
        </w:rPr>
        <w:t xml:space="preserve"> подршка</w:t>
      </w:r>
      <w:r w:rsidRPr="00925302">
        <w:rPr>
          <w:rFonts w:ascii="Arial" w:eastAsia="Verdana" w:hAnsi="Arial" w:cs="Arial"/>
          <w:sz w:val="20"/>
          <w:szCs w:val="20"/>
        </w:rPr>
        <w:t xml:space="preserve"> – подршка основним и пратећим сервисима УЦ, а за коју УЦ нема капацитета;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r w:rsidRPr="00925302">
        <w:rPr>
          <w:rFonts w:ascii="Arial" w:eastAsia="Verdana" w:hAnsi="Arial" w:cs="Arial"/>
          <w:b/>
          <w:sz w:val="20"/>
          <w:szCs w:val="20"/>
        </w:rPr>
        <w:t>SOC</w:t>
      </w:r>
      <w:r w:rsidRPr="00925302">
        <w:rPr>
          <w:rFonts w:ascii="Arial" w:eastAsia="Verdana" w:hAnsi="Arial" w:cs="Arial"/>
          <w:sz w:val="20"/>
          <w:szCs w:val="20"/>
        </w:rPr>
        <w:t xml:space="preserve"> – спољна подршка специјализована за праћење и узбуњивање у случају прекида сервиса или инцидента у вези са безбедношћу;</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b/>
          <w:sz w:val="20"/>
          <w:szCs w:val="20"/>
        </w:rPr>
        <w:t>унутрашњи</w:t>
      </w:r>
      <w:proofErr w:type="gramEnd"/>
      <w:r w:rsidRPr="00925302">
        <w:rPr>
          <w:rFonts w:ascii="Arial" w:eastAsia="Verdana" w:hAnsi="Arial" w:cs="Arial"/>
          <w:b/>
          <w:sz w:val="20"/>
          <w:szCs w:val="20"/>
        </w:rPr>
        <w:t xml:space="preserve"> ресурси</w:t>
      </w:r>
      <w:r w:rsidRPr="00925302">
        <w:rPr>
          <w:rFonts w:ascii="Arial" w:eastAsia="Verdana" w:hAnsi="Arial" w:cs="Arial"/>
          <w:sz w:val="20"/>
          <w:szCs w:val="20"/>
        </w:rPr>
        <w:t xml:space="preserve"> – подршка свим осталим сервисима у УЦ.</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Што се тиче спољне подршке, УЦ ће израдити политику којом ће дефинисати кључне елементе такве подршке, а као што су активности за које ће бити ангажовани спољни сарадници и SLA.</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Да би заштитила стабилност и расположивост ИТ окружења, УЦ ће бити стратешки усмерена на дугорочно ангажовање проверених партнера који најпре морају испунити критеријуме поузданости.</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sz w:val="20"/>
          <w:szCs w:val="20"/>
        </w:rPr>
        <w:t>7. РЕФЕРЕНТНА ДОКУМЕНТАЦИЈА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Одговарајуће националне стратегије</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 xml:space="preserve">– </w:t>
      </w:r>
      <w:r w:rsidRPr="00925302">
        <w:rPr>
          <w:rFonts w:ascii="Arial" w:eastAsia="Verdana" w:hAnsi="Arial" w:cs="Arial"/>
          <w:b/>
          <w:sz w:val="20"/>
          <w:szCs w:val="20"/>
        </w:rPr>
        <w:t>Стратегија развоја електронских комуникација у Републици Србији до 2027.</w:t>
      </w:r>
      <w:proofErr w:type="gramEnd"/>
      <w:r w:rsidRPr="00925302">
        <w:rPr>
          <w:rFonts w:ascii="Arial" w:eastAsia="Verdana" w:hAnsi="Arial" w:cs="Arial"/>
          <w:b/>
          <w:sz w:val="20"/>
          <w:szCs w:val="20"/>
        </w:rPr>
        <w:t xml:space="preserve"> </w:t>
      </w:r>
      <w:proofErr w:type="gramStart"/>
      <w:r w:rsidRPr="00925302">
        <w:rPr>
          <w:rFonts w:ascii="Arial" w:eastAsia="Verdana" w:hAnsi="Arial" w:cs="Arial"/>
          <w:b/>
          <w:sz w:val="20"/>
          <w:szCs w:val="20"/>
        </w:rPr>
        <w:t>године</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https://pravno-informacioni-sistem.rs/eli/rep/sgrs/vlada/strategija/2024/70/1/reg</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 xml:space="preserve">– </w:t>
      </w:r>
      <w:r w:rsidRPr="00925302">
        <w:rPr>
          <w:rFonts w:ascii="Arial" w:eastAsia="Verdana" w:hAnsi="Arial" w:cs="Arial"/>
          <w:b/>
          <w:sz w:val="20"/>
          <w:szCs w:val="20"/>
        </w:rPr>
        <w:t>Програм развоја е-Управе у Републици Србији за период 2023–2025.</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https://mduls.gov.rs/propisi/strategije/?script=lat</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 xml:space="preserve">– </w:t>
      </w:r>
      <w:r w:rsidRPr="00925302">
        <w:rPr>
          <w:rFonts w:ascii="Arial" w:eastAsia="Verdana" w:hAnsi="Arial" w:cs="Arial"/>
          <w:b/>
          <w:sz w:val="20"/>
          <w:szCs w:val="20"/>
        </w:rPr>
        <w:t>Стратегија реформе јавне управе у Републици Србији за период 2022–2030.</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https://pravno-informacioni-sistem.rs/eli/rep/sgrs/vlada/strategija/2021/42/1/reg</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 xml:space="preserve">– </w:t>
      </w:r>
      <w:r w:rsidRPr="00925302">
        <w:rPr>
          <w:rFonts w:ascii="Arial" w:eastAsia="Verdana" w:hAnsi="Arial" w:cs="Arial"/>
          <w:b/>
          <w:sz w:val="20"/>
          <w:szCs w:val="20"/>
        </w:rPr>
        <w:t>Стратегија развоја информационог друштва Републике Србије до 2026.</w:t>
      </w:r>
      <w:proofErr w:type="gramEnd"/>
      <w:r w:rsidRPr="00925302">
        <w:rPr>
          <w:rFonts w:ascii="Arial" w:eastAsia="Verdana" w:hAnsi="Arial" w:cs="Arial"/>
          <w:b/>
          <w:sz w:val="20"/>
          <w:szCs w:val="20"/>
        </w:rPr>
        <w:t xml:space="preserve"> </w:t>
      </w:r>
      <w:proofErr w:type="gramStart"/>
      <w:r w:rsidRPr="00925302">
        <w:rPr>
          <w:rFonts w:ascii="Arial" w:eastAsia="Verdana" w:hAnsi="Arial" w:cs="Arial"/>
          <w:b/>
          <w:sz w:val="20"/>
          <w:szCs w:val="20"/>
        </w:rPr>
        <w:t>(„Стратегијa развоја информационог друштва и информационе безбедности у Републици Србији за период од 2021.</w:t>
      </w:r>
      <w:proofErr w:type="gramEnd"/>
      <w:r w:rsidRPr="00925302">
        <w:rPr>
          <w:rFonts w:ascii="Arial" w:eastAsia="Verdana" w:hAnsi="Arial" w:cs="Arial"/>
          <w:b/>
          <w:sz w:val="20"/>
          <w:szCs w:val="20"/>
        </w:rPr>
        <w:t xml:space="preserve"> </w:t>
      </w:r>
      <w:proofErr w:type="gramStart"/>
      <w:r w:rsidRPr="00925302">
        <w:rPr>
          <w:rFonts w:ascii="Arial" w:eastAsia="Verdana" w:hAnsi="Arial" w:cs="Arial"/>
          <w:b/>
          <w:sz w:val="20"/>
          <w:szCs w:val="20"/>
        </w:rPr>
        <w:t>до</w:t>
      </w:r>
      <w:proofErr w:type="gramEnd"/>
      <w:r w:rsidRPr="00925302">
        <w:rPr>
          <w:rFonts w:ascii="Arial" w:eastAsia="Verdana" w:hAnsi="Arial" w:cs="Arial"/>
          <w:b/>
          <w:sz w:val="20"/>
          <w:szCs w:val="20"/>
        </w:rPr>
        <w:t xml:space="preserve"> 2026. </w:t>
      </w:r>
      <w:proofErr w:type="gramStart"/>
      <w:r w:rsidRPr="00925302">
        <w:rPr>
          <w:rFonts w:ascii="Arial" w:eastAsia="Verdana" w:hAnsi="Arial" w:cs="Arial"/>
          <w:b/>
          <w:sz w:val="20"/>
          <w:szCs w:val="20"/>
        </w:rPr>
        <w:t>године</w:t>
      </w:r>
      <w:proofErr w:type="gramEnd"/>
      <w:r w:rsidRPr="00925302">
        <w:rPr>
          <w:rFonts w:ascii="Arial" w:eastAsia="Verdana" w:hAnsi="Arial" w:cs="Arial"/>
          <w:b/>
          <w:sz w:val="20"/>
          <w:szCs w:val="20"/>
        </w:rPr>
        <w:t>”)</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lastRenderedPageBreak/>
        <w:t>https://pravno-informacioni-sistem.rs/eli/rep/sgrs/vlada/strategija/2021/86/1/reg</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r w:rsidRPr="00925302">
        <w:rPr>
          <w:rFonts w:ascii="Arial" w:eastAsia="Verdana" w:hAnsi="Arial" w:cs="Arial"/>
          <w:b/>
          <w:sz w:val="20"/>
          <w:szCs w:val="20"/>
        </w:rPr>
        <w:t>Годишњи извештаји о напретку Европске комисије за Србију</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https://www.mei.gov.rs/eng/documents/eu-documents/annual-progress-reports-of-the-european-commission-for-serbia</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Референтни документи ЕУ</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Стратешки документи ЕУ којима се дефинишу задужења УЦ до и по уласку у ЕУ (Вишегодишњи стратешки план за електронску царину – MASP, Стратегија развоја Царинске уније)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r w:rsidRPr="00925302">
        <w:rPr>
          <w:rFonts w:ascii="Arial" w:eastAsia="Verdana" w:hAnsi="Arial" w:cs="Arial"/>
          <w:b/>
          <w:sz w:val="20"/>
          <w:szCs w:val="20"/>
        </w:rPr>
        <w:t>Царински правилник уније – Увод</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https://taxation-customs.ec.europa.eu/union-customs-code-ucc-introduction_en</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r w:rsidRPr="00925302">
        <w:rPr>
          <w:rFonts w:ascii="Arial" w:eastAsia="Verdana" w:hAnsi="Arial" w:cs="Arial"/>
          <w:b/>
          <w:sz w:val="20"/>
          <w:szCs w:val="20"/>
        </w:rPr>
        <w:t>Царински правилник уније – Приручници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https://taxation-customs.ec.europa.eu/customs-4/union-customs-code/ucc-guidance-documents_en</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r w:rsidRPr="00925302">
        <w:rPr>
          <w:rFonts w:ascii="Arial" w:eastAsia="Verdana" w:hAnsi="Arial" w:cs="Arial"/>
          <w:b/>
          <w:sz w:val="20"/>
          <w:szCs w:val="20"/>
        </w:rPr>
        <w:t>Царински правилник уније – Легислатива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https://taxation-customs.ec.europa.eu/customs-4/union-customs-code/ucc-legislation_en</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r w:rsidRPr="00925302">
        <w:rPr>
          <w:rFonts w:ascii="Arial" w:eastAsia="Verdana" w:hAnsi="Arial" w:cs="Arial"/>
          <w:b/>
          <w:sz w:val="20"/>
          <w:szCs w:val="20"/>
        </w:rPr>
        <w:t>Царински правилник уније – Програм рада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https://taxation-customs.ec.europa.eu/customs-4/union-customs-code/ucc-work-programme_en</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 xml:space="preserve">– </w:t>
      </w:r>
      <w:r w:rsidRPr="00925302">
        <w:rPr>
          <w:rFonts w:ascii="Arial" w:eastAsia="Verdana" w:hAnsi="Arial" w:cs="Arial"/>
          <w:b/>
          <w:sz w:val="20"/>
          <w:szCs w:val="20"/>
        </w:rPr>
        <w:t>Одлука бр.</w:t>
      </w:r>
      <w:proofErr w:type="gramEnd"/>
      <w:r w:rsidRPr="00925302">
        <w:rPr>
          <w:rFonts w:ascii="Arial" w:eastAsia="Verdana" w:hAnsi="Arial" w:cs="Arial"/>
          <w:b/>
          <w:sz w:val="20"/>
          <w:szCs w:val="20"/>
        </w:rPr>
        <w:t xml:space="preserve"> </w:t>
      </w:r>
      <w:proofErr w:type="gramStart"/>
      <w:r w:rsidRPr="00925302">
        <w:rPr>
          <w:rFonts w:ascii="Arial" w:eastAsia="Verdana" w:hAnsi="Arial" w:cs="Arial"/>
          <w:b/>
          <w:sz w:val="20"/>
          <w:szCs w:val="20"/>
        </w:rPr>
        <w:t>70/2008/EC Европског парламента и Савета о беспапирном окружењу за царину и трговину од 15.</w:t>
      </w:r>
      <w:proofErr w:type="gramEnd"/>
      <w:r w:rsidRPr="00925302">
        <w:rPr>
          <w:rFonts w:ascii="Arial" w:eastAsia="Verdana" w:hAnsi="Arial" w:cs="Arial"/>
          <w:b/>
          <w:sz w:val="20"/>
          <w:szCs w:val="20"/>
        </w:rPr>
        <w:t xml:space="preserve"> </w:t>
      </w:r>
      <w:proofErr w:type="gramStart"/>
      <w:r w:rsidRPr="00925302">
        <w:rPr>
          <w:rFonts w:ascii="Arial" w:eastAsia="Verdana" w:hAnsi="Arial" w:cs="Arial"/>
          <w:b/>
          <w:sz w:val="20"/>
          <w:szCs w:val="20"/>
        </w:rPr>
        <w:t>јануара</w:t>
      </w:r>
      <w:proofErr w:type="gramEnd"/>
      <w:r w:rsidRPr="00925302">
        <w:rPr>
          <w:rFonts w:ascii="Arial" w:eastAsia="Verdana" w:hAnsi="Arial" w:cs="Arial"/>
          <w:b/>
          <w:sz w:val="20"/>
          <w:szCs w:val="20"/>
        </w:rPr>
        <w:t xml:space="preserve"> 2008.</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https://eur-lex.europa.eu/legal-content/EN/TXT/?uri=</w:t>
      </w:r>
      <w:proofErr w:type="gramStart"/>
      <w:r w:rsidRPr="00925302">
        <w:rPr>
          <w:rFonts w:ascii="Arial" w:eastAsia="Verdana" w:hAnsi="Arial" w:cs="Arial"/>
          <w:sz w:val="20"/>
          <w:szCs w:val="20"/>
        </w:rPr>
        <w:t>CELEX:32008D0070(</w:t>
      </w:r>
      <w:proofErr w:type="gramEnd"/>
      <w:r w:rsidRPr="00925302">
        <w:rPr>
          <w:rFonts w:ascii="Arial" w:eastAsia="Verdana" w:hAnsi="Arial" w:cs="Arial"/>
          <w:sz w:val="20"/>
          <w:szCs w:val="20"/>
        </w:rPr>
        <w:t>01)</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 xml:space="preserve">– </w:t>
      </w:r>
      <w:r w:rsidRPr="00925302">
        <w:rPr>
          <w:rFonts w:ascii="Arial" w:eastAsia="Verdana" w:hAnsi="Arial" w:cs="Arial"/>
          <w:b/>
          <w:sz w:val="20"/>
          <w:szCs w:val="20"/>
        </w:rPr>
        <w:t>Референтни приручник трансевропских система, DG TAXUD, април 2024.</w:t>
      </w:r>
      <w:proofErr w:type="gramEnd"/>
      <w:r w:rsidRPr="00925302">
        <w:rPr>
          <w:rFonts w:ascii="Arial" w:eastAsia="Verdana" w:hAnsi="Arial" w:cs="Arial"/>
          <w:b/>
          <w:sz w:val="20"/>
          <w:szCs w:val="20"/>
        </w:rPr>
        <w:t xml:space="preserve"> </w:t>
      </w:r>
      <w:proofErr w:type="gramStart"/>
      <w:r w:rsidRPr="00925302">
        <w:rPr>
          <w:rFonts w:ascii="Arial" w:eastAsia="Verdana" w:hAnsi="Arial" w:cs="Arial"/>
          <w:b/>
          <w:sz w:val="20"/>
          <w:szCs w:val="20"/>
        </w:rPr>
        <w:t>године</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https://taxation-customs.ec.europa.eu/document/download/54458b92-7d1a-4459-a4ae-3ba4c4dc691a_en?filename=Reference%20doc%20-%20TAXUD%20IT%20environment-%20Web.v1.0.pdf</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Остале референце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r w:rsidRPr="00925302">
        <w:rPr>
          <w:rFonts w:ascii="Arial" w:eastAsia="Verdana" w:hAnsi="Arial" w:cs="Arial"/>
          <w:b/>
          <w:sz w:val="20"/>
          <w:szCs w:val="20"/>
        </w:rPr>
        <w:t>Објашњење појма „Хиперконвергентна инфраструктура”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https://en.wikipedia.org/wiki/Hyper-converged_infrastructure</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b/>
          <w:sz w:val="20"/>
          <w:szCs w:val="20"/>
        </w:rPr>
        <w:t>– Објашњење појма „Контејнеризација (рачунарство)”</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https://en.wikipedia.org/wiki/Containerization</w:t>
      </w:r>
      <w:proofErr w:type="gramStart"/>
      <w:r w:rsidRPr="00925302">
        <w:rPr>
          <w:rFonts w:ascii="Arial" w:eastAsia="Verdana" w:hAnsi="Arial" w:cs="Arial"/>
          <w:sz w:val="20"/>
          <w:szCs w:val="20"/>
        </w:rPr>
        <w:t>_(</w:t>
      </w:r>
      <w:proofErr w:type="gramEnd"/>
      <w:r w:rsidRPr="00925302">
        <w:rPr>
          <w:rFonts w:ascii="Arial" w:eastAsia="Verdana" w:hAnsi="Arial" w:cs="Arial"/>
          <w:sz w:val="20"/>
          <w:szCs w:val="20"/>
        </w:rPr>
        <w:t>computing)</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r w:rsidRPr="00925302">
        <w:rPr>
          <w:rFonts w:ascii="Arial" w:eastAsia="Verdana" w:hAnsi="Arial" w:cs="Arial"/>
          <w:b/>
          <w:sz w:val="20"/>
          <w:szCs w:val="20"/>
        </w:rPr>
        <w:t>Објашњење појма „Виртуелизација на нивоу оперативног система”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https://en.wikipedia.org/wiki/OS-level_virtualization</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r w:rsidRPr="00925302">
        <w:rPr>
          <w:rFonts w:ascii="Arial" w:eastAsia="Verdana" w:hAnsi="Arial" w:cs="Arial"/>
          <w:b/>
          <w:sz w:val="20"/>
          <w:szCs w:val="20"/>
        </w:rPr>
        <w:t>Објашњење појма „Виртуелизација апликација”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https://en.wikipedia.org/wiki/Application_virtualization</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r w:rsidRPr="00925302">
        <w:rPr>
          <w:rFonts w:ascii="Arial" w:eastAsia="Verdana" w:hAnsi="Arial" w:cs="Arial"/>
          <w:b/>
          <w:sz w:val="20"/>
          <w:szCs w:val="20"/>
        </w:rPr>
        <w:t>Разлике и предности између Хиперконвергенције и VMware наслеђа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https://www.smartx.com/blog/2022/06/hyperconvergence-vs-legacy-vmware-virtualization-infrastructure-four-differences-and-five-advantages/</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r w:rsidRPr="00925302">
        <w:rPr>
          <w:rFonts w:ascii="Arial" w:eastAsia="Verdana" w:hAnsi="Arial" w:cs="Arial"/>
          <w:b/>
          <w:sz w:val="20"/>
          <w:szCs w:val="20"/>
        </w:rPr>
        <w:t>Објашњење система класификације нивоа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https://uptimeinstitute.com/tiers</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sz w:val="20"/>
          <w:szCs w:val="20"/>
        </w:rPr>
        <w:t>8. ЗАВРШНА ОДРЕДБА</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Управа царина ће достављати Влади годишње извештаје о испуњености циљева из овог плана.</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b/>
          <w:sz w:val="20"/>
          <w:szCs w:val="20"/>
        </w:rPr>
        <w:t>ПРИЛОГ 1: Стратегија смањења ризика</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 одељку 2.1 Извештај анализе тренутног стања (AS-IS) дат је списак ризика и изазова.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 наставку су дати ризици који се сматрају релевантним.</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b/>
          <w:sz w:val="20"/>
          <w:szCs w:val="20"/>
        </w:rPr>
        <w:t>Ограничени ресурси: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1. </w:t>
      </w:r>
      <w:proofErr w:type="gramStart"/>
      <w:r w:rsidRPr="00925302">
        <w:rPr>
          <w:rFonts w:ascii="Arial" w:eastAsia="Verdana" w:hAnsi="Arial" w:cs="Arial"/>
          <w:sz w:val="20"/>
          <w:szCs w:val="20"/>
        </w:rPr>
        <w:t>недовољно</w:t>
      </w:r>
      <w:proofErr w:type="gramEnd"/>
      <w:r w:rsidRPr="00925302">
        <w:rPr>
          <w:rFonts w:ascii="Arial" w:eastAsia="Verdana" w:hAnsi="Arial" w:cs="Arial"/>
          <w:sz w:val="20"/>
          <w:szCs w:val="20"/>
        </w:rPr>
        <w:t xml:space="preserve"> финансијских средстава за улагање у инфраструктуру и унапређење безбедности, као и за задржавање особља.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lastRenderedPageBreak/>
        <w:t>План ублажавања: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спровести</w:t>
      </w:r>
      <w:proofErr w:type="gramEnd"/>
      <w:r w:rsidRPr="00925302">
        <w:rPr>
          <w:rFonts w:ascii="Arial" w:eastAsia="Verdana" w:hAnsi="Arial" w:cs="Arial"/>
          <w:sz w:val="20"/>
          <w:szCs w:val="20"/>
        </w:rPr>
        <w:t xml:space="preserve"> анализу трошкова и користи како би се откриле области у којима се могу оптимизовати трошкови ИКТ. Ова оптимизација може подразумевати консолидацију претплата на сувишни софтвер, уговарање бољих послова са продавцима или ангажовање спољних сарадника за обављање некритичних задатака;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представити</w:t>
      </w:r>
      <w:proofErr w:type="gramEnd"/>
      <w:r w:rsidRPr="00925302">
        <w:rPr>
          <w:rFonts w:ascii="Arial" w:eastAsia="Verdana" w:hAnsi="Arial" w:cs="Arial"/>
          <w:sz w:val="20"/>
          <w:szCs w:val="20"/>
        </w:rPr>
        <w:t xml:space="preserve"> примамљив пословни случај заинтересованим странама истичући актуелне и предстојеће пројекте на националном нивоу и нивоу ЕУ. Израдити вишегодишњи финансијски план којим се средства распоређују за сталне активности у вези са архитектуром, безбедношћу и задржавањем особља;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размотрити</w:t>
      </w:r>
      <w:proofErr w:type="gramEnd"/>
      <w:r w:rsidRPr="00925302">
        <w:rPr>
          <w:rFonts w:ascii="Arial" w:eastAsia="Verdana" w:hAnsi="Arial" w:cs="Arial"/>
          <w:sz w:val="20"/>
          <w:szCs w:val="20"/>
        </w:rPr>
        <w:t xml:space="preserve"> решења заснована у облаку чији се обим може повећати или смањити у зависности од потреба, а чиме се смањују иницијални трошкови и текуће одржавање;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2. </w:t>
      </w:r>
      <w:proofErr w:type="gramStart"/>
      <w:r w:rsidRPr="00925302">
        <w:rPr>
          <w:rFonts w:ascii="Arial" w:eastAsia="Verdana" w:hAnsi="Arial" w:cs="Arial"/>
          <w:sz w:val="20"/>
          <w:szCs w:val="20"/>
        </w:rPr>
        <w:t>отежан</w:t>
      </w:r>
      <w:proofErr w:type="gramEnd"/>
      <w:r w:rsidRPr="00925302">
        <w:rPr>
          <w:rFonts w:ascii="Arial" w:eastAsia="Verdana" w:hAnsi="Arial" w:cs="Arial"/>
          <w:sz w:val="20"/>
          <w:szCs w:val="20"/>
        </w:rPr>
        <w:t xml:space="preserve"> избор и задржавање квалификованог особља због високоразвијене ИТ заједнице.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План ублажавања: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редовно</w:t>
      </w:r>
      <w:proofErr w:type="gramEnd"/>
      <w:r w:rsidRPr="00925302">
        <w:rPr>
          <w:rFonts w:ascii="Arial" w:eastAsia="Verdana" w:hAnsi="Arial" w:cs="Arial"/>
          <w:sz w:val="20"/>
          <w:szCs w:val="20"/>
        </w:rPr>
        <w:t xml:space="preserve"> спроводити анкете о платама како би конкурентне плате и пакети доприноса у складу са ценама на тржишту били обезбеђени. Понудити додатне погодности поред плате, као што су погодности у вези са здрављем и рекреацијом, прилике за стално усавршавање и флексибилно радно време;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улагати</w:t>
      </w:r>
      <w:proofErr w:type="gramEnd"/>
      <w:r w:rsidRPr="00925302">
        <w:rPr>
          <w:rFonts w:ascii="Arial" w:eastAsia="Verdana" w:hAnsi="Arial" w:cs="Arial"/>
          <w:sz w:val="20"/>
          <w:szCs w:val="20"/>
        </w:rPr>
        <w:t xml:space="preserve"> у стручно усавршавање запослених путем програма обука, прилика за менторство и јасних путања напредовања у каријери. </w:t>
      </w:r>
      <w:proofErr w:type="gramStart"/>
      <w:r w:rsidRPr="00925302">
        <w:rPr>
          <w:rFonts w:ascii="Arial" w:eastAsia="Verdana" w:hAnsi="Arial" w:cs="Arial"/>
          <w:sz w:val="20"/>
          <w:szCs w:val="20"/>
        </w:rPr>
        <w:t>Спровести систем за препознавање и награђивање запослених за постигнућа.</w:t>
      </w:r>
      <w:proofErr w:type="gramEnd"/>
      <w:r w:rsidRPr="00925302">
        <w:rPr>
          <w:rFonts w:ascii="Arial" w:eastAsia="Verdana" w:hAnsi="Arial" w:cs="Arial"/>
          <w:sz w:val="20"/>
          <w:szCs w:val="20"/>
        </w:rPr>
        <w:t xml:space="preserve"> Награде могу бити у виду јавног признања, унапређења или бонуса;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редовно</w:t>
      </w:r>
      <w:proofErr w:type="gramEnd"/>
      <w:r w:rsidRPr="00925302">
        <w:rPr>
          <w:rFonts w:ascii="Arial" w:eastAsia="Verdana" w:hAnsi="Arial" w:cs="Arial"/>
          <w:sz w:val="20"/>
          <w:szCs w:val="20"/>
        </w:rPr>
        <w:t xml:space="preserve"> обављати интервјуе о останку запослених у организацији како бисте се информисали о њиховим потребама, забринутостима и циљевима у каријери.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b/>
          <w:sz w:val="20"/>
          <w:szCs w:val="20"/>
        </w:rPr>
        <w:t>Изазови у управљању пројектима: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3. </w:t>
      </w:r>
      <w:proofErr w:type="gramStart"/>
      <w:r w:rsidRPr="00925302">
        <w:rPr>
          <w:rFonts w:ascii="Arial" w:eastAsia="Verdana" w:hAnsi="Arial" w:cs="Arial"/>
          <w:sz w:val="20"/>
          <w:szCs w:val="20"/>
        </w:rPr>
        <w:t>истовремено</w:t>
      </w:r>
      <w:proofErr w:type="gramEnd"/>
      <w:r w:rsidRPr="00925302">
        <w:rPr>
          <w:rFonts w:ascii="Arial" w:eastAsia="Verdana" w:hAnsi="Arial" w:cs="Arial"/>
          <w:sz w:val="20"/>
          <w:szCs w:val="20"/>
        </w:rPr>
        <w:t xml:space="preserve"> спровођење више пројеката што доводи до преоптерећења ресурса.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План ублажавања: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јасно</w:t>
      </w:r>
      <w:proofErr w:type="gramEnd"/>
      <w:r w:rsidRPr="00925302">
        <w:rPr>
          <w:rFonts w:ascii="Arial" w:eastAsia="Verdana" w:hAnsi="Arial" w:cs="Arial"/>
          <w:sz w:val="20"/>
          <w:szCs w:val="20"/>
        </w:rPr>
        <w:t xml:space="preserve"> дефинисати приоритете и динамику пројекта. </w:t>
      </w:r>
      <w:proofErr w:type="gramStart"/>
      <w:r w:rsidRPr="00925302">
        <w:rPr>
          <w:rFonts w:ascii="Arial" w:eastAsia="Verdana" w:hAnsi="Arial" w:cs="Arial"/>
          <w:sz w:val="20"/>
          <w:szCs w:val="20"/>
        </w:rPr>
        <w:t>Извршити планирање капацитета ресурса.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Утврдити потребне вештине тима и обим посла на сваком пројекту.</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Израдити матрицу у којој ћете повезати потребе на пројекту са расположивим ресурсима.</w:t>
      </w:r>
      <w:proofErr w:type="gramEnd"/>
      <w:r w:rsidRPr="00925302">
        <w:rPr>
          <w:rFonts w:ascii="Arial" w:eastAsia="Verdana" w:hAnsi="Arial" w:cs="Arial"/>
          <w:sz w:val="20"/>
          <w:szCs w:val="20"/>
        </w:rPr>
        <w:t xml:space="preserve"> Дефинисати могуће проблеме;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редовно</w:t>
      </w:r>
      <w:proofErr w:type="gramEnd"/>
      <w:r w:rsidRPr="00925302">
        <w:rPr>
          <w:rFonts w:ascii="Arial" w:eastAsia="Verdana" w:hAnsi="Arial" w:cs="Arial"/>
          <w:sz w:val="20"/>
          <w:szCs w:val="20"/>
        </w:rPr>
        <w:t xml:space="preserve"> ревидирати пројекат ради процене напретка и искоришћења ресурса. </w:t>
      </w:r>
      <w:proofErr w:type="gramStart"/>
      <w:r w:rsidRPr="00925302">
        <w:rPr>
          <w:rFonts w:ascii="Arial" w:eastAsia="Verdana" w:hAnsi="Arial" w:cs="Arial"/>
          <w:sz w:val="20"/>
          <w:szCs w:val="20"/>
        </w:rPr>
        <w:t>Будите спремни на прилагођавање обима пројекта, рокова или расподеле ресурса у складу са потребама.</w:t>
      </w:r>
      <w:proofErr w:type="gramEnd"/>
      <w:r w:rsidRPr="00925302">
        <w:rPr>
          <w:rFonts w:ascii="Arial" w:eastAsia="Verdana" w:hAnsi="Arial" w:cs="Arial"/>
          <w:sz w:val="20"/>
          <w:szCs w:val="20"/>
        </w:rPr>
        <w:t xml:space="preserve"> Користити алате за управљање пројектима ради праћења расподеле средстава, зависности и напретка;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охрабрити</w:t>
      </w:r>
      <w:proofErr w:type="gramEnd"/>
      <w:r w:rsidRPr="00925302">
        <w:rPr>
          <w:rFonts w:ascii="Arial" w:eastAsia="Verdana" w:hAnsi="Arial" w:cs="Arial"/>
          <w:sz w:val="20"/>
          <w:szCs w:val="20"/>
        </w:rPr>
        <w:t xml:space="preserve"> запослене да изразе своје забринутости због обима посла и сагоревања на послу. Подстицати отворену комуникацију о ограничењима ресурса и могућим проблемима;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4. </w:t>
      </w:r>
      <w:proofErr w:type="gramStart"/>
      <w:r w:rsidRPr="00925302">
        <w:rPr>
          <w:rFonts w:ascii="Arial" w:eastAsia="Verdana" w:hAnsi="Arial" w:cs="Arial"/>
          <w:sz w:val="20"/>
          <w:szCs w:val="20"/>
        </w:rPr>
        <w:t>проблеми</w:t>
      </w:r>
      <w:proofErr w:type="gramEnd"/>
      <w:r w:rsidRPr="00925302">
        <w:rPr>
          <w:rFonts w:ascii="Arial" w:eastAsia="Verdana" w:hAnsi="Arial" w:cs="Arial"/>
          <w:sz w:val="20"/>
          <w:szCs w:val="20"/>
        </w:rPr>
        <w:t xml:space="preserve"> у поступцима набавке који доводе до кашњења и нестручни извршиоци.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План ублажавања: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ревидирати</w:t>
      </w:r>
      <w:proofErr w:type="gramEnd"/>
      <w:r w:rsidRPr="00925302">
        <w:rPr>
          <w:rFonts w:ascii="Arial" w:eastAsia="Verdana" w:hAnsi="Arial" w:cs="Arial"/>
          <w:sz w:val="20"/>
          <w:szCs w:val="20"/>
        </w:rPr>
        <w:t xml:space="preserve"> и поједноставити поступке набавке како би се уклонили непотребни кораци и спречило кашњење;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спровести</w:t>
      </w:r>
      <w:proofErr w:type="gramEnd"/>
      <w:r w:rsidRPr="00925302">
        <w:rPr>
          <w:rFonts w:ascii="Arial" w:eastAsia="Verdana" w:hAnsi="Arial" w:cs="Arial"/>
          <w:sz w:val="20"/>
          <w:szCs w:val="20"/>
        </w:rPr>
        <w:t xml:space="preserve"> детаљне провере референци продаваца који су ушли у ужи круг у циљу потврде њихових способности и претходног учинка. Редовно обављати процену продаваца како би листа била ажурирана;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развити</w:t>
      </w:r>
      <w:proofErr w:type="gramEnd"/>
      <w:r w:rsidRPr="00925302">
        <w:rPr>
          <w:rFonts w:ascii="Arial" w:eastAsia="Verdana" w:hAnsi="Arial" w:cs="Arial"/>
          <w:sz w:val="20"/>
          <w:szCs w:val="20"/>
        </w:rPr>
        <w:t xml:space="preserve"> план свеобухватног управљања уговорима који дефинише комуникационе протоколе, очекивани учинак, стратегије изласка и стратегије управљања ризицима. На овај начин се омогућава јасна комуникација и спречавају могући проблеми током спровођења пројекта;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5. </w:t>
      </w:r>
      <w:proofErr w:type="gramStart"/>
      <w:r w:rsidRPr="00925302">
        <w:rPr>
          <w:rFonts w:ascii="Arial" w:eastAsia="Verdana" w:hAnsi="Arial" w:cs="Arial"/>
          <w:sz w:val="20"/>
          <w:szCs w:val="20"/>
        </w:rPr>
        <w:t>нејасни</w:t>
      </w:r>
      <w:proofErr w:type="gramEnd"/>
      <w:r w:rsidRPr="00925302">
        <w:rPr>
          <w:rFonts w:ascii="Arial" w:eastAsia="Verdana" w:hAnsi="Arial" w:cs="Arial"/>
          <w:sz w:val="20"/>
          <w:szCs w:val="20"/>
        </w:rPr>
        <w:t xml:space="preserve"> или променљиви пројектни захтеви.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План ублажавања: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одржати</w:t>
      </w:r>
      <w:proofErr w:type="gramEnd"/>
      <w:r w:rsidRPr="00925302">
        <w:rPr>
          <w:rFonts w:ascii="Arial" w:eastAsia="Verdana" w:hAnsi="Arial" w:cs="Arial"/>
          <w:sz w:val="20"/>
          <w:szCs w:val="20"/>
        </w:rPr>
        <w:t xml:space="preserve"> радионицу са заинтересованим странама на којој ће се разрадити, размотрити и документовати </w:t>
      </w:r>
      <w:r w:rsidRPr="00925302">
        <w:rPr>
          <w:rFonts w:ascii="Arial" w:eastAsia="Verdana" w:hAnsi="Arial" w:cs="Arial"/>
          <w:sz w:val="20"/>
          <w:szCs w:val="20"/>
        </w:rPr>
        <w:lastRenderedPageBreak/>
        <w:t xml:space="preserve">циљеви, функције и метрика успешности на пројекту. </w:t>
      </w:r>
      <w:proofErr w:type="gramStart"/>
      <w:r w:rsidRPr="00925302">
        <w:rPr>
          <w:rFonts w:ascii="Arial" w:eastAsia="Verdana" w:hAnsi="Arial" w:cs="Arial"/>
          <w:sz w:val="20"/>
          <w:szCs w:val="20"/>
        </w:rPr>
        <w:t>Израдите документ са детаљним захтевима (DRD) који су конкретни, који се могу измерити, испунити, који су релевантни и временски ограничени (SMART).</w:t>
      </w:r>
      <w:proofErr w:type="gramEnd"/>
      <w:r w:rsidRPr="00925302">
        <w:rPr>
          <w:rFonts w:ascii="Arial" w:eastAsia="Verdana" w:hAnsi="Arial" w:cs="Arial"/>
          <w:sz w:val="20"/>
          <w:szCs w:val="20"/>
        </w:rPr>
        <w:t xml:space="preserve"> Дефинисати критеријуме прихватања од стране корисника (UAC) на основу којих ће корисници одредити да ли одређена карактеристика задовољава њихове потребе;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развити</w:t>
      </w:r>
      <w:proofErr w:type="gramEnd"/>
      <w:r w:rsidRPr="00925302">
        <w:rPr>
          <w:rFonts w:ascii="Arial" w:eastAsia="Verdana" w:hAnsi="Arial" w:cs="Arial"/>
          <w:sz w:val="20"/>
          <w:szCs w:val="20"/>
        </w:rPr>
        <w:t xml:space="preserve"> планове за ванредне ситуације уколико дође до промене захтева, укључујући анализу утицаја и стратегије ублажавања;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размотрити</w:t>
      </w:r>
      <w:proofErr w:type="gramEnd"/>
      <w:r w:rsidRPr="00925302">
        <w:rPr>
          <w:rFonts w:ascii="Arial" w:eastAsia="Verdana" w:hAnsi="Arial" w:cs="Arial"/>
          <w:sz w:val="20"/>
          <w:szCs w:val="20"/>
        </w:rPr>
        <w:t xml:space="preserve"> примену методологије агилног управљања пројектима која акценат ставља на флексибилност и према којој су промене добродошле током целог процеса развоја.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b/>
          <w:sz w:val="20"/>
          <w:szCs w:val="20"/>
        </w:rPr>
        <w:t>Технички дуг:</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6. </w:t>
      </w:r>
      <w:proofErr w:type="gramStart"/>
      <w:r w:rsidRPr="00925302">
        <w:rPr>
          <w:rFonts w:ascii="Arial" w:eastAsia="Verdana" w:hAnsi="Arial" w:cs="Arial"/>
          <w:sz w:val="20"/>
          <w:szCs w:val="20"/>
        </w:rPr>
        <w:t>застарели</w:t>
      </w:r>
      <w:proofErr w:type="gramEnd"/>
      <w:r w:rsidRPr="00925302">
        <w:rPr>
          <w:rFonts w:ascii="Arial" w:eastAsia="Verdana" w:hAnsi="Arial" w:cs="Arial"/>
          <w:sz w:val="20"/>
          <w:szCs w:val="20"/>
        </w:rPr>
        <w:t xml:space="preserve"> ИТ системи који захтевају посебне стручне вештине, који су превазиђени или се не користе.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План ублажавања: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направити</w:t>
      </w:r>
      <w:proofErr w:type="gramEnd"/>
      <w:r w:rsidRPr="00925302">
        <w:rPr>
          <w:rFonts w:ascii="Arial" w:eastAsia="Verdana" w:hAnsi="Arial" w:cs="Arial"/>
          <w:sz w:val="20"/>
          <w:szCs w:val="20"/>
        </w:rPr>
        <w:t xml:space="preserve"> свеобухватну листу ИТ система, укључујући старост, функционалност, коришћење и зависности. Извршити процену вештина које су потребне за одржавање ових система и утврдити све критичне недостатке вештина у ИТ тиму;</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утврдити</w:t>
      </w:r>
      <w:proofErr w:type="gramEnd"/>
      <w:r w:rsidRPr="00925302">
        <w:rPr>
          <w:rFonts w:ascii="Arial" w:eastAsia="Verdana" w:hAnsi="Arial" w:cs="Arial"/>
          <w:sz w:val="20"/>
          <w:szCs w:val="20"/>
        </w:rPr>
        <w:t xml:space="preserve"> редослед приоритета међу застарелим системима на основу њиховог значаја за пословање, слабих тачака система безбедности и потенцијала за квар. За сваки систем одредити ток предузимања мера, модернизацију, замену, ангажовање спољних сарадника или стављање ван употребе и направити план реализације;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документовати</w:t>
      </w:r>
      <w:proofErr w:type="gramEnd"/>
      <w:r w:rsidRPr="00925302">
        <w:rPr>
          <w:rFonts w:ascii="Arial" w:eastAsia="Verdana" w:hAnsi="Arial" w:cs="Arial"/>
          <w:sz w:val="20"/>
          <w:szCs w:val="20"/>
        </w:rPr>
        <w:t xml:space="preserve"> постојеће знање и процесе како би се застарели системи одржавали. Развити план преноса знања како би се задржала експертиза особља које одлази у пензију и обучити ново особље за рад са преосталим застарелим системима;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7. </w:t>
      </w:r>
      <w:proofErr w:type="gramStart"/>
      <w:r w:rsidRPr="00925302">
        <w:rPr>
          <w:rFonts w:ascii="Arial" w:eastAsia="Verdana" w:hAnsi="Arial" w:cs="Arial"/>
          <w:sz w:val="20"/>
          <w:szCs w:val="20"/>
        </w:rPr>
        <w:t>сложена</w:t>
      </w:r>
      <w:proofErr w:type="gramEnd"/>
      <w:r w:rsidRPr="00925302">
        <w:rPr>
          <w:rFonts w:ascii="Arial" w:eastAsia="Verdana" w:hAnsi="Arial" w:cs="Arial"/>
          <w:sz w:val="20"/>
          <w:szCs w:val="20"/>
        </w:rPr>
        <w:t xml:space="preserve"> архитектура система која доводи до отежаног одржавања и недоследности података.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План ублажавања: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разложити</w:t>
      </w:r>
      <w:proofErr w:type="gramEnd"/>
      <w:r w:rsidRPr="00925302">
        <w:rPr>
          <w:rFonts w:ascii="Arial" w:eastAsia="Verdana" w:hAnsi="Arial" w:cs="Arial"/>
          <w:sz w:val="20"/>
          <w:szCs w:val="20"/>
        </w:rPr>
        <w:t xml:space="preserve"> систем на мање, самосталне модуле са добро дефинисаним интерфејсима. </w:t>
      </w:r>
      <w:proofErr w:type="gramStart"/>
      <w:r w:rsidRPr="00925302">
        <w:rPr>
          <w:rFonts w:ascii="Arial" w:eastAsia="Verdana" w:hAnsi="Arial" w:cs="Arial"/>
          <w:sz w:val="20"/>
          <w:szCs w:val="20"/>
        </w:rPr>
        <w:t>Спровести стандардне протоколе и формате података за комуникацију међу модулима.</w:t>
      </w:r>
      <w:proofErr w:type="gramEnd"/>
      <w:r w:rsidRPr="00925302">
        <w:rPr>
          <w:rFonts w:ascii="Arial" w:eastAsia="Verdana" w:hAnsi="Arial" w:cs="Arial"/>
          <w:sz w:val="20"/>
          <w:szCs w:val="20"/>
        </w:rPr>
        <w:t xml:space="preserve"> Израдити свеобухватну и ажурирану документацију о архитектури система;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стандардизовати</w:t>
      </w:r>
      <w:proofErr w:type="gramEnd"/>
      <w:r w:rsidRPr="00925302">
        <w:rPr>
          <w:rFonts w:ascii="Arial" w:eastAsia="Verdana" w:hAnsi="Arial" w:cs="Arial"/>
          <w:sz w:val="20"/>
          <w:szCs w:val="20"/>
        </w:rPr>
        <w:t xml:space="preserve"> технологије и алате који се користе у целом систему. Размотрити коришћење формате података који су стандардни у делатности како би се обезбедила доследност података у различитим модулима;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аутоматизовати</w:t>
      </w:r>
      <w:proofErr w:type="gramEnd"/>
      <w:r w:rsidRPr="00925302">
        <w:rPr>
          <w:rFonts w:ascii="Arial" w:eastAsia="Verdana" w:hAnsi="Arial" w:cs="Arial"/>
          <w:sz w:val="20"/>
          <w:szCs w:val="20"/>
        </w:rPr>
        <w:t xml:space="preserve"> рутинске радове на одржавању као што су тестирање, пуштање у рад, самоуслужни портал и управљање конфигурацијом. </w:t>
      </w:r>
      <w:proofErr w:type="gramStart"/>
      <w:r w:rsidRPr="00925302">
        <w:rPr>
          <w:rFonts w:ascii="Arial" w:eastAsia="Verdana" w:hAnsi="Arial" w:cs="Arial"/>
          <w:sz w:val="20"/>
          <w:szCs w:val="20"/>
        </w:rPr>
        <w:t>Увести алате за праћење система како бисте пратили учинак, открили могуће проблеме и обезбедили доследност података у целој инфраструктури.</w:t>
      </w:r>
      <w:proofErr w:type="gramEnd"/>
    </w:p>
    <w:p w:rsidR="00925302" w:rsidRPr="00925302" w:rsidRDefault="00925302" w:rsidP="001809E9">
      <w:pPr>
        <w:spacing w:line="360" w:lineRule="auto"/>
        <w:rPr>
          <w:rFonts w:ascii="Arial" w:hAnsi="Arial" w:cs="Arial"/>
          <w:sz w:val="20"/>
          <w:szCs w:val="20"/>
        </w:rPr>
      </w:pPr>
      <w:r w:rsidRPr="00925302">
        <w:rPr>
          <w:rFonts w:ascii="Arial" w:eastAsia="Verdana" w:hAnsi="Arial" w:cs="Arial"/>
          <w:b/>
          <w:sz w:val="20"/>
          <w:szCs w:val="20"/>
        </w:rPr>
        <w:t>Изазови у пословању:</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8. </w:t>
      </w:r>
      <w:proofErr w:type="gramStart"/>
      <w:r w:rsidRPr="00925302">
        <w:rPr>
          <w:rFonts w:ascii="Arial" w:eastAsia="Verdana" w:hAnsi="Arial" w:cs="Arial"/>
          <w:sz w:val="20"/>
          <w:szCs w:val="20"/>
        </w:rPr>
        <w:t>отежано</w:t>
      </w:r>
      <w:proofErr w:type="gramEnd"/>
      <w:r w:rsidRPr="00925302">
        <w:rPr>
          <w:rFonts w:ascii="Arial" w:eastAsia="Verdana" w:hAnsi="Arial" w:cs="Arial"/>
          <w:sz w:val="20"/>
          <w:szCs w:val="20"/>
        </w:rPr>
        <w:t xml:space="preserve"> прилагођавање новим прописима и пословним потребама.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План ублажавања: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спровести</w:t>
      </w:r>
      <w:proofErr w:type="gramEnd"/>
      <w:r w:rsidRPr="00925302">
        <w:rPr>
          <w:rFonts w:ascii="Arial" w:eastAsia="Verdana" w:hAnsi="Arial" w:cs="Arial"/>
          <w:sz w:val="20"/>
          <w:szCs w:val="20"/>
        </w:rPr>
        <w:t xml:space="preserve"> систем који ће вам обезбедити да увек будете информисани о предстојећим изменама прописа, како на државном, тако и на нивоу ЕУ. Уколико већ не постоји узети у обзир формирање наменског тима или радне групе која ће бити задужена за праћење прописа и развој планова усклађивања;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обезбедити</w:t>
      </w:r>
      <w:proofErr w:type="gramEnd"/>
      <w:r w:rsidRPr="00925302">
        <w:rPr>
          <w:rFonts w:ascii="Arial" w:eastAsia="Verdana" w:hAnsi="Arial" w:cs="Arial"/>
          <w:sz w:val="20"/>
          <w:szCs w:val="20"/>
        </w:rPr>
        <w:t xml:space="preserve"> јасну и транспарентну комуникацију у целој организацији у вези са новим прописима и пословним променама. Олакшати сарадњу одељења како би се обезбедио усклађени одговор на нове изазове;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пратити</w:t>
      </w:r>
      <w:proofErr w:type="gramEnd"/>
      <w:r w:rsidRPr="00925302">
        <w:rPr>
          <w:rFonts w:ascii="Arial" w:eastAsia="Verdana" w:hAnsi="Arial" w:cs="Arial"/>
          <w:sz w:val="20"/>
          <w:szCs w:val="20"/>
        </w:rPr>
        <w:t xml:space="preserve"> време које је потребно за имплементацију нових прописа. </w:t>
      </w:r>
      <w:proofErr w:type="gramStart"/>
      <w:r w:rsidRPr="00925302">
        <w:rPr>
          <w:rFonts w:ascii="Arial" w:eastAsia="Verdana" w:hAnsi="Arial" w:cs="Arial"/>
          <w:sz w:val="20"/>
          <w:szCs w:val="20"/>
        </w:rPr>
        <w:t>Измерити задовољство запослених комуникацијом и обуком о променама.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 xml:space="preserve">Размотрити научене лекције у циљу побољшања процеса за будуће </w:t>
      </w:r>
      <w:r w:rsidRPr="00925302">
        <w:rPr>
          <w:rFonts w:ascii="Arial" w:eastAsia="Verdana" w:hAnsi="Arial" w:cs="Arial"/>
          <w:sz w:val="20"/>
          <w:szCs w:val="20"/>
        </w:rPr>
        <w:lastRenderedPageBreak/>
        <w:t>промене.</w:t>
      </w:r>
      <w:proofErr w:type="gramEnd"/>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sz w:val="20"/>
          <w:szCs w:val="20"/>
        </w:rPr>
        <w:t>ПРЕГЛЕД МЕРА И АКТИВНОСТИ</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 xml:space="preserve">1. Увод </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Преглед мера и активности је документ који је саставни део Плана рада за развој и коришћење електронских система царинске службе Министарства финансија за период 2025–2029.</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године</w:t>
      </w:r>
      <w:proofErr w:type="gramEnd"/>
      <w:r w:rsidRPr="00925302">
        <w:rPr>
          <w:rFonts w:ascii="Arial" w:eastAsia="Verdana" w:hAnsi="Arial" w:cs="Arial"/>
          <w:sz w:val="20"/>
          <w:szCs w:val="20"/>
        </w:rPr>
        <w:t xml:space="preserve"> (у даљем тексту: Плана рада за развој и коришћење електронских система царинске службе) за период од наредних пет година.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План рада за развој и коришћење електронских система царинске службе, као документ од стратешког значаја за Управу царина (у даљем тексту: УЦ) у овој области, дефинише стратешке циљеве који се морају испунити:</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1) </w:t>
      </w:r>
      <w:proofErr w:type="gramStart"/>
      <w:r w:rsidRPr="00925302">
        <w:rPr>
          <w:rFonts w:ascii="Arial" w:eastAsia="Verdana" w:hAnsi="Arial" w:cs="Arial"/>
          <w:sz w:val="20"/>
          <w:szCs w:val="20"/>
        </w:rPr>
        <w:t>развој</w:t>
      </w:r>
      <w:proofErr w:type="gramEnd"/>
      <w:r w:rsidRPr="00925302">
        <w:rPr>
          <w:rFonts w:ascii="Arial" w:eastAsia="Verdana" w:hAnsi="Arial" w:cs="Arial"/>
          <w:sz w:val="20"/>
          <w:szCs w:val="20"/>
        </w:rPr>
        <w:t xml:space="preserve"> савременог, интегрисаног и усклађеног информационог система УЦ коришћењем приступа сервисно оријентисане архитектуре;</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2) </w:t>
      </w:r>
      <w:proofErr w:type="gramStart"/>
      <w:r w:rsidRPr="00925302">
        <w:rPr>
          <w:rFonts w:ascii="Arial" w:eastAsia="Verdana" w:hAnsi="Arial" w:cs="Arial"/>
          <w:sz w:val="20"/>
          <w:szCs w:val="20"/>
        </w:rPr>
        <w:t>спровођење</w:t>
      </w:r>
      <w:proofErr w:type="gramEnd"/>
      <w:r w:rsidRPr="00925302">
        <w:rPr>
          <w:rFonts w:ascii="Arial" w:eastAsia="Verdana" w:hAnsi="Arial" w:cs="Arial"/>
          <w:sz w:val="20"/>
          <w:szCs w:val="20"/>
        </w:rPr>
        <w:t xml:space="preserve"> дигиталне трансформације УЦ имплементацијом модерног ИТ система у свим областима пословања;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3) </w:t>
      </w:r>
      <w:proofErr w:type="gramStart"/>
      <w:r w:rsidRPr="00925302">
        <w:rPr>
          <w:rFonts w:ascii="Arial" w:eastAsia="Verdana" w:hAnsi="Arial" w:cs="Arial"/>
          <w:sz w:val="20"/>
          <w:szCs w:val="20"/>
        </w:rPr>
        <w:t>унапређење</w:t>
      </w:r>
      <w:proofErr w:type="gramEnd"/>
      <w:r w:rsidRPr="00925302">
        <w:rPr>
          <w:rFonts w:ascii="Arial" w:eastAsia="Verdana" w:hAnsi="Arial" w:cs="Arial"/>
          <w:sz w:val="20"/>
          <w:szCs w:val="20"/>
        </w:rPr>
        <w:t xml:space="preserve"> ИТ инфраструктуре у циљу оптимизације царинских процеса и искуства корисника;</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4) </w:t>
      </w:r>
      <w:proofErr w:type="gramStart"/>
      <w:r w:rsidRPr="00925302">
        <w:rPr>
          <w:rFonts w:ascii="Arial" w:eastAsia="Verdana" w:hAnsi="Arial" w:cs="Arial"/>
          <w:sz w:val="20"/>
          <w:szCs w:val="20"/>
        </w:rPr>
        <w:t>ажурирање</w:t>
      </w:r>
      <w:proofErr w:type="gramEnd"/>
      <w:r w:rsidRPr="00925302">
        <w:rPr>
          <w:rFonts w:ascii="Arial" w:eastAsia="Verdana" w:hAnsi="Arial" w:cs="Arial"/>
          <w:sz w:val="20"/>
          <w:szCs w:val="20"/>
        </w:rPr>
        <w:t xml:space="preserve"> стратешких докумената ИТ, којима се подржава законски оквир;</w:t>
      </w:r>
    </w:p>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 xml:space="preserve">5) </w:t>
      </w:r>
      <w:proofErr w:type="gramStart"/>
      <w:r w:rsidRPr="00925302">
        <w:rPr>
          <w:rFonts w:ascii="Arial" w:eastAsia="Verdana" w:hAnsi="Arial" w:cs="Arial"/>
          <w:sz w:val="20"/>
          <w:szCs w:val="20"/>
        </w:rPr>
        <w:t>унапређење</w:t>
      </w:r>
      <w:proofErr w:type="gramEnd"/>
      <w:r w:rsidRPr="00925302">
        <w:rPr>
          <w:rFonts w:ascii="Arial" w:eastAsia="Verdana" w:hAnsi="Arial" w:cs="Arial"/>
          <w:sz w:val="20"/>
          <w:szCs w:val="20"/>
        </w:rPr>
        <w:t xml:space="preserve"> вештина ИT, привлачење и задржавање особља ИТ.</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Наведени стратешки циљеви су директно повезани са циљем општег пословања УЦ, а то је развој информационих и комуникационих технологија као што је наведено у Плану развоја царинске службе Републике Србије за период 2025–2029.</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године</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Поред овога, План рада за развој и коришћење електронских система царинске службе представља мере које треба предузети да би се одговорило на предстојеће изазове и да би се обезбедила основа за даље, детаљније планирање неопходних радњи.</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Преглед мера и активности описује унапређења, побољшања и измене који треба да се имплементирају током његовог циклуса.</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Овaj документ ће омогућити да УЦ усмери своје напоре ка остварењу одређених, дефинисаних краткорочних и средњорочних циљева у овом периоду.</w:t>
      </w:r>
      <w:proofErr w:type="gramEnd"/>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Део средстава за реализацију активности планираних за 2027.</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годину</w:t>
      </w:r>
      <w:proofErr w:type="gramEnd"/>
      <w:r w:rsidRPr="00925302">
        <w:rPr>
          <w:rFonts w:ascii="Arial" w:eastAsia="Verdana" w:hAnsi="Arial" w:cs="Arial"/>
          <w:sz w:val="20"/>
          <w:szCs w:val="20"/>
        </w:rPr>
        <w:t>, биће обазбеђен из донаторских средстава.</w:t>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b/>
          <w:sz w:val="20"/>
          <w:szCs w:val="20"/>
        </w:rPr>
        <w:t xml:space="preserve">2. Скраћенице </w:t>
      </w:r>
    </w:p>
    <w:p w:rsidR="00925302" w:rsidRPr="00925302" w:rsidRDefault="00925302" w:rsidP="001809E9">
      <w:pPr>
        <w:spacing w:line="360" w:lineRule="auto"/>
        <w:rPr>
          <w:rFonts w:ascii="Arial" w:hAnsi="Arial" w:cs="Arial"/>
          <w:sz w:val="20"/>
          <w:szCs w:val="20"/>
        </w:rPr>
      </w:pPr>
      <w:proofErr w:type="gramStart"/>
      <w:r w:rsidRPr="00925302">
        <w:rPr>
          <w:rFonts w:ascii="Arial" w:eastAsia="Verdana" w:hAnsi="Arial" w:cs="Arial"/>
          <w:sz w:val="20"/>
          <w:szCs w:val="20"/>
        </w:rPr>
        <w:t>У табели која следи наведене су скраћенице које су коришћене у Прегледу мера и активности уз План рада за развој и коришћење електронских система царинске службе Министарства финансија за период 2025–2029.</w:t>
      </w:r>
      <w:proofErr w:type="gramEnd"/>
      <w:r w:rsidRPr="00925302">
        <w:rPr>
          <w:rFonts w:ascii="Arial" w:eastAsia="Verdana" w:hAnsi="Arial" w:cs="Arial"/>
          <w:sz w:val="20"/>
          <w:szCs w:val="20"/>
        </w:rPr>
        <w:t xml:space="preserve"> </w:t>
      </w:r>
      <w:proofErr w:type="gramStart"/>
      <w:r w:rsidRPr="00925302">
        <w:rPr>
          <w:rFonts w:ascii="Arial" w:eastAsia="Verdana" w:hAnsi="Arial" w:cs="Arial"/>
          <w:sz w:val="20"/>
          <w:szCs w:val="20"/>
        </w:rPr>
        <w:t>године</w:t>
      </w:r>
      <w:proofErr w:type="gramEnd"/>
      <w:r w:rsidRPr="00925302">
        <w:rPr>
          <w:rFonts w:ascii="Arial" w:eastAsia="Verdana" w:hAnsi="Arial" w:cs="Arial"/>
          <w:sz w:val="20"/>
          <w:szCs w:val="20"/>
        </w:rPr>
        <w:t>.</w:t>
      </w:r>
    </w:p>
    <w:tbl>
      <w:tblPr>
        <w:tblW w:w="4950" w:type="pct"/>
        <w:tblInd w:w="10" w:type="dxa"/>
        <w:tblCellMar>
          <w:left w:w="10" w:type="dxa"/>
          <w:right w:w="10" w:type="dxa"/>
        </w:tblCellMar>
        <w:tblLook w:val="0000" w:firstRow="0" w:lastRow="0" w:firstColumn="0" w:lastColumn="0" w:noHBand="0" w:noVBand="0"/>
      </w:tblPr>
      <w:tblGrid>
        <w:gridCol w:w="1362"/>
        <w:gridCol w:w="8776"/>
      </w:tblGrid>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Скраћеница</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Опис</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AEO</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Овлашћени економски оператер</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AES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Аутоматизовани извозни систем</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AFIS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Систем за борбу против превара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AIS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Аутоматизовани увозни систем</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BCP</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План наставка пословања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CDS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Систем царинских одлука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COPIS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Систем за заштиту права интелектуалне својине</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DRP</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План опоравка услед хаварије</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DS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Дигитални потписи</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DWH</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Систем за складиштење царинских података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EORI2</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Подсистем регистрације и идентификације економских оператера 2</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lastRenderedPageBreak/>
              <w:t>ЕУ</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Европска унија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ИТ</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Информационе технологије</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ICS2</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Систем за контролу увоза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ISMS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Систем мера за безбедност информација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ISO</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Међународна организација за управљање стандардима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ITMS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Интегрисани систем управљања тарифама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MASP</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Вишегодишњи стратешки план за стварање европског електронског окружења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MRA</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Споразум о узајамном признавању</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NCTS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Нови компјутеризовани транзитни систем</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PoUS</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Доказ о статусу у унији</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REX</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Регистровани систем извоза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SW</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Једношалтерски систем</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TARIC</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Интегрисана тарифа ЕУ</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TОR</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Традиционална сопствена средства</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УЦ</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Управа царинa</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UCC</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Царински правилник уније</w:t>
            </w:r>
          </w:p>
        </w:tc>
      </w:tr>
      <w:tr w:rsidR="00925302" w:rsidRPr="00925302" w:rsidTr="00793903">
        <w:tblPrEx>
          <w:tblCellMar>
            <w:top w:w="0" w:type="dxa"/>
            <w:bottom w:w="0" w:type="dxa"/>
          </w:tblCellMar>
        </w:tblPrEx>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UUM</w:t>
            </w:r>
          </w:p>
        </w:tc>
        <w:tc>
          <w:tcPr>
            <w:tcW w:w="0" w:type="auto"/>
          </w:tcPr>
          <w:p w:rsidR="00925302" w:rsidRPr="00925302" w:rsidRDefault="00925302" w:rsidP="001809E9">
            <w:pPr>
              <w:spacing w:line="360" w:lineRule="auto"/>
              <w:rPr>
                <w:rFonts w:ascii="Arial" w:hAnsi="Arial" w:cs="Arial"/>
                <w:sz w:val="20"/>
                <w:szCs w:val="20"/>
              </w:rPr>
            </w:pPr>
            <w:r w:rsidRPr="00925302">
              <w:rPr>
                <w:rFonts w:ascii="Arial" w:eastAsia="Verdana" w:hAnsi="Arial" w:cs="Arial"/>
                <w:sz w:val="20"/>
                <w:szCs w:val="20"/>
              </w:rPr>
              <w:t>Јединствено управљање корисницима</w:t>
            </w:r>
          </w:p>
        </w:tc>
      </w:tr>
    </w:tbl>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noProof/>
          <w:sz w:val="20"/>
          <w:szCs w:val="20"/>
        </w:rPr>
        <w:drawing>
          <wp:inline distT="0" distB="0" distL="0" distR="0" wp14:anchorId="0509F93F" wp14:editId="6AABA559">
            <wp:extent cx="5000000" cy="35522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O5sRKhrv5KAAAAAElFTkSuQmCC"/>
                    <pic:cNvPicPr/>
                  </pic:nvPicPr>
                  <pic:blipFill>
                    <a:blip r:embed="rId8" cstate="print">
                      <a:extLst/>
                    </a:blip>
                    <a:stretch>
                      <a:fillRect/>
                    </a:stretch>
                  </pic:blipFill>
                  <pic:spPr>
                    <a:xfrm>
                      <a:off x="0" y="0"/>
                      <a:ext cx="5000000" cy="3552287"/>
                    </a:xfrm>
                    <a:prstGeom prst="rect">
                      <a:avLst/>
                    </a:prstGeom>
                  </pic:spPr>
                </pic:pic>
              </a:graphicData>
            </a:graphic>
          </wp:inline>
        </w:drawing>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noProof/>
          <w:sz w:val="20"/>
          <w:szCs w:val="20"/>
        </w:rPr>
        <w:lastRenderedPageBreak/>
        <w:drawing>
          <wp:inline distT="0" distB="0" distL="0" distR="0" wp14:anchorId="55F341C4" wp14:editId="702ECE66">
            <wp:extent cx="5000000" cy="35522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jwDdnZA+kAAAAASUVORK5CYII="/>
                    <pic:cNvPicPr/>
                  </pic:nvPicPr>
                  <pic:blipFill>
                    <a:blip r:embed="rId9" cstate="print">
                      <a:extLst/>
                    </a:blip>
                    <a:stretch>
                      <a:fillRect/>
                    </a:stretch>
                  </pic:blipFill>
                  <pic:spPr>
                    <a:xfrm>
                      <a:off x="0" y="0"/>
                      <a:ext cx="5000000" cy="3552287"/>
                    </a:xfrm>
                    <a:prstGeom prst="rect">
                      <a:avLst/>
                    </a:prstGeom>
                  </pic:spPr>
                </pic:pic>
              </a:graphicData>
            </a:graphic>
          </wp:inline>
        </w:drawing>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noProof/>
          <w:sz w:val="20"/>
          <w:szCs w:val="20"/>
        </w:rPr>
        <w:drawing>
          <wp:inline distT="0" distB="0" distL="0" distR="0" wp14:anchorId="4EB102DC" wp14:editId="77C789A9">
            <wp:extent cx="5000000" cy="35522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AAAAASUVORK5CYII="/>
                    <pic:cNvPicPr/>
                  </pic:nvPicPr>
                  <pic:blipFill>
                    <a:blip r:embed="rId10" cstate="print">
                      <a:extLst/>
                    </a:blip>
                    <a:stretch>
                      <a:fillRect/>
                    </a:stretch>
                  </pic:blipFill>
                  <pic:spPr>
                    <a:xfrm>
                      <a:off x="0" y="0"/>
                      <a:ext cx="5000000" cy="3552287"/>
                    </a:xfrm>
                    <a:prstGeom prst="rect">
                      <a:avLst/>
                    </a:prstGeom>
                  </pic:spPr>
                </pic:pic>
              </a:graphicData>
            </a:graphic>
          </wp:inline>
        </w:drawing>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noProof/>
          <w:sz w:val="20"/>
          <w:szCs w:val="20"/>
        </w:rPr>
        <w:lastRenderedPageBreak/>
        <w:drawing>
          <wp:inline distT="0" distB="0" distL="0" distR="0" wp14:anchorId="3CF90D22" wp14:editId="3979AB31">
            <wp:extent cx="5000000" cy="35522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EREREREREREREVoyJfiIiIiIiIiIiIiIiK8ZEPxERERERERERERGRFWOin4iIiIiIiIiIiIjIijHRT0RERERERERERERkxZjoJyIiIiIiIiIiIiKyYv8HBX2PdasNrS4AAAAASUVORK5CYII="/>
                    <pic:cNvPicPr/>
                  </pic:nvPicPr>
                  <pic:blipFill>
                    <a:blip r:embed="rId11" cstate="print">
                      <a:extLst/>
                    </a:blip>
                    <a:stretch>
                      <a:fillRect/>
                    </a:stretch>
                  </pic:blipFill>
                  <pic:spPr>
                    <a:xfrm>
                      <a:off x="0" y="0"/>
                      <a:ext cx="5000000" cy="3552287"/>
                    </a:xfrm>
                    <a:prstGeom prst="rect">
                      <a:avLst/>
                    </a:prstGeom>
                  </pic:spPr>
                </pic:pic>
              </a:graphicData>
            </a:graphic>
          </wp:inline>
        </w:drawing>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noProof/>
          <w:sz w:val="20"/>
          <w:szCs w:val="20"/>
        </w:rPr>
        <w:drawing>
          <wp:inline distT="0" distB="0" distL="0" distR="0" wp14:anchorId="0BA9487A" wp14:editId="784E2358">
            <wp:extent cx="5000000" cy="35522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HTIxCHW9D80QAAAAASUVORK5CYII="/>
                    <pic:cNvPicPr/>
                  </pic:nvPicPr>
                  <pic:blipFill>
                    <a:blip r:embed="rId12" cstate="print">
                      <a:extLst/>
                    </a:blip>
                    <a:stretch>
                      <a:fillRect/>
                    </a:stretch>
                  </pic:blipFill>
                  <pic:spPr>
                    <a:xfrm>
                      <a:off x="0" y="0"/>
                      <a:ext cx="5000000" cy="3552287"/>
                    </a:xfrm>
                    <a:prstGeom prst="rect">
                      <a:avLst/>
                    </a:prstGeom>
                  </pic:spPr>
                </pic:pic>
              </a:graphicData>
            </a:graphic>
          </wp:inline>
        </w:drawing>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noProof/>
          <w:sz w:val="20"/>
          <w:szCs w:val="20"/>
        </w:rPr>
        <w:lastRenderedPageBreak/>
        <w:drawing>
          <wp:inline distT="0" distB="0" distL="0" distR="0" wp14:anchorId="68AEDB8E" wp14:editId="1729C8B4">
            <wp:extent cx="5000000" cy="35522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AAUTOgHAAAAAICCCf0AAAAAAFAwoR8AAAAAAAr2f1FU4uYK32lfAAAAAElFTkSuQmCC"/>
                    <pic:cNvPicPr/>
                  </pic:nvPicPr>
                  <pic:blipFill>
                    <a:blip r:embed="rId13" cstate="print">
                      <a:extLst/>
                    </a:blip>
                    <a:stretch>
                      <a:fillRect/>
                    </a:stretch>
                  </pic:blipFill>
                  <pic:spPr>
                    <a:xfrm>
                      <a:off x="0" y="0"/>
                      <a:ext cx="5000000" cy="3552287"/>
                    </a:xfrm>
                    <a:prstGeom prst="rect">
                      <a:avLst/>
                    </a:prstGeom>
                  </pic:spPr>
                </pic:pic>
              </a:graphicData>
            </a:graphic>
          </wp:inline>
        </w:drawing>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noProof/>
          <w:sz w:val="20"/>
          <w:szCs w:val="20"/>
        </w:rPr>
        <w:drawing>
          <wp:inline distT="0" distB="0" distL="0" distR="0" wp14:anchorId="39056D5E" wp14:editId="20419008">
            <wp:extent cx="5000000" cy="35522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CyRJeclw0AAAAASUVORK5CYII="/>
                    <pic:cNvPicPr/>
                  </pic:nvPicPr>
                  <pic:blipFill>
                    <a:blip r:embed="rId14" cstate="print">
                      <a:extLst/>
                    </a:blip>
                    <a:stretch>
                      <a:fillRect/>
                    </a:stretch>
                  </pic:blipFill>
                  <pic:spPr>
                    <a:xfrm>
                      <a:off x="0" y="0"/>
                      <a:ext cx="5000000" cy="3552287"/>
                    </a:xfrm>
                    <a:prstGeom prst="rect">
                      <a:avLst/>
                    </a:prstGeom>
                  </pic:spPr>
                </pic:pic>
              </a:graphicData>
            </a:graphic>
          </wp:inline>
        </w:drawing>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noProof/>
          <w:sz w:val="20"/>
          <w:szCs w:val="20"/>
        </w:rPr>
        <w:lastRenderedPageBreak/>
        <w:drawing>
          <wp:inline distT="0" distB="0" distL="0" distR="0" wp14:anchorId="0E3F576E" wp14:editId="2F09C63E">
            <wp:extent cx="5000000" cy="35522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BJRU5ErkJggg=="/>
                    <pic:cNvPicPr/>
                  </pic:nvPicPr>
                  <pic:blipFill>
                    <a:blip r:embed="rId15" cstate="print">
                      <a:extLst/>
                    </a:blip>
                    <a:stretch>
                      <a:fillRect/>
                    </a:stretch>
                  </pic:blipFill>
                  <pic:spPr>
                    <a:xfrm>
                      <a:off x="0" y="0"/>
                      <a:ext cx="5000000" cy="3552287"/>
                    </a:xfrm>
                    <a:prstGeom prst="rect">
                      <a:avLst/>
                    </a:prstGeom>
                  </pic:spPr>
                </pic:pic>
              </a:graphicData>
            </a:graphic>
          </wp:inline>
        </w:drawing>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noProof/>
          <w:sz w:val="20"/>
          <w:szCs w:val="20"/>
        </w:rPr>
        <w:drawing>
          <wp:inline distT="0" distB="0" distL="0" distR="0" wp14:anchorId="2507039B" wp14:editId="192204F0">
            <wp:extent cx="5000000" cy="35522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zo7VEY5pa4HAAAAAElFTkSuQmCC"/>
                    <pic:cNvPicPr/>
                  </pic:nvPicPr>
                  <pic:blipFill>
                    <a:blip r:embed="rId16" cstate="print">
                      <a:extLst/>
                    </a:blip>
                    <a:stretch>
                      <a:fillRect/>
                    </a:stretch>
                  </pic:blipFill>
                  <pic:spPr>
                    <a:xfrm>
                      <a:off x="0" y="0"/>
                      <a:ext cx="5000000" cy="3552287"/>
                    </a:xfrm>
                    <a:prstGeom prst="rect">
                      <a:avLst/>
                    </a:prstGeom>
                  </pic:spPr>
                </pic:pic>
              </a:graphicData>
            </a:graphic>
          </wp:inline>
        </w:drawing>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noProof/>
          <w:sz w:val="20"/>
          <w:szCs w:val="20"/>
        </w:rPr>
        <w:lastRenderedPageBreak/>
        <w:drawing>
          <wp:inline distT="0" distB="0" distL="0" distR="0" wp14:anchorId="4924246F" wp14:editId="0A96877A">
            <wp:extent cx="5000000" cy="35522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AAAAADAm+gEAAAAAYCy0dcByjVGigwAAAABJRU5ErkJggg=="/>
                    <pic:cNvPicPr/>
                  </pic:nvPicPr>
                  <pic:blipFill>
                    <a:blip r:embed="rId17" cstate="print">
                      <a:extLst/>
                    </a:blip>
                    <a:stretch>
                      <a:fillRect/>
                    </a:stretch>
                  </pic:blipFill>
                  <pic:spPr>
                    <a:xfrm>
                      <a:off x="0" y="0"/>
                      <a:ext cx="5000000" cy="3552287"/>
                    </a:xfrm>
                    <a:prstGeom prst="rect">
                      <a:avLst/>
                    </a:prstGeom>
                  </pic:spPr>
                </pic:pic>
              </a:graphicData>
            </a:graphic>
          </wp:inline>
        </w:drawing>
      </w:r>
    </w:p>
    <w:p w:rsidR="00925302" w:rsidRPr="00925302" w:rsidRDefault="00925302" w:rsidP="001809E9">
      <w:pPr>
        <w:spacing w:line="360" w:lineRule="auto"/>
        <w:jc w:val="center"/>
        <w:rPr>
          <w:rFonts w:ascii="Arial" w:hAnsi="Arial" w:cs="Arial"/>
          <w:sz w:val="20"/>
          <w:szCs w:val="20"/>
        </w:rPr>
      </w:pPr>
      <w:r w:rsidRPr="00925302">
        <w:rPr>
          <w:rFonts w:ascii="Arial" w:eastAsia="Verdana" w:hAnsi="Arial" w:cs="Arial"/>
          <w:noProof/>
          <w:sz w:val="20"/>
          <w:szCs w:val="20"/>
        </w:rPr>
        <w:drawing>
          <wp:inline distT="0" distB="0" distL="0" distR="0" wp14:anchorId="4BD7FBEE" wp14:editId="37E8C489">
            <wp:extent cx="5000000" cy="355228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8RfYnwAb3LmAAAAABJRU5ErkJggg=="/>
                    <pic:cNvPicPr/>
                  </pic:nvPicPr>
                  <pic:blipFill>
                    <a:blip r:embed="rId18" cstate="print">
                      <a:extLst/>
                    </a:blip>
                    <a:stretch>
                      <a:fillRect/>
                    </a:stretch>
                  </pic:blipFill>
                  <pic:spPr>
                    <a:xfrm>
                      <a:off x="0" y="0"/>
                      <a:ext cx="5000000" cy="3552287"/>
                    </a:xfrm>
                    <a:prstGeom prst="rect">
                      <a:avLst/>
                    </a:prstGeom>
                  </pic:spPr>
                </pic:pic>
              </a:graphicData>
            </a:graphic>
          </wp:inline>
        </w:drawing>
      </w:r>
    </w:p>
    <w:p w:rsidR="00A524A3" w:rsidRPr="00925302" w:rsidRDefault="00A524A3" w:rsidP="001809E9">
      <w:pPr>
        <w:pStyle w:val="basic-paragraph"/>
        <w:spacing w:before="0" w:beforeAutospacing="0" w:after="150" w:afterAutospacing="0" w:line="360" w:lineRule="auto"/>
        <w:ind w:firstLine="480"/>
        <w:jc w:val="center"/>
        <w:rPr>
          <w:rFonts w:ascii="Arial" w:hAnsi="Arial" w:cs="Arial"/>
          <w:color w:val="333333"/>
          <w:sz w:val="20"/>
          <w:szCs w:val="20"/>
        </w:rPr>
      </w:pPr>
    </w:p>
    <w:sectPr w:rsidR="00A524A3" w:rsidRPr="00925302" w:rsidSect="000A73F6">
      <w:type w:val="continuous"/>
      <w:pgSz w:w="12480" w:h="15600"/>
      <w:pgMar w:top="260" w:right="1060" w:bottom="280" w:left="12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A9A" w:rsidRDefault="00803A9A" w:rsidP="007A7105">
      <w:r>
        <w:separator/>
      </w:r>
    </w:p>
  </w:endnote>
  <w:endnote w:type="continuationSeparator" w:id="0">
    <w:p w:rsidR="00803A9A" w:rsidRDefault="00803A9A" w:rsidP="007A7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A9A" w:rsidRDefault="00803A9A" w:rsidP="007A7105">
      <w:r>
        <w:separator/>
      </w:r>
    </w:p>
  </w:footnote>
  <w:footnote w:type="continuationSeparator" w:id="0">
    <w:p w:rsidR="00803A9A" w:rsidRDefault="00803A9A" w:rsidP="007A71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F68"/>
    <w:rsid w:val="0008480B"/>
    <w:rsid w:val="000A73F6"/>
    <w:rsid w:val="000C7844"/>
    <w:rsid w:val="001809E9"/>
    <w:rsid w:val="003D78BE"/>
    <w:rsid w:val="00400CBB"/>
    <w:rsid w:val="0042320C"/>
    <w:rsid w:val="005B0E9A"/>
    <w:rsid w:val="005B7AF7"/>
    <w:rsid w:val="005F5F68"/>
    <w:rsid w:val="006955C3"/>
    <w:rsid w:val="006F2CB6"/>
    <w:rsid w:val="00745847"/>
    <w:rsid w:val="007A7105"/>
    <w:rsid w:val="00803A9A"/>
    <w:rsid w:val="008204F8"/>
    <w:rsid w:val="00881DCE"/>
    <w:rsid w:val="008D2CA8"/>
    <w:rsid w:val="00925302"/>
    <w:rsid w:val="009448F4"/>
    <w:rsid w:val="009F14E7"/>
    <w:rsid w:val="00A524A3"/>
    <w:rsid w:val="00B21B82"/>
    <w:rsid w:val="00CD2100"/>
    <w:rsid w:val="00D32216"/>
    <w:rsid w:val="00E73751"/>
    <w:rsid w:val="00ED795B"/>
    <w:rsid w:val="00F85E7B"/>
    <w:rsid w:val="00FA2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odyText">
    <w:name w:val="Body Text"/>
    <w:basedOn w:val="Normal"/>
    <w:link w:val="BodyTextChar"/>
    <w:uiPriority w:val="1"/>
    <w:qFormat/>
    <w:rsid w:val="007A7105"/>
    <w:rPr>
      <w:sz w:val="18"/>
      <w:szCs w:val="18"/>
    </w:rPr>
  </w:style>
  <w:style w:type="character" w:customStyle="1" w:styleId="BodyTextChar">
    <w:name w:val="Body Text Char"/>
    <w:basedOn w:val="DefaultParagraphFont"/>
    <w:link w:val="BodyText"/>
    <w:uiPriority w:val="1"/>
    <w:rsid w:val="007A7105"/>
    <w:rPr>
      <w:rFonts w:ascii="Times New Roman" w:eastAsia="Times New Roman" w:hAnsi="Times New Roman" w:cs="Times New Roman"/>
      <w:sz w:val="18"/>
      <w:szCs w:val="18"/>
    </w:rPr>
  </w:style>
  <w:style w:type="paragraph" w:customStyle="1" w:styleId="NASLOVZLATO">
    <w:name w:val="NASLOV ZLATO"/>
    <w:basedOn w:val="Title"/>
    <w:qFormat/>
    <w:rsid w:val="007A7105"/>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7A7105"/>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7A7105"/>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7A710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710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A7105"/>
    <w:pPr>
      <w:tabs>
        <w:tab w:val="center" w:pos="4680"/>
        <w:tab w:val="right" w:pos="9360"/>
      </w:tabs>
    </w:pPr>
  </w:style>
  <w:style w:type="character" w:customStyle="1" w:styleId="HeaderChar">
    <w:name w:val="Header Char"/>
    <w:basedOn w:val="DefaultParagraphFont"/>
    <w:link w:val="Header"/>
    <w:uiPriority w:val="99"/>
    <w:rsid w:val="007A7105"/>
    <w:rPr>
      <w:rFonts w:ascii="Times New Roman" w:eastAsia="Times New Roman" w:hAnsi="Times New Roman" w:cs="Times New Roman"/>
    </w:rPr>
  </w:style>
  <w:style w:type="paragraph" w:styleId="Footer">
    <w:name w:val="footer"/>
    <w:basedOn w:val="Normal"/>
    <w:link w:val="FooterChar"/>
    <w:uiPriority w:val="99"/>
    <w:unhideWhenUsed/>
    <w:rsid w:val="007A7105"/>
    <w:pPr>
      <w:tabs>
        <w:tab w:val="center" w:pos="4680"/>
        <w:tab w:val="right" w:pos="9360"/>
      </w:tabs>
    </w:pPr>
  </w:style>
  <w:style w:type="character" w:customStyle="1" w:styleId="FooterChar">
    <w:name w:val="Footer Char"/>
    <w:basedOn w:val="DefaultParagraphFont"/>
    <w:link w:val="Footer"/>
    <w:uiPriority w:val="99"/>
    <w:rsid w:val="007A710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D2CA8"/>
    <w:rPr>
      <w:rFonts w:ascii="Tahoma" w:hAnsi="Tahoma" w:cs="Tahoma"/>
      <w:sz w:val="16"/>
      <w:szCs w:val="16"/>
    </w:rPr>
  </w:style>
  <w:style w:type="character" w:customStyle="1" w:styleId="BalloonTextChar">
    <w:name w:val="Balloon Text Char"/>
    <w:basedOn w:val="DefaultParagraphFont"/>
    <w:link w:val="BalloonText"/>
    <w:uiPriority w:val="99"/>
    <w:semiHidden/>
    <w:rsid w:val="008D2CA8"/>
    <w:rPr>
      <w:rFonts w:ascii="Tahoma" w:eastAsia="Times New Roman" w:hAnsi="Tahoma" w:cs="Tahoma"/>
      <w:sz w:val="16"/>
      <w:szCs w:val="16"/>
    </w:rPr>
  </w:style>
  <w:style w:type="paragraph" w:customStyle="1" w:styleId="basic-paragraph">
    <w:name w:val="basic-paragraph"/>
    <w:basedOn w:val="Normal"/>
    <w:rsid w:val="00400CBB"/>
    <w:pPr>
      <w:widowControl/>
      <w:autoSpaceDE/>
      <w:autoSpaceDN/>
      <w:spacing w:before="100" w:beforeAutospacing="1" w:after="100" w:afterAutospacing="1"/>
    </w:pPr>
    <w:rPr>
      <w:sz w:val="24"/>
      <w:szCs w:val="24"/>
    </w:rPr>
  </w:style>
  <w:style w:type="paragraph" w:customStyle="1" w:styleId="clan">
    <w:name w:val="clan"/>
    <w:basedOn w:val="Normal"/>
    <w:rsid w:val="00745847"/>
    <w:pPr>
      <w:widowControl/>
      <w:autoSpaceDE/>
      <w:autoSpaceDN/>
      <w:spacing w:before="100" w:beforeAutospacing="1" w:after="100" w:afterAutospacing="1"/>
    </w:pPr>
    <w:rPr>
      <w:sz w:val="24"/>
      <w:szCs w:val="24"/>
    </w:rPr>
  </w:style>
  <w:style w:type="character" w:customStyle="1" w:styleId="italik">
    <w:name w:val="italik"/>
    <w:basedOn w:val="DefaultParagraphFont"/>
    <w:rsid w:val="00745847"/>
  </w:style>
  <w:style w:type="paragraph" w:customStyle="1" w:styleId="bold">
    <w:name w:val="bold"/>
    <w:basedOn w:val="Normal"/>
    <w:rsid w:val="00745847"/>
    <w:pPr>
      <w:widowControl/>
      <w:autoSpaceDE/>
      <w:autoSpaceDN/>
      <w:spacing w:before="100" w:beforeAutospacing="1" w:after="100" w:afterAutospacing="1"/>
    </w:pPr>
    <w:rPr>
      <w:sz w:val="24"/>
      <w:szCs w:val="24"/>
    </w:rPr>
  </w:style>
  <w:style w:type="paragraph" w:customStyle="1" w:styleId="tabela">
    <w:name w:val="tabela"/>
    <w:basedOn w:val="Normal"/>
    <w:rsid w:val="00745847"/>
    <w:pPr>
      <w:widowControl/>
      <w:autoSpaceDE/>
      <w:autoSpaceDN/>
      <w:spacing w:before="100" w:beforeAutospacing="1" w:after="100" w:afterAutospacing="1"/>
    </w:pPr>
    <w:rPr>
      <w:sz w:val="24"/>
      <w:szCs w:val="24"/>
    </w:rPr>
  </w:style>
  <w:style w:type="character" w:customStyle="1" w:styleId="bold1">
    <w:name w:val="bold1"/>
    <w:basedOn w:val="DefaultParagraphFont"/>
    <w:rsid w:val="00745847"/>
  </w:style>
  <w:style w:type="character" w:customStyle="1" w:styleId="subscript">
    <w:name w:val="subscript"/>
    <w:basedOn w:val="DefaultParagraphFont"/>
    <w:rsid w:val="007458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odyText">
    <w:name w:val="Body Text"/>
    <w:basedOn w:val="Normal"/>
    <w:link w:val="BodyTextChar"/>
    <w:uiPriority w:val="1"/>
    <w:qFormat/>
    <w:rsid w:val="007A7105"/>
    <w:rPr>
      <w:sz w:val="18"/>
      <w:szCs w:val="18"/>
    </w:rPr>
  </w:style>
  <w:style w:type="character" w:customStyle="1" w:styleId="BodyTextChar">
    <w:name w:val="Body Text Char"/>
    <w:basedOn w:val="DefaultParagraphFont"/>
    <w:link w:val="BodyText"/>
    <w:uiPriority w:val="1"/>
    <w:rsid w:val="007A7105"/>
    <w:rPr>
      <w:rFonts w:ascii="Times New Roman" w:eastAsia="Times New Roman" w:hAnsi="Times New Roman" w:cs="Times New Roman"/>
      <w:sz w:val="18"/>
      <w:szCs w:val="18"/>
    </w:rPr>
  </w:style>
  <w:style w:type="paragraph" w:customStyle="1" w:styleId="NASLOVZLATO">
    <w:name w:val="NASLOV ZLATO"/>
    <w:basedOn w:val="Title"/>
    <w:qFormat/>
    <w:rsid w:val="007A7105"/>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7A7105"/>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7A7105"/>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7A710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710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A7105"/>
    <w:pPr>
      <w:tabs>
        <w:tab w:val="center" w:pos="4680"/>
        <w:tab w:val="right" w:pos="9360"/>
      </w:tabs>
    </w:pPr>
  </w:style>
  <w:style w:type="character" w:customStyle="1" w:styleId="HeaderChar">
    <w:name w:val="Header Char"/>
    <w:basedOn w:val="DefaultParagraphFont"/>
    <w:link w:val="Header"/>
    <w:uiPriority w:val="99"/>
    <w:rsid w:val="007A7105"/>
    <w:rPr>
      <w:rFonts w:ascii="Times New Roman" w:eastAsia="Times New Roman" w:hAnsi="Times New Roman" w:cs="Times New Roman"/>
    </w:rPr>
  </w:style>
  <w:style w:type="paragraph" w:styleId="Footer">
    <w:name w:val="footer"/>
    <w:basedOn w:val="Normal"/>
    <w:link w:val="FooterChar"/>
    <w:uiPriority w:val="99"/>
    <w:unhideWhenUsed/>
    <w:rsid w:val="007A7105"/>
    <w:pPr>
      <w:tabs>
        <w:tab w:val="center" w:pos="4680"/>
        <w:tab w:val="right" w:pos="9360"/>
      </w:tabs>
    </w:pPr>
  </w:style>
  <w:style w:type="character" w:customStyle="1" w:styleId="FooterChar">
    <w:name w:val="Footer Char"/>
    <w:basedOn w:val="DefaultParagraphFont"/>
    <w:link w:val="Footer"/>
    <w:uiPriority w:val="99"/>
    <w:rsid w:val="007A710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D2CA8"/>
    <w:rPr>
      <w:rFonts w:ascii="Tahoma" w:hAnsi="Tahoma" w:cs="Tahoma"/>
      <w:sz w:val="16"/>
      <w:szCs w:val="16"/>
    </w:rPr>
  </w:style>
  <w:style w:type="character" w:customStyle="1" w:styleId="BalloonTextChar">
    <w:name w:val="Balloon Text Char"/>
    <w:basedOn w:val="DefaultParagraphFont"/>
    <w:link w:val="BalloonText"/>
    <w:uiPriority w:val="99"/>
    <w:semiHidden/>
    <w:rsid w:val="008D2CA8"/>
    <w:rPr>
      <w:rFonts w:ascii="Tahoma" w:eastAsia="Times New Roman" w:hAnsi="Tahoma" w:cs="Tahoma"/>
      <w:sz w:val="16"/>
      <w:szCs w:val="16"/>
    </w:rPr>
  </w:style>
  <w:style w:type="paragraph" w:customStyle="1" w:styleId="basic-paragraph">
    <w:name w:val="basic-paragraph"/>
    <w:basedOn w:val="Normal"/>
    <w:rsid w:val="00400CBB"/>
    <w:pPr>
      <w:widowControl/>
      <w:autoSpaceDE/>
      <w:autoSpaceDN/>
      <w:spacing w:before="100" w:beforeAutospacing="1" w:after="100" w:afterAutospacing="1"/>
    </w:pPr>
    <w:rPr>
      <w:sz w:val="24"/>
      <w:szCs w:val="24"/>
    </w:rPr>
  </w:style>
  <w:style w:type="paragraph" w:customStyle="1" w:styleId="clan">
    <w:name w:val="clan"/>
    <w:basedOn w:val="Normal"/>
    <w:rsid w:val="00745847"/>
    <w:pPr>
      <w:widowControl/>
      <w:autoSpaceDE/>
      <w:autoSpaceDN/>
      <w:spacing w:before="100" w:beforeAutospacing="1" w:after="100" w:afterAutospacing="1"/>
    </w:pPr>
    <w:rPr>
      <w:sz w:val="24"/>
      <w:szCs w:val="24"/>
    </w:rPr>
  </w:style>
  <w:style w:type="character" w:customStyle="1" w:styleId="italik">
    <w:name w:val="italik"/>
    <w:basedOn w:val="DefaultParagraphFont"/>
    <w:rsid w:val="00745847"/>
  </w:style>
  <w:style w:type="paragraph" w:customStyle="1" w:styleId="bold">
    <w:name w:val="bold"/>
    <w:basedOn w:val="Normal"/>
    <w:rsid w:val="00745847"/>
    <w:pPr>
      <w:widowControl/>
      <w:autoSpaceDE/>
      <w:autoSpaceDN/>
      <w:spacing w:before="100" w:beforeAutospacing="1" w:after="100" w:afterAutospacing="1"/>
    </w:pPr>
    <w:rPr>
      <w:sz w:val="24"/>
      <w:szCs w:val="24"/>
    </w:rPr>
  </w:style>
  <w:style w:type="paragraph" w:customStyle="1" w:styleId="tabela">
    <w:name w:val="tabela"/>
    <w:basedOn w:val="Normal"/>
    <w:rsid w:val="00745847"/>
    <w:pPr>
      <w:widowControl/>
      <w:autoSpaceDE/>
      <w:autoSpaceDN/>
      <w:spacing w:before="100" w:beforeAutospacing="1" w:after="100" w:afterAutospacing="1"/>
    </w:pPr>
    <w:rPr>
      <w:sz w:val="24"/>
      <w:szCs w:val="24"/>
    </w:rPr>
  </w:style>
  <w:style w:type="character" w:customStyle="1" w:styleId="bold1">
    <w:name w:val="bold1"/>
    <w:basedOn w:val="DefaultParagraphFont"/>
    <w:rsid w:val="00745847"/>
  </w:style>
  <w:style w:type="character" w:customStyle="1" w:styleId="subscript">
    <w:name w:val="subscript"/>
    <w:basedOn w:val="DefaultParagraphFont"/>
    <w:rsid w:val="00745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372">
      <w:bodyDiv w:val="1"/>
      <w:marLeft w:val="0"/>
      <w:marRight w:val="0"/>
      <w:marTop w:val="0"/>
      <w:marBottom w:val="0"/>
      <w:divBdr>
        <w:top w:val="none" w:sz="0" w:space="0" w:color="auto"/>
        <w:left w:val="none" w:sz="0" w:space="0" w:color="auto"/>
        <w:bottom w:val="none" w:sz="0" w:space="0" w:color="auto"/>
        <w:right w:val="none" w:sz="0" w:space="0" w:color="auto"/>
      </w:divBdr>
    </w:div>
    <w:div w:id="320038402">
      <w:bodyDiv w:val="1"/>
      <w:marLeft w:val="0"/>
      <w:marRight w:val="0"/>
      <w:marTop w:val="0"/>
      <w:marBottom w:val="0"/>
      <w:divBdr>
        <w:top w:val="none" w:sz="0" w:space="0" w:color="auto"/>
        <w:left w:val="none" w:sz="0" w:space="0" w:color="auto"/>
        <w:bottom w:val="none" w:sz="0" w:space="0" w:color="auto"/>
        <w:right w:val="none" w:sz="0" w:space="0" w:color="auto"/>
      </w:divBdr>
    </w:div>
    <w:div w:id="537862338">
      <w:bodyDiv w:val="1"/>
      <w:marLeft w:val="0"/>
      <w:marRight w:val="0"/>
      <w:marTop w:val="0"/>
      <w:marBottom w:val="0"/>
      <w:divBdr>
        <w:top w:val="none" w:sz="0" w:space="0" w:color="auto"/>
        <w:left w:val="none" w:sz="0" w:space="0" w:color="auto"/>
        <w:bottom w:val="none" w:sz="0" w:space="0" w:color="auto"/>
        <w:right w:val="none" w:sz="0" w:space="0" w:color="auto"/>
      </w:divBdr>
    </w:div>
    <w:div w:id="784350994">
      <w:bodyDiv w:val="1"/>
      <w:marLeft w:val="0"/>
      <w:marRight w:val="0"/>
      <w:marTop w:val="0"/>
      <w:marBottom w:val="0"/>
      <w:divBdr>
        <w:top w:val="none" w:sz="0" w:space="0" w:color="auto"/>
        <w:left w:val="none" w:sz="0" w:space="0" w:color="auto"/>
        <w:bottom w:val="none" w:sz="0" w:space="0" w:color="auto"/>
        <w:right w:val="none" w:sz="0" w:space="0" w:color="auto"/>
      </w:divBdr>
      <w:divsChild>
        <w:div w:id="1515338098">
          <w:marLeft w:val="0"/>
          <w:marRight w:val="0"/>
          <w:marTop w:val="0"/>
          <w:marBottom w:val="0"/>
          <w:divBdr>
            <w:top w:val="none" w:sz="0" w:space="0" w:color="auto"/>
            <w:left w:val="none" w:sz="0" w:space="0" w:color="auto"/>
            <w:bottom w:val="none" w:sz="0" w:space="0" w:color="auto"/>
            <w:right w:val="none" w:sz="0" w:space="0" w:color="auto"/>
          </w:divBdr>
          <w:divsChild>
            <w:div w:id="1514759234">
              <w:marLeft w:val="0"/>
              <w:marRight w:val="0"/>
              <w:marTop w:val="0"/>
              <w:marBottom w:val="0"/>
              <w:divBdr>
                <w:top w:val="none" w:sz="0" w:space="0" w:color="auto"/>
                <w:left w:val="none" w:sz="0" w:space="0" w:color="auto"/>
                <w:bottom w:val="none" w:sz="0" w:space="0" w:color="auto"/>
                <w:right w:val="none" w:sz="0" w:space="0" w:color="auto"/>
              </w:divBdr>
            </w:div>
          </w:divsChild>
        </w:div>
        <w:div w:id="86926024">
          <w:marLeft w:val="0"/>
          <w:marRight w:val="0"/>
          <w:marTop w:val="0"/>
          <w:marBottom w:val="0"/>
          <w:divBdr>
            <w:top w:val="none" w:sz="0" w:space="0" w:color="auto"/>
            <w:left w:val="none" w:sz="0" w:space="0" w:color="auto"/>
            <w:bottom w:val="none" w:sz="0" w:space="0" w:color="auto"/>
            <w:right w:val="none" w:sz="0" w:space="0" w:color="auto"/>
          </w:divBdr>
          <w:divsChild>
            <w:div w:id="1459451058">
              <w:marLeft w:val="0"/>
              <w:marRight w:val="0"/>
              <w:marTop w:val="0"/>
              <w:marBottom w:val="0"/>
              <w:divBdr>
                <w:top w:val="none" w:sz="0" w:space="0" w:color="auto"/>
                <w:left w:val="none" w:sz="0" w:space="0" w:color="auto"/>
                <w:bottom w:val="none" w:sz="0" w:space="0" w:color="auto"/>
                <w:right w:val="none" w:sz="0" w:space="0" w:color="auto"/>
              </w:divBdr>
            </w:div>
          </w:divsChild>
        </w:div>
        <w:div w:id="1172185171">
          <w:marLeft w:val="0"/>
          <w:marRight w:val="0"/>
          <w:marTop w:val="0"/>
          <w:marBottom w:val="0"/>
          <w:divBdr>
            <w:top w:val="none" w:sz="0" w:space="0" w:color="auto"/>
            <w:left w:val="none" w:sz="0" w:space="0" w:color="auto"/>
            <w:bottom w:val="none" w:sz="0" w:space="0" w:color="auto"/>
            <w:right w:val="none" w:sz="0" w:space="0" w:color="auto"/>
          </w:divBdr>
          <w:divsChild>
            <w:div w:id="1113667546">
              <w:marLeft w:val="0"/>
              <w:marRight w:val="0"/>
              <w:marTop w:val="0"/>
              <w:marBottom w:val="0"/>
              <w:divBdr>
                <w:top w:val="none" w:sz="0" w:space="0" w:color="auto"/>
                <w:left w:val="none" w:sz="0" w:space="0" w:color="auto"/>
                <w:bottom w:val="none" w:sz="0" w:space="0" w:color="auto"/>
                <w:right w:val="none" w:sz="0" w:space="0" w:color="auto"/>
              </w:divBdr>
            </w:div>
          </w:divsChild>
        </w:div>
        <w:div w:id="989362090">
          <w:marLeft w:val="0"/>
          <w:marRight w:val="0"/>
          <w:marTop w:val="0"/>
          <w:marBottom w:val="0"/>
          <w:divBdr>
            <w:top w:val="none" w:sz="0" w:space="0" w:color="auto"/>
            <w:left w:val="none" w:sz="0" w:space="0" w:color="auto"/>
            <w:bottom w:val="none" w:sz="0" w:space="0" w:color="auto"/>
            <w:right w:val="none" w:sz="0" w:space="0" w:color="auto"/>
          </w:divBdr>
          <w:divsChild>
            <w:div w:id="720132380">
              <w:marLeft w:val="0"/>
              <w:marRight w:val="0"/>
              <w:marTop w:val="0"/>
              <w:marBottom w:val="0"/>
              <w:divBdr>
                <w:top w:val="none" w:sz="0" w:space="0" w:color="auto"/>
                <w:left w:val="none" w:sz="0" w:space="0" w:color="auto"/>
                <w:bottom w:val="none" w:sz="0" w:space="0" w:color="auto"/>
                <w:right w:val="none" w:sz="0" w:space="0" w:color="auto"/>
              </w:divBdr>
            </w:div>
          </w:divsChild>
        </w:div>
        <w:div w:id="187375407">
          <w:marLeft w:val="0"/>
          <w:marRight w:val="0"/>
          <w:marTop w:val="0"/>
          <w:marBottom w:val="0"/>
          <w:divBdr>
            <w:top w:val="none" w:sz="0" w:space="0" w:color="auto"/>
            <w:left w:val="none" w:sz="0" w:space="0" w:color="auto"/>
            <w:bottom w:val="none" w:sz="0" w:space="0" w:color="auto"/>
            <w:right w:val="none" w:sz="0" w:space="0" w:color="auto"/>
          </w:divBdr>
          <w:divsChild>
            <w:div w:id="18823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bmp"/><Relationship Id="rId13" Type="http://schemas.openxmlformats.org/officeDocument/2006/relationships/image" Target="media/image7.bmp"/><Relationship Id="rId18" Type="http://schemas.openxmlformats.org/officeDocument/2006/relationships/image" Target="media/image12.bm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bmp"/><Relationship Id="rId17" Type="http://schemas.openxmlformats.org/officeDocument/2006/relationships/image" Target="media/image11.bmp"/><Relationship Id="rId2" Type="http://schemas.microsoft.com/office/2007/relationships/stylesWithEffects" Target="stylesWithEffects.xml"/><Relationship Id="rId16" Type="http://schemas.openxmlformats.org/officeDocument/2006/relationships/image" Target="media/image10.bmp"/><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bmp"/><Relationship Id="rId5" Type="http://schemas.openxmlformats.org/officeDocument/2006/relationships/footnotes" Target="footnotes.xml"/><Relationship Id="rId15" Type="http://schemas.openxmlformats.org/officeDocument/2006/relationships/image" Target="media/image9.bmp"/><Relationship Id="rId10" Type="http://schemas.openxmlformats.org/officeDocument/2006/relationships/image" Target="media/image4.bm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bmp"/><Relationship Id="rId14" Type="http://schemas.openxmlformats.org/officeDocument/2006/relationships/image" Target="media/image8.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11184</Words>
  <Characters>63749</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74784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6</cp:revision>
  <dcterms:created xsi:type="dcterms:W3CDTF">2025-12-30T08:21:00Z</dcterms:created>
  <dcterms:modified xsi:type="dcterms:W3CDTF">2025-12-30T08:25:00Z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2020-12-04T00:00:00Z</vt:filetime>
  </property>
  <property fmtid="{D5CDD505-2E9C-101B-9397-08002B2CF9AE}" pid="3" name="Creator">
    <vt:lpwstr>PDF-XChange Editor 5.5.308.2</vt:lpwstr>
  </property>
  <property fmtid="{D5CDD505-2E9C-101B-9397-08002B2CF9AE}" pid="4" name="LastSaved">
    <vt:filetime>2023-12-01T00:00:00Z</vt:filetime>
  </property>
</Properties>
</file>