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484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41"/>
      </w:tblGrid>
      <w:tr w:rsidR="00687396" w:rsidRPr="00717B5A" w:rsidTr="00096F08">
        <w:trPr>
          <w:tblCellSpacing w:w="15" w:type="dxa"/>
        </w:trPr>
        <w:tc>
          <w:tcPr>
            <w:tcW w:w="469" w:type="pct"/>
            <w:shd w:val="clear" w:color="auto" w:fill="A41E1C"/>
            <w:vAlign w:val="center"/>
          </w:tcPr>
          <w:p w:rsidR="00687396" w:rsidRPr="00717B5A" w:rsidRDefault="00687396" w:rsidP="000C6ADB">
            <w:pPr>
              <w:pStyle w:val="NASLOVZLATO"/>
              <w:rPr>
                <w:sz w:val="18"/>
                <w:szCs w:val="18"/>
              </w:rPr>
            </w:pPr>
            <w:r w:rsidRPr="00717B5A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4D37905B" wp14:editId="67A9CAB9">
                  <wp:extent cx="526415" cy="560705"/>
                  <wp:effectExtent l="0" t="0" r="6985" b="0"/>
                  <wp:docPr id="6" name="Picture 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pct"/>
            <w:shd w:val="clear" w:color="auto" w:fill="A41E1C"/>
            <w:vAlign w:val="center"/>
            <w:hideMark/>
          </w:tcPr>
          <w:p w:rsidR="00CE6442" w:rsidRPr="00E506FB" w:rsidRDefault="00E506FB" w:rsidP="00E506FB">
            <w:pPr>
              <w:jc w:val="center"/>
              <w:rPr>
                <w:rFonts w:ascii="Arial" w:hAnsi="Arial" w:cs="Arial"/>
                <w:b/>
                <w:bCs/>
                <w:noProof/>
                <w:color w:val="FFE599"/>
                <w:kern w:val="2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E599"/>
                <w:kern w:val="28"/>
                <w:lang w:val="sr-Cyrl-RS" w:eastAsia="sr-Latn-RS"/>
              </w:rPr>
              <w:t>АКЦИОНИ ПЛАН</w:t>
            </w:r>
          </w:p>
          <w:p w:rsidR="00F33A8B" w:rsidRPr="00F33A8B" w:rsidRDefault="00E506FB" w:rsidP="007E72EB">
            <w:pPr>
              <w:pStyle w:val="NASLOVBELO"/>
              <w:rPr>
                <w:sz w:val="22"/>
                <w:szCs w:val="22"/>
              </w:rPr>
            </w:pPr>
            <w:r w:rsidRPr="007E72EB">
              <w:rPr>
                <w:sz w:val="22"/>
                <w:szCs w:val="22"/>
              </w:rPr>
              <w:t>ЗА ПЕРИОД ОД 2023. ДО 2025. ГОДИНЕ, ЗА СПРОВОЂЕЊЕ СТРАТЕГИЈЕ ПАМЕТНЕ СПЕЦИЈАЛИЗАЦИЈЕ У РЕПУБЛИЦИ СРБИЈИ ЗА ПЕРИОД ОД 2020. ДО 2027. ГОДИНЕ</w:t>
            </w:r>
          </w:p>
          <w:p w:rsidR="00687396" w:rsidRPr="00717B5A" w:rsidRDefault="00F33A8B" w:rsidP="00E506FB">
            <w:pPr>
              <w:pStyle w:val="podnaslovpropisa"/>
              <w:rPr>
                <w:sz w:val="18"/>
                <w:szCs w:val="18"/>
              </w:rPr>
            </w:pPr>
            <w:r w:rsidRPr="00717B5A">
              <w:rPr>
                <w:sz w:val="18"/>
                <w:szCs w:val="18"/>
              </w:rPr>
              <w:t xml:space="preserve"> </w:t>
            </w:r>
            <w:r w:rsidR="00687396" w:rsidRPr="00717B5A">
              <w:rPr>
                <w:sz w:val="18"/>
                <w:szCs w:val="18"/>
              </w:rPr>
              <w:t>("Сл. гласник РС", бр. 1</w:t>
            </w:r>
            <w:r w:rsidR="00E506FB"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="00687396" w:rsidRPr="00717B5A">
              <w:rPr>
                <w:sz w:val="18"/>
                <w:szCs w:val="18"/>
              </w:rPr>
              <w:t>/2023)</w:t>
            </w:r>
          </w:p>
        </w:tc>
      </w:tr>
    </w:tbl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I. УВОД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На седници одржаној 27.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фебруара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2020.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, Влaдa Републике Србије је усвојила Стратегију паметне специјализације у Републици Србији за период од 2020.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2027.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(у даљем тексту: Стратегија).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Уз подршку Обједињеног истраживачког центра (ОИЦ; енгл.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JRC) и детаљним праћењем методолошког оквира за израду стратегије, идентификоване су кључне потребe свих заинтересованих страна.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Као резултат спроведених анализа и консултативног процеса, процеса предузетничког откривања – ЕДП</w:t>
      </w:r>
      <w:r w:rsidRPr="00096F08">
        <w:rPr>
          <w:rFonts w:ascii="Verdana" w:hAnsi="Verdana"/>
          <w:color w:val="333333"/>
          <w:sz w:val="15"/>
          <w:szCs w:val="15"/>
          <w:vertAlign w:val="superscript"/>
        </w:rPr>
        <w:t>1</w:t>
      </w:r>
      <w:r w:rsidRPr="00096F08">
        <w:rPr>
          <w:rFonts w:ascii="Verdana" w:hAnsi="Verdana"/>
          <w:color w:val="333333"/>
          <w:sz w:val="18"/>
          <w:szCs w:val="18"/>
        </w:rPr>
        <w:t>, дефинисанe су приоритетне области, општи циљ, посебни циљеви и пратеће мере Стратегије.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–––––––––––––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1 ЕДП подразумева циљани дијалог који окупља субјекте из различитих сектора у циљу откривања приоритетних области паметне специјализације и развоја погодног микса политика за њихову имплементацију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Непосредно након усвајања Стратегије, кренула је криза која је проузрокована глобалном пандемијом COVID-19 и она је знатно отежала и успорила процес израде Акционог плана.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 седници Владе одржаној 15.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априла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2021.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усвојен је први Акциони план за спровођење Стратегије паметне специјализације за период од 2021.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Први Акциони план је сачињен за период од 2021.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како би се уз непрекидан дијалог са заинтересованим странама и институцијама које имплементирају мере, урадила правовремена ревизија циљева и идентификованих мера.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Резултати имплементације Акционог плана за период 2021–2022.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су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детаљније представљени у другом поглављу овог документа.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Акциони план Стратегије за период 2023–2025.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садржи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све мере и активности које су неопходне за постизање општег и посебних циљева Стратегије. Акциони план (2023–2025) је наставак успешне реализације претходног Акционог плана (2021–2022) и представља резултат дијалога са свим заинтересованим странама који је одржан у оквиру ЕДП радионица (детаљније у трећем поглављу).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Акциони план је креиран тако да се најбоље могуће прилагоди на новонасталу реалност и сачињен је за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како би се омогућила правовремена ревизија циљева и идентификованих мера у светлу континуираних глобалних изазова.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Акциони план садржи 46 мера које се односе, како на вертикалне, тако и на хоризонталне приоритете Стратегије.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Акциони план Стратегије уједно представља и Мапу пута у области науке, технологије и иновација у циљу достизања Циљева одрживог развоја (детаљније у оквиру трећег поглавља).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У наставку документа наративно су представљена следећа поглавља: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Осврт на претходни Акциони план за период 2021–2022;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Методологија израде Акционог плана за период 2023–2025: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Резултати ЕДП радионица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Мапа пута у области науке, технологије и иновација у циљу достизања Циљева одрживог развоја;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Оквир за праћење и вредновање;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Анализа финансијских ефеката.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Након наративног дела, представљене су следеће табеле: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Оквир за праћење спровођења мера и остварења циљева Стратегије на нивоу приоритетних области (Табела 4.);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Оквир за праћење показатеља резултата на нивоу приоритетних области (Табела 5.);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Акциони план за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за спровођење Стратегије паметне специјализације у Републици Србији за период од 2020.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2027.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(Табела 6.).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II. ОСВРТ НА ПРЕТХОДНИ АКЦИОНИ ПЛАН ЗА ПЕРИОД 2021–2022.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Узимајући у обзир неопходан временски интервал од неколико месеци за прикупљање података и вредности задатих индикатора, евалуација Акционог плана Стратегије паметне специјализације за период 2021–2022.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очекује у другој половини 2023.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 xml:space="preserve">Поред сумарног увида у степен реализације мера Акционог плана, планирана евалуација ће дати одговор на питање који су главни ефекти и да ли су реализоване мере допринеле општем циљу Стратегије. Имајући то у виду, у овом поглављу је дат кратак </w:t>
      </w:r>
      <w:r w:rsidRPr="00096F08">
        <w:rPr>
          <w:rFonts w:ascii="Verdana" w:hAnsi="Verdana"/>
          <w:color w:val="333333"/>
          <w:sz w:val="18"/>
          <w:szCs w:val="18"/>
        </w:rPr>
        <w:lastRenderedPageBreak/>
        <w:t>осврт на тренутно стање реализованости предвиђених мера.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 табели испод је дат преглед мера које су биле предвиђене у оквиру 5 посебних циљева Стратегије са фокусом на то колико мера је реализовано, затим колико мера је у току (нису завршене) а колико мера није ни започето.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Табела 1: Сумарни преглед које су реализоване у претходном Акционом плану за период 2021–2022.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10"/>
        <w:gridCol w:w="1410"/>
        <w:gridCol w:w="1746"/>
        <w:gridCol w:w="1521"/>
        <w:gridCol w:w="1716"/>
        <w:gridCol w:w="1017"/>
        <w:gridCol w:w="1359"/>
      </w:tblGrid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Укупан број мера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Реализоване мере (број)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Реализоване мере(проценат)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Мере које нису реализоване (број)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Мере које нису реализоване (проценат)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Мере које су у току (број)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Мере које су у току (проценат)</w:t>
            </w:r>
          </w:p>
        </w:tc>
      </w:tr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Укупно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65%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28%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7%</w:t>
            </w:r>
          </w:p>
        </w:tc>
      </w:tr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Посебни циљ 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50%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33%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17%</w:t>
            </w:r>
          </w:p>
        </w:tc>
      </w:tr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Посебни циљ 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84%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11%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5%</w:t>
            </w:r>
          </w:p>
        </w:tc>
      </w:tr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Посебни циљ 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44%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56%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0%</w:t>
            </w:r>
          </w:p>
        </w:tc>
      </w:tr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Посебни циљ 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100%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0%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0%</w:t>
            </w:r>
          </w:p>
        </w:tc>
      </w:tr>
      <w:tr w:rsidR="00096F08" w:rsidRPr="00096F08" w:rsidTr="00650B0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Посебни циљ 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33%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50%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17%</w:t>
            </w:r>
          </w:p>
        </w:tc>
      </w:tr>
    </w:tbl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Одређени број мера које нису реализоване су задржане и у постојећем Акционом плану с обзиром на то да су одговорне институције изразиле заинтересованост да имплементирају мере у наредном периоду.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Поред тога, за неке мере је утврђено да неће бити реализоване и оне су искључене из Акционог плана.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 пример, програм Инфраструктура који је према претходном Акционом плану требало да се реализује у оквиру програма Фонда за науку није више саставни део овог акционог плана.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Након комуникације са одговорном институцијом, закључено је да Фонд за науку финансира набавку истраживачке и капиталне опреме у оквиру пројеката који су одобрени у планираним програмима Фонда за науку и на тај начин се финансира научна инфраструктура.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III. МЕТОДОЛОГИЈА ИЗРАДЕ АКЦИОНОГ ПЛАНА ЗА ПЕРИОД 2023–2025.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 w:rsidRPr="00096F08">
        <w:rPr>
          <w:rFonts w:ascii="Verdana" w:hAnsi="Verdana"/>
          <w:b/>
          <w:bCs/>
          <w:color w:val="333333"/>
          <w:sz w:val="18"/>
          <w:szCs w:val="18"/>
        </w:rPr>
        <w:t>1. Консултативни процес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У циљу израде новог Акционог плана Стратегије паметне специјализације Републике Србије за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, у периоду од 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новембра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одржане су 4 ЕДП радионице у оквиру приоритетних области Стратегије. Циљ радионица био је да се кроз јавно-приватни дијалог прикупе ставови и препоруке за дефинисање мера политике које ће бити део новог Акционог плана. Након уводне дискусије и презентације реализованих мера из претходног периода, главни резултати спроведених радионица су били: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1. Идентификација изазова, проблема и могућности на које треба усмерити мере јавне политике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2. Предлог пакета мера јавних политика усмерених на идентификоване изазове, проблеме и могућности уз примену предложене „Policy Canvas” методологије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У тексту испод су наведени кључни закључци ЕДП радионица по свакој приоритетној области: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ЕДП радионица у оквиру приоритетне области „Храна за будућност” одржана је 10.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новембра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 просторијама Министарства науке, технолошког развоја и иновацију у Београду. Радионица је организована кроз групну и пленарну дискусију у циљу идентификовања кључних изазова, трендова и предлога тј.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мера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за решавање идентификованих изазова.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За учешће у радионици пријавио се укупно 51 учесник, док је на радионици узело учешће укупно 42 учесника који су представљали 26 организација.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Највећи број учесника су чинили представници академског и привредног сектора, али је било и представника владиног сектора и цивилног друштва.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 основу обраде прикупљеног материјала од учесника радионице координатори су идентификовали укупно 27 мера јавних политика које су презентоване користећи „Policy Canvas” методологију.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Предложене мере јавних политика су разврстане у пакете са сродном тематиком: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1. Фокусирање истраживања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2. Привлачење пројеката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3. Унапређење сарадње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4. Пореске олакшице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5. Уређивање прописа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6. Образовање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7. Дигитализација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lastRenderedPageBreak/>
        <w:t>Један од кључних закључака радионице је раст стратешког значаја области биомедицине, биоинформатике и биотехнологије у последњих неколико година и потреба за укључивањем мера из ове области у Акциони план за спровођење стратегије.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Више информација о овој области је дато у поглављу 1.1.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ЕДП радионица у оквиру приоритетне области „Информационо-комуникационе технологије” (ИКТ) је одржана 7.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новембра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 свечаној сали Факултета техничких наука у Новом Саду са циљем идентификације кључних изазова у истраживањима и иновацијама, те формулисање мера за превазилажење тих изазова.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 радионици је присуствовало 26 представника приватног, истраживачког, владиног сектора и цивилног друштва.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Радионица је организаована кроз групни рад и пленарну дискусију, приказујући и образлажући мере до којих су у раду дошли користећи предложени „Policy Canvas” метод.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Идентификовано је укупно 16 мера које се могу груписати према следећим тематским областима: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1. Развој образовног система у Републици Србији ка тржишно оријентисаној парадигми која ставља студенте у фокус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2. Оптимизација регулаторног оквира у правцу стварања пословне климе која подржава бизнис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3. Развој домаћег ИКТ тржишта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4. Развој екосистема подршке предузетништву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Током дискусије учесници су се дотакли и улоге ИКТ као хоризонталног покретача привреде и друштва кроз дигиталну трансформацију јавне управе, бизниса и подизање дигиталних вештина грађана.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 контексту сарадње са другим секторима, истакнута је потреба да се сектор ИКТ не посматра само као успешна и профитабилна вертикална област, него као сектор који својим капацитетима може дати кључни допринос развоју и иновацијама у Републици Србији, а тиме и усвајању савремених стандарда, укључујући стандарде ЕУ.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Крајњи резултат таквог приступа ће неизбежно бити подизање конкурентности домаћих предузећа, јачање дигитализације јавне управе и подизање стандарда живота.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ЕДП радионица у оквиру приоритетне области „Машине и производни процеси будућности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“ је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одржана 9.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новембра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године на Машинском факултету у Нишу. На радионици је присуствовало преко 50 учесника, од чега 30 из привреде, док су остали били из приватног, истраживачког, владиног сектора и цивилног друштва.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 оквиру три радне групе које су формиране на радионици, предложено је укупно 20 мера политике које су презентоване у формату „Policy Canvas”.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Један од важних закључака дискусије је да Републици Србији недостаје један посебна организација (институт или центар изврсности) који би се бавио темом енергетске одрживости Републике Србије. Тренутна енергетска ситуација у Републици Србији и свету, као и прогнозе за будућност захтевају од Републике Србије значајне промене у енергетској политици и окретању ка обновљивим изворима енергије као што су енергија сунца, ветра и геотермална енергија.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За то су потребна детаљна истраживања, као и подршка привредним субјектима.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ЕДП радионица у оквиру приоритетне области „Креативне индустрије” је одржана 18.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новембра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 просторијама Министарства науке, технолошког развоја и иновација у Београду. Радионици је присуствовало укупно 22 представника привреде, државних и образовних институција и организација цивилног друштва. Међу учесницима налазили су се представници Српске филмске асоцијације, Асоцијације индустрије видео-игара Србије, Иницијативе Дигитална Србија, платформе „Србија ствара” и суперкластерoм који се бави „гејминг” окружењем и виртуелном реалношћу.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Наведена удружења и платформе изузетно су активне, и професионално заступају најконкурентније и најзначајније привредне субјекте подобластима аудио-видео продукција и израда видео-игара.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Главни резултат радионице је презентација преко 35 предлога мера/инструмената јавних политика, који су усклађени са пет посебних циљева Стратегије паметне специјализације у Републици Србији. Највећи број предложених мера односи се на унапређење система образовања, преквалификацију и доквалификацију ради обезбеђења квалитетних кадрова у привреди и образовању како би се покриле растуће потребе привреде.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Поред тога, предложено је и неколико мера за подршку иновацијама, истраживању и међусекторској сарадњи.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i/>
          <w:iCs/>
          <w:color w:val="333333"/>
          <w:sz w:val="18"/>
          <w:szCs w:val="18"/>
        </w:rPr>
      </w:pPr>
      <w:r w:rsidRPr="00096F08">
        <w:rPr>
          <w:rFonts w:ascii="Verdana" w:hAnsi="Verdana"/>
          <w:i/>
          <w:iCs/>
          <w:color w:val="333333"/>
          <w:sz w:val="18"/>
          <w:szCs w:val="18"/>
        </w:rPr>
        <w:t>1.1. Растући значај области биомедицине, биоинформатике и биотехнологије за научни иновациони екосистем Републике Србије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Пандемија SARS-CoV2 вируса која се у изузетном кратком временском периоду одразила у потпуности на све сегменте друштва утицала је на то да Влада Републике Србије покрене ургентне активности како би се здравствене али и економске последице овог стања ублажиле и каналисале на најбољи могући начин.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Улагањем у науку и истраживања Република Србија је успела да одговори на изазове проузроковане пандемијом.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Фонд за науку Републике Србије је у току ванредног стања реализовао Специјални програм истраживања COVID-19 у циљу финансирања пројеката који ће допринети ефикасном научном одговору на пандемију и омогућити бољу спремност и реаговање друштва.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Највећи број одобрених пројеката у оквиру овог програма је био из области биомедицине.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Фонд за иновациону делатност је такође реаговао адекватно и лансирао програм за подршку истраживачким пројектима у оквиру којих су у кратком периоду развијена иновативна решења, попут првог српског респиратора, нове врсте заштитне маске, кабине за дезинфекцију, мобилног пулта за бесконтактно мерење температуре и ручну дезинфекцију, преносивог озонизатора и друго.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 xml:space="preserve">Значајна улагања Републике Србије у истраживачку инфраструктуру у области биомедицине, бионформатике и информационо-комуникационих технологија резултирала су стварањем основе за даљи </w:t>
      </w:r>
      <w:r w:rsidRPr="00096F08">
        <w:rPr>
          <w:rFonts w:ascii="Verdana" w:hAnsi="Verdana"/>
          <w:color w:val="333333"/>
          <w:sz w:val="18"/>
          <w:szCs w:val="18"/>
        </w:rPr>
        <w:lastRenderedPageBreak/>
        <w:t>развој ових области.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Уз подршку Владе Републике Србије, отворен је Центар за секвенцирање генома и биоинформатику у оквиру Института за молекуларну генетику и генетичко инжењерство (ИМГГИ).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Центар је изграђен у сарадњи ИМГГИ и Пекиншког института за геномику.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 изградњу центра уложено је око три милиона евра.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Поред тога, оснивањем Државног дата центра у Крагујевцу, у који је уложено преко 30 милиона евра, створени су услови за складиштење великих података о геномима што омогућава истраживања великог обима у овој области.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Државни дата центар у Крагујевцу је отворен крајем 2020.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, представља најсигурнији информациони дата центар у земљи и спада у једно од најзначајнијих инфраструктурних улагања Републике Србије у области информационих технологија.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Складиштења великих података у Државном дата центру омогућава истраживачким организацијама у области биомедицине и биоинформатике да те податке анализирају у циљу креирања нових платформи за дијагностику, даљег развоја регенеративне медицине, нових лекова, биомаркера болести и др.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Имајући у виду да је унапређење истраживачких и иновационих капацитета један од најважнијих приоритета Стратегије паметне специјализације Републике Србије, Акциони план Стратегије за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подржава континуитет научних истраживања и даљег развоја у области биомедицине и биоинформатике који је већ започет у претходном периоду.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 том смислу, једна од најважнијих инвестиција Акционог плана за период 2023–2025.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је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улагање у даљи развој биоекономије кроз изградњу БИO4 Kампуса, где су као кључне области препознате биомедицинa, биотехнологија, биоинформатика и биодиверзитет.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Изградњом БИО4 Кампуса биће створена прилика за концентрацију људи, кумулирање мултидисциплинарних знања и развој инфраструктуре (факултети, институти, научно-технолошки парк итд.) у поменутим областима.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Временом ће омогућити бржу и квалитетнију транзицију здравственог система у правцу модерне, иновативне дијагностике и лечења заснованих на подацима и најновијим научним сазнањима, али и привући све више партнера из привреде.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 xml:space="preserve">Инфраструктура БИО4 Кампуса простираће се на око 20 хектара, у оквиру који ће бити смештено шест факултета Универзитета у Београду, девет научно-истраживачких организација, које ће комплетно или делимично бити премештене у нову инфраструктуру, као и организације привредног карактера, попут Научно-технолошког парка Београд (с посебним фокусом на стартапе у области биотехнологије) и развојно-истраживачка одељења домаћих и глобалних biotech компанија.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Почетак радова на изградњи БИО4 Кампуса очекује се крајем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, а завршетак Фазе „А” изградње, која обухвата око 150.000 квадрата, крајем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>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 w:rsidRPr="00096F08">
        <w:rPr>
          <w:rFonts w:ascii="Verdana" w:hAnsi="Verdana"/>
          <w:b/>
          <w:bCs/>
          <w:color w:val="333333"/>
          <w:sz w:val="18"/>
          <w:szCs w:val="18"/>
        </w:rPr>
        <w:t>2. Мапа пута у области науке, технологије и иновација у циљу достизања Циљева одрживог развоја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 xml:space="preserve">Паралелно са активностима креирања Стратегије и Акционог плана, НИТРА је препозналa важност Глобалног програма Уједињених нација за креирање Мапе пута у области науке, технологије и иновација у циљу достизања Циљева одрживог развоја (у даљем тексту: Мапа пута).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Република Србија је била једна од првих пет држава у свету која је учествовала у овом пилот програму.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Током иницијалног консултативног процеса са заинтересованим странама одржаног у фебруару 2020.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, закључено је да све приоритетне области Стратегије паметне специјализације имају потенцијал за решавање идентификованих глобалних изазова и допринос циљевима одрживог развоја.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Као резултат тога, донешена је одлука да Акциони план Стратегије за период од 2021.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2022.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уједно представља и прву Мапу пута у области науке, технологије и иновација у циљу достизања Циљева одрживог развоја (ЦОР).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Резултати истраживања су показали да приоритетне области Стратегије доприносе циљевима одрживог развоја на следећи начин: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 xml:space="preserve">– Приоритетна област Стратегије „Храна за будућност” и нарочито њена под-област „Одрживи ланац производње хране” директно доприносе другом Циљу одрживог развоја (ЦОР 2) „Свет без глади”.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Специфични интерни капацитети за допринос овом циљу постоје у машинама за пољопривредну и прехрамбену индустрију као и побољшаним производним процесима и новим прехрамбеним производима.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Поред директног доприноса, област „Храна за будућност” утиче на стварање позитивних екстерних ефеката на сиромаштво и неједнакост (ЦОР 1 и 10), боље здравље (ЦОР 3) и истраживања у области одрживог развоја (ЦОР 6, 11, 12, 13, 14, 15).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Да би се постигло стварање одрживог ланца производње хране, потребно је развити систем смерница и препорука за све чиниоце у том ланцу, са циљем трансформације ка одрживости и задовољења прехрамбених потреба и достизања оптималног здравља становника Републике Србије (користећи установљену Мапу пута за развој Дијететских смерница базираних на прехрамбеном систему).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Подршку у овом процесу даће и oснивање Центра за прикупљање и лонгитудинално праћење информација (података, јавних политика, прописа итд.) и евалуацију стања појединих сегмената прехрамбеног система од фарме до виљушке – „Food system observatory”, који би правовремено указивао на потребе унапређења у областима производње, прераде, безбедности и потрошње хране у Партнерству за oдрживе прехрамбене системе на нивоу Европе.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ИКТ имају хоризонтални допринос у развоју индустрије, иновација и инфраструктуре (ЦОР 9) и повећању запослености (ЦОР 8).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Кроз адекватне политике у области образовања, обука и рада, ИКТ доприносе повећању могућности за запошљавање и на тај начин решавају изазове сиромаштва (ЦОР 1), неједнакости (ЦОР 10) и родне равноправности (ЦОР 5).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Кроз значајну улогу у развоју медицинских уређаја, е-здравља и дигиталног здравља, ИКТ пружа велике могућности и доприноси општем здрављу и благостању (ЦОР 3).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Слично томе, ИКТ ствара могућности за развој и доступност обновљиве енергије (ЦОР 7) и одрживих градова (ЦОР 11), посебно у доменима енергетске ефикасности, паметних мрежа, паметних градова и одрживог и ефикасног транспорта.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lastRenderedPageBreak/>
        <w:t>– Креативне индустрије имају две директне везе са Циљевима одрживог развоја: под-области: „Креативна аудио-визуелна продукција” и „Видео игре и интерактивни медији” имају важан допринос квалитетном образовању (ЦОР 4) у домену дигиталног образовања.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Под-област „Паметна амбалажа” директно доприноси ЦОР 12 – Одговорна потрошња и производња.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Поред тога, слично ИКТ-у, кроз хоризонтални утицај на дизајн, креативност и предузетништво, може пружити индиректан допринос ЦОР 1, 5, 8, 9 и 10.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Област „Машине и производни процеси будућности” има хоризонтални утицај на развој индустрије, иновација и инфраструктуре (ЦОР 9) и повећање запослености (ЦОР 8).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Вертикално, доприноси креирању нових производа и иновација у производним процесима у индустријама које доприносе ЦОР 2, 11 и 12.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Енергетски ефикасна и еко-паметна решења директно доприносе достизању циља доступне и обновљиве енергије (ЦОР 7).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Енергетски ефикасна и еко-паметна решења имају индиректни позитиван утицај на већину социјалних и еколошких циљева (ЦОР 9, 13 и 15).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Кључне развојне технологије имају важну улогу у достизању ЦОР 2, 3, 6, 7, 9, 11, 12 и 13.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Као резиме ових увида, у Табели 2.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је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приказан утицај приоритетних области Стратегије на главне изазове одрживог развоја дефинисаних од стране Уједињених нација.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У зависности од интензитета доприноса, утицај приоритетних области је дефинисан као директан и индиректан.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Табела 2.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Потенцијални допринос приоритетних области Стратегије циљевима одрживог развоја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765"/>
        <w:gridCol w:w="1175"/>
        <w:gridCol w:w="1213"/>
        <w:gridCol w:w="1548"/>
        <w:gridCol w:w="1636"/>
        <w:gridCol w:w="1318"/>
      </w:tblGrid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Информационо-комуникационе технологије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Храна за будућност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Креативне индустрије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Машине и производни процеси будућности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Енергетска ефикасност и еко-паметна решења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Кључне развојне технологије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1. Свет без сиромаштва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2. Свет без глади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3. Добро здравље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4. Квалитетно образовање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5. Родна равноправност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6. Чиста вода и санитарни услови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7. Доступна и обновљива енергија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8. Достојанствен рад и економски раст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9. Индустрија, иновације и инфраструктура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10. Смањење неједнакости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11. Одрживи градови и заједнице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12. Одговорна потрошња и производња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  <w:tr w:rsidR="00096F08" w:rsidRPr="00096F08" w:rsidTr="00650B0B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ЦОР 13. Акција за климу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Индиректан</w:t>
            </w:r>
          </w:p>
        </w:tc>
      </w:tr>
    </w:tbl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 xml:space="preserve">Извор: European Commision (2019).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Pilot methodology for mapping Sustainable Development Goals (SDGs) in the context of Smart Specialization Strategies, JRC/SVQ/2019/LVP/1645, SIRIS Academic S.L.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lastRenderedPageBreak/>
        <w:t>Имајући у виду улогу коју технолошке иновације и научни напредак имају у процесу решавања глобалних изазова у свету, Акциони план за спровођење Стратегије за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представља наставак претходне политике подршке реализацији циљева одрживог развоја и уједно представља и другу Мапу пута у области науке, технологије и иновација у циљу достизања циљева одрживог развоја.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Мапа пута има за циљ да олакша развој и спровођење политика и програма који промовишу научне и технолошке иновације и подржавају постизање циљева одрживог развоја.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Подржавајући изградњу капацитета и ангажујући постојеће ресурсе, Мапа пута се фокусира на јачање научне, технолошке и иновационе инфраструктуре, подстицање иновација и предузетништва као подстицање партнерства и сарадње.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Имплементацијом Акционог плана Стратегије, искористиће се постојећи ресурси у области науке, технологије и иновација како би се допринело достизању циљева одрживог развоја и створила одржива будућност.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IV. ПРАЋЕЊЕ И ВРЕДНОВАЊЕ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Акциони план представља документ јавне политике највишег нивоа детаљности, којим се разрађуje Стратегија, у циљу управљања динамиком спровођења мера јавних политика које доприносе остваривању општег и посебних циљева исте.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Правилним праћењем акционог план и његових елемената осигураће се потпуно инклузиван процес који ће осигурати континуирано учешће свих заинтересованих страна.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Акциони план се ревидира по потреби, у складу са резултатима праћења спровођења и резултатима еx-post анализе ефеката јавне политике.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Формална обавеза НИТРА која је прописана Законом о планском систему („Службени гласник РС”, број 30/18), подразумева извештавање ка Влади о резултатима спровођења Акционог плана на годишњем нивоу као и финални извештај након истека примене документа јавне политике.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Како би омогућили транспарентан и одржив процес, НИТРА је направила оперативни план који ће имати фокус на одрживом дијалогу кроз наставак ЕДП радионица.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Актери у оквиру ЕДП-а учествоваће у промени или ревизији мера Стратегије које не дају одговарајуће резултате и помоћи ће својом експертизом и искуством из праксе у дефинисању свих будућих мера и циљева у следећој итерацији Акционог плана који ће бити израђен крајем 2025.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Планирано је да се ЕДП радионице одржавају најмање два пута годишње по свакој приоритетној области, уз простор за повећања годишњег броја радионица.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Како би одржали динамику наведених активности, НИТРА je израдила шематски приказ активности праћења и вредновања (Tабела 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Временски оквир активности праћења и вредновања) који покрива временски оквир Акционог плана.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Табела 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Временски оквир активности праћења и вредновања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9"/>
        <w:gridCol w:w="209"/>
        <w:gridCol w:w="209"/>
        <w:gridCol w:w="209"/>
        <w:gridCol w:w="209"/>
        <w:gridCol w:w="208"/>
        <w:gridCol w:w="208"/>
        <w:gridCol w:w="208"/>
        <w:gridCol w:w="208"/>
        <w:gridCol w:w="208"/>
        <w:gridCol w:w="208"/>
        <w:gridCol w:w="208"/>
        <w:gridCol w:w="208"/>
        <w:gridCol w:w="827"/>
      </w:tblGrid>
      <w:tr w:rsidR="00096F08" w:rsidRPr="00096F08" w:rsidTr="00650B0B">
        <w:tc>
          <w:tcPr>
            <w:tcW w:w="3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Активности</w:t>
            </w:r>
          </w:p>
        </w:tc>
        <w:tc>
          <w:tcPr>
            <w:tcW w:w="3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2023.</w:t>
            </w:r>
          </w:p>
        </w:tc>
        <w:tc>
          <w:tcPr>
            <w:tcW w:w="3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2024.</w:t>
            </w:r>
          </w:p>
        </w:tc>
        <w:tc>
          <w:tcPr>
            <w:tcW w:w="3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2025.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2026.</w:t>
            </w:r>
          </w:p>
        </w:tc>
      </w:tr>
      <w:tr w:rsidR="00096F08" w:rsidRPr="00096F08" w:rsidTr="00650B0B">
        <w:tc>
          <w:tcPr>
            <w:tcW w:w="3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Састанци радне групе за имплементацију Стратегије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096F08" w:rsidRPr="00096F08" w:rsidTr="00650B0B">
        <w:tc>
          <w:tcPr>
            <w:tcW w:w="3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ЕДП Радионице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096F08" w:rsidRPr="00096F08" w:rsidTr="00650B0B">
        <w:tc>
          <w:tcPr>
            <w:tcW w:w="3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Извештавање о резултатима спровођења Стратегије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096F08" w:rsidRPr="00096F08" w:rsidTr="00650B0B">
        <w:tc>
          <w:tcPr>
            <w:tcW w:w="3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Сумарни извештај о реализацији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096F08" w:rsidRPr="00096F08" w:rsidTr="00650B0B">
        <w:tc>
          <w:tcPr>
            <w:tcW w:w="3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Екстерна евалуација (вредновање)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Као што се може видети у горе наведеној табели, обавезне ЕДП радионице и састанци радне групе за имплементацију Стратегије биће временски усклађене са извештавањем о резултатима спровођења.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Разлог ове усклађености је да се омогући свим актерима и широј јавности правовремено стицање увида у све резултате спровођења.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 xml:space="preserve">Уз то, важна спона између имплементације, праћења и шире заједнице која учествује у ЕДП-у представљаће радна група за имплементацију Стратегије. Ову групу чиниће представници свих органа који су задужени за имплементацију мера у Стратегији као и чланови новонастале интерне јединице унутар НИТРА формирана од стране SAIGE пројекта, која је задужена за праћење имплементације Стратегије. Такође, НИТРА ће уврстити у рад ове групе и ЕДП координаторе сваке приоритетне области.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На овај начин, биће директно осигуран глас свих актера који су учествовали у изради Стратегије и Акционог плана и који ће и даље учествовати у свим будућим активностима који су у вези са ЕДП-ом.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Планирано је да се састанци радне групе одржавају квартално, уз остављање простора за додатну процену о томе да ли је потребно тај број повећати.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Екстерно вредновање организоваће се након завршетка Акционог плана, у 2026.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години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Као и код извештаја о резултатима спровођења, обавезне ЕДП радионице и састанци радне групе за имплементацију Стратегије биће временски усклађене са екстерном евалуацијом како би сви актери могли да учествују са својим инпутима и како би се додатно осигурала транспарентност целокупног процеса вредновања.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V. АНАЛИЗА ФИНАНСИЈСКИХ ЕФЕКАТА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lastRenderedPageBreak/>
        <w:t>Акциони план за спровођење Стратегије паметне специјализације у Републици Србији обухвата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, а средства су/ће бити обезбеђена из буџета Републике Србије као и донаторских извора.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Активности из акционог плана усаглашене су са активностима донатора (ЕУ, Светска банка и други донатори).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Кључни актери за спровођење активности у оквиру реализације мера, поред Министарства науке, технолошког развоја и иновација – НИТРА, су Фонд за иновациону делатност – ФИД, Фонд за науку Републике Србије – ФзН, Центар за промоцију науке – ЦПН, Министарство привреде, Развојна агенција Србије – РАС, Центар за дигиталну трансформацију – ЦДТ, Министарство спољних послова, Канцеларија за информационе технологије и електронску управу – ИТЕ, Министарство пољопривреде, шумарства и водопривреде – МПШВ, Министарство информисања и телекомуникација – МИТ, Канцеларија за дуално образовање, Министарство просвете, Агенција за квалификације, Привредна комора Србије и Министарство финансија.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Појединачне мере и активности, са процењеним средствима за њихову реализацију, које доприносе остварењу посебних циљева дефинисаних Акционим планом детаљно су представљене табеларно у оквиру самог Акционог плана.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За остварење посебног циља 1: Усмерене научне активности на 4С приоритете, у оквиру Раздела 36 – НИТРА, биће опредељена средства у оквиру следећих апропријација: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0007 (Раздео 36) – Средства су опредељена унутар постојећег буџета – редовна издвајања НИТРА, није потребно посебно финансирање, мера се односи на праћење индикатора;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0006 (Раздео 36) – Подршка раду Центра за промоцију науке.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су опредељена унутар постојећег буџета Центра за промоцију науке;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Пројекат Светске банке „SAIGE”, Споразум о зајму – Пројекат акцелерације иновација и подстицање раста предузетништа – компонента ФзН. Средства су опредељена и реализација активности је отпочела, и обезбеђена су додатна средства за подршку новим програмима ФзН;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0013 (Раздео 36) – Подршка раду Фонда за науку РС.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Средства су опредељена унутар постојећег буџета Фонда за науку.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5002 (Раздео 39) – Пројекат изградње БИО4 Кампуса.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За остварење посебног циља 2: Подржан развој привреде кроз иновације, истраживање и развој и сарадњу међу учесницима четвроструког хеликса, у оквиру Раздела 36 – НИТРА, ФзН и ФИД, у оквиру Раздела 65 – Канцеларије за ИТ и електронску управу и у оквиру Раздела 24 – МПШВ, биће опредељена средства у оквиру следећих апропријација: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0005 (Раздео 36) – Подршка раду ФИД.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су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0002 (Раздео 36) – Подршка реализацији интереса у иновационој делатности.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су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7079 (Раздео 36) – ИПА 2019 – Конкурентност и иновације.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су опредељена;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4011 (Раздео 36) – Пројекта акцелерације иновација и подстицање раста предузетништва „SAIGE”, Споразум о зајму – компонента НИТРА;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Пројекат Светске банке „SAIGE”, Споразум о зајму – Пројекат акцелерације иновација и подстицање раста предузетништа – компоненте ФзН и ФИД.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су опредељена и реализација активности је отпочела;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0013 (Раздео 36) – Подршка раду Фонда за науку РС.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су опредељена унутар постојећег буџета Фонда за науку;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 xml:space="preserve">– Програм 4005 (Раздео 24) – ИПАРД: Техничка помоћ.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Инкорпорација приоритета паметне специјализације у ИПАРД програм за Републику Србију за програмски период од 2023.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до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2025.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>. Средства су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0002 (Раздео 24) – Подстицаји у пољопривреди и руралном развоју;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4006 (Раздео 65) – Средства су опредељена унутар постојећег буџета.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За остварење посебног циља 3: Образовање оријентисано ка иновативности и предузетништву, у оквиру Раздела 36 – НИТРА, у оквиру Раздела 26 – Министарство просвете, у оквиру Раздела 3 – Влада, Глава 3.19 – Канцеларија за дуално образовање и национални оквир квалификација, Функција 110 – Извршни и законодавни органи, финансијски и фискални послови и спољни послови, Програм 2102 – Подршка раду Владе, Програмска активност 0032 – Подршка раду Агенције за квалификације и Програмска активност 0033 – Промоција дуалног образовања, биће опредељена средства у оквиру следећих апропријација: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0014 (Раздео 26) – Развој високог образовања;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lastRenderedPageBreak/>
        <w:t>– Програм 0007 (Раздео 36) – Средства су опредељена унутар постојећег буџета – редовна издвајања НИТРА, није потребно посебно финансирање, мера се односи на праћење индикатора;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4011 (Раздео 36) – Пројекат акцелерације иновација и подстицање раста предузетништва „SAIGE”, Споразум о зајму – компоненте НИТРА.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Средства су опредељена и реализација активности је отпочела.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За остварење посебног циља 4: Побољшани услови пословања кроз оптимизацију и дигитализацију процедура у 4С областима, у оквиру Раздела 36 – НИТРА, у оквиру Раздела 21 – Министарства привреде, у оквиру Раздела 38 – Министарство информисања и телекомуникација и у оквиру Раздела 65 – Канцеларије за ИТ и електронску управу, биће опредељена средства у оквиру следећих апропријација: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0007 (Раздео 36) – није потребно посебно финансирање;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4005 (Раздео 38) – Средства су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5015 (Раздео 65) – Средства су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5019 (Раздео 65) – Средства су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4008 (Раздео 21) – Подршка индустријском развоју.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ће бити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За остварење посебног циља 5: Интернационализација привреде кроз укључивање у регионалне и глобалне ланце вредности у областима 4С, у оквиру Раздела 36 – НИТРА, У оквиру Раздела 17 – Министарства спољних послова и у оквиру Раздела 21 – Министарства привреде, биће опредељена средства у оквиру следећих апропријација: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– Програм 0007 (Раздео 36) – Средства су опредељена унутар постојећег буџета – редовна издвајања НИТРА, није потребно посебно финансирање;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Програм 1510-0001 (Раздео 21) – Привлачење инвестиција.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Средства ће бити опредељена унутар постојећег буџета;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– Раздео 17 – Подршка Културно-информативном центру у Лондону.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Напомена: Средства за реализацију активности по Програму 4011 (Раздео 36) Акционог плана, планирана су из средстава Пројекта Светске банке „SAIGE” одобрених на основу Споразума о зајму (Пројекат акцелерације иновација и подстицања раста предузетништва у Републици Србији), потписаног између Републике Србије и Међународне банке за обнову и развоj, број IBRD 90290YF, у складу са Законом о потврђивању Споразума о зајму („Службени гласник РС – Међународни уговори”, број 3/20). Поред тога, Европска комисија, узимајући Светску банку као поузданог партнера, донела је одлуку да своја донаторска средства из IPA 2019 намењена области Конкурентности, имплементира посредством Светске банке у оквиру компоненти које су дефинисане „SAIGE” пројектом.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rPr>
          <w:rFonts w:ascii="Verdana" w:hAnsi="Verdana"/>
          <w:color w:val="333333"/>
          <w:sz w:val="18"/>
          <w:szCs w:val="18"/>
        </w:rPr>
      </w:pPr>
      <w:hyperlink r:id="rId9" w:tgtFrame="_blank" w:history="1">
        <w:r w:rsidRPr="00096F08">
          <w:rPr>
            <w:rFonts w:ascii="Verdana" w:hAnsi="Verdana"/>
            <w:b/>
            <w:bCs/>
            <w:color w:val="337AB7"/>
            <w:sz w:val="18"/>
            <w:szCs w:val="18"/>
          </w:rPr>
          <w:t>Прилог</w:t>
        </w:r>
      </w:hyperlink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VI. ЗАВРШНИ ДЕО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Овај акциони план објавити на интернет страници Владе, на порталу е-Управа и на интернет страници Министарства науке, технолошког развоја и иновација, у року од седам радних дана од дана усвајања.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Овај акциони план објавити у „Службеном гласнику Републике Србије”.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05 број 660-12859/2023-1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color w:val="333333"/>
          <w:sz w:val="18"/>
          <w:szCs w:val="18"/>
        </w:rPr>
        <w:t>У Београду, 28.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децембра</w:t>
      </w:r>
      <w:proofErr w:type="gramEnd"/>
      <w:r w:rsidRPr="00096F08">
        <w:rPr>
          <w:rFonts w:ascii="Verdana" w:hAnsi="Verdana"/>
          <w:color w:val="333333"/>
          <w:sz w:val="18"/>
          <w:szCs w:val="18"/>
        </w:rPr>
        <w:t xml:space="preserve"> 2023. </w:t>
      </w:r>
      <w:proofErr w:type="gramStart"/>
      <w:r w:rsidRPr="00096F08">
        <w:rPr>
          <w:rFonts w:ascii="Verdana" w:hAnsi="Verdana"/>
          <w:color w:val="333333"/>
          <w:sz w:val="18"/>
          <w:szCs w:val="18"/>
        </w:rPr>
        <w:t>године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b/>
          <w:bCs/>
          <w:color w:val="333333"/>
          <w:sz w:val="18"/>
          <w:szCs w:val="18"/>
        </w:rPr>
        <w:t>Влада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spacing w:after="15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 w:rsidRPr="00096F08">
        <w:rPr>
          <w:rFonts w:ascii="Verdana" w:hAnsi="Verdana"/>
          <w:color w:val="333333"/>
          <w:sz w:val="18"/>
          <w:szCs w:val="18"/>
        </w:rPr>
        <w:t>Председник,</w:t>
      </w:r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jc w:val="right"/>
        <w:rPr>
          <w:rFonts w:ascii="Verdana" w:hAnsi="Verdana"/>
          <w:color w:val="333333"/>
          <w:sz w:val="18"/>
          <w:szCs w:val="18"/>
        </w:rPr>
      </w:pPr>
      <w:proofErr w:type="gramStart"/>
      <w:r w:rsidRPr="00096F08">
        <w:rPr>
          <w:rFonts w:ascii="Verdana" w:hAnsi="Verdana"/>
          <w:b/>
          <w:bCs/>
          <w:color w:val="333333"/>
          <w:sz w:val="18"/>
          <w:szCs w:val="18"/>
        </w:rPr>
        <w:t>Ана Брнабић, </w:t>
      </w:r>
      <w:r w:rsidRPr="00096F08">
        <w:rPr>
          <w:rFonts w:ascii="Verdana" w:hAnsi="Verdana"/>
          <w:color w:val="333333"/>
          <w:sz w:val="18"/>
          <w:szCs w:val="18"/>
        </w:rPr>
        <w:t>с.р.</w:t>
      </w:r>
      <w:proofErr w:type="gramEnd"/>
    </w:p>
    <w:p w:rsidR="00096F08" w:rsidRPr="00096F08" w:rsidRDefault="00096F08" w:rsidP="00096F08">
      <w:pPr>
        <w:widowControl/>
        <w:shd w:val="clear" w:color="auto" w:fill="FFFFFF"/>
        <w:autoSpaceDE/>
        <w:autoSpaceDN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 w:rsidRPr="00096F08">
        <w:rPr>
          <w:rFonts w:ascii="Verdana" w:hAnsi="Verdana"/>
          <w:b/>
          <w:bCs/>
          <w:color w:val="333333"/>
          <w:sz w:val="18"/>
          <w:szCs w:val="18"/>
        </w:rPr>
        <w:t>ПРИЛОГ 1 – Класификација приоритетних области по NACE делатностима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8789"/>
      </w:tblGrid>
      <w:tr w:rsidR="00096F08" w:rsidRPr="00096F08" w:rsidTr="00650B0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Приоритетна област: </w:t>
            </w: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Храна за будућност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Шифра делатности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Назив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жита (осим пиринча), легуминоза и уљарица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0113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поврћа, бостана, коренастих и кртоластих биљака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0116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биљака за производњу влакана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0119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осталих једногодишњих и двогодишњих биљака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lastRenderedPageBreak/>
              <w:t>0121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грожђа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0124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јабучастог и коштичавог воћа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0125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осталог дрвенастог, жбунастог и језграстог воћа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0126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уљних плодова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0127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биљака за припремање напитака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0128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зачинског, ароматичног и лековитог биља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0129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осталих вишегодишњих биљака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0130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садног материјала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музних крава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других говеда и бивола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коња и других копитара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оваца и коза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0146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свиња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0147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живине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0149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Узгој осталих животиња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0150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Мешовита пољопривредна производња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0161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Услужне делатности у гајењу усева и засада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0162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Помоћне делатности у узгоју животиња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0163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Активности после жетве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0164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Дорада семена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0170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Лов, траперство и одговарајуће услужне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0210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Гајење шума и остале шумарске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0220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Сеча дрвећа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0230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Сакупљање шумских плодова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Прерада и конзервисање меса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Прерада и конзервисање живинског меса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1013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месних прерађевина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Прерада и конзервисање рибе, љускара и мекушаца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1031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Прерада и конзервисање кромпира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1032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сокова од воћа и поврћа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1039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Остала прерада и конзервисање воћа и поврћа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1041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уља и масти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1051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Прерада млека и производња сирева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1052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сладоледа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1061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млинских производа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1062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скроба и скробних производа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1071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хлеба, свежег пецива и колача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lastRenderedPageBreak/>
              <w:t>1072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двопека, кекса, трајног пецива и колача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1073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макарона, резанаца и сличних производа од брашна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шећера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какаоа, чоколаде и кондиторских производа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Прерада чаја и кафе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зачина и других додатака храни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готових јела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1086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хомогенизованих хранљивих препарата и дијететске хране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1089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прехрамбених производа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1091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готове хране за домаће животиње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1092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готове хране за кућне љубимце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1101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Дестилација, пречишћавање и мешање пића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1102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вина од грожђа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1104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недестилованих ферментисаних пића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1105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пива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1106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слада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1107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освежавајућих пића, минералне воде и остале флаширане воде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7211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Истраживање и експериментални развој у биотехнологији</w:t>
            </w:r>
          </w:p>
        </w:tc>
      </w:tr>
      <w:tr w:rsidR="00096F08" w:rsidRPr="00096F08" w:rsidTr="00650B0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Приоритетна област: </w:t>
            </w: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Информационо-комуникационе технологије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Шифра делатности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Назив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2611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електронских елемената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2612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штампаних електронских плоча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2620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рачунара и периферне опреме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2630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комуникационе опреме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2640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електронских уређаја за широку потрошњу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2680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магнетних и оптичких носилаца записа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електромотора, генератора и трансформатора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4651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Трговина на велико рачунарима, рачунарском опремом и софтверима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4652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Трговина на велико електронским и телекомуникационим деловима и опремом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4741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Трговина на мало рачунарима, периферним јединицама и софтвером у специјализованим продавницама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4742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Трговина на мало телекомуникационом опремом у специјализованим продавницама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5821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Издавање рачунарских игара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5829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Издавање осталих софтвера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6110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Кабловске телекомуникације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6120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Бежичне телекомуникације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6130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Сателитске телекомуникације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lastRenderedPageBreak/>
              <w:t>6190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Остале телекомуникационе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6201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Рачунарско програмирање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6202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Консултантске делатности у области информационе технологије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6203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Управљање рачунарском опремом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6209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Остале услуге информационе технологије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6311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Обрада података, хостинг и сл.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6312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Веб портали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9511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Поправка рачунара и периферне опреме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9512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Поправка комуникационе опреме</w:t>
            </w:r>
          </w:p>
        </w:tc>
      </w:tr>
      <w:tr w:rsidR="00096F08" w:rsidRPr="00096F08" w:rsidTr="00650B0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Приоритетна област: </w:t>
            </w: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Креативне индустрије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Шифра делатности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Назив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3212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накита и сродних предмета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Издавање књига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5814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Издавање часописа и периодичних издања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5819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Остала издавачка делатност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5821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Издавање рачунарских игара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5829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Издавање осталих софтвера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5911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кинематографских дела, аудио-визуелних производа и телевизијског програма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5912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Делатности које следе након фазе снимања у производњи кинематографских дела и телевизијског програма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5913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Дистрибуција кинематографских дела, аудио-визуелних дела и телевизијског програма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5914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Делатност приказивања кинематографских дела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5920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Снимање и издавање звучних записа и музике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6010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Емитовање радио-програма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6020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и емитовање телевизијског програма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6201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Рачунарско програмирање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6202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Консултантске делатности у области информационе технологије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7021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Делатност комуникација и односа с јавношћу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7111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Архитектонска делатност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7311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Делатност рекламних агенција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7312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Медијско представљање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7410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Специјализоване дизајнерске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7420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Фотографске услуге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9001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Извођачка уметност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9002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Друге уметничке делатности у оквиру извођачке уметности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9003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Уметничко стваралаштво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9004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Рад уметничких установа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lastRenderedPageBreak/>
              <w:t>9101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Делатности библиотека и архива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9102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Делатност музеја галерија и збирки</w:t>
            </w:r>
          </w:p>
        </w:tc>
      </w:tr>
      <w:tr w:rsidR="00096F08" w:rsidRPr="00096F08" w:rsidTr="00650B0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Приоритетна област: </w:t>
            </w: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Машине и производни процеси будућности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Шифра делатности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Назив делатности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2530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парних котлова, осим котлова за централно грејање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електромотора, генератора и трансформатора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опреме за дистрибуцију електричне енергије и опреме за управљање електричном енергијом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батерија и акумулатора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2731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каблова од оптичких влакана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2732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електронских и електричних проводника и каблова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2733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опреме за повезивање жица и каблова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2740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опреме за осветљење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2751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електричних апарата за домаћинство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2752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неелектричних апарата за домаћинство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2790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остале електричне опреме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2811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мотора и турбина, осим за летелице и моторна возила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2812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хидрауличних погонских уређаја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2813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пумпи и компресора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2814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славина и вентила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2815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лежајева, зупчаника и зупчастих погонских елемената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2821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индустријских пећи и горионика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2822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опреме за подизање и преношење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2823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канцеларијских машина и опреме, осим рачунара и рачунарске опреме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2824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ручних погонских апарата са механизмима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2825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расхладне и вентилационе опреме, осим за домаћинство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2829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машина и апарата опште намене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2830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пољопривреду и шумарство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2841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обраду метала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2849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алатних машина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2891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металургију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2892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руднике, каменоломе и грађевинарство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2893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индустрију хране, пића и дувана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2894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индустрију текстила, одеће и коже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2895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индустрију папира и картона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2899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машина за остале специјалне намене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2910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моторних возила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lastRenderedPageBreak/>
              <w:t>2920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каросерија за моторна возила, приколице и полуприколице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2931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електричне и електронске опреме за моторна возила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2932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осталих делова и додатне опреме за моторна возила</w:t>
            </w:r>
          </w:p>
        </w:tc>
      </w:tr>
      <w:tr w:rsidR="00096F08" w:rsidRPr="00096F08" w:rsidTr="00650B0B"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3250</w:t>
            </w:r>
          </w:p>
        </w:tc>
        <w:tc>
          <w:tcPr>
            <w:tcW w:w="4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96F08" w:rsidRPr="00096F08" w:rsidRDefault="00096F08" w:rsidP="00096F08">
            <w:pPr>
              <w:widowControl/>
              <w:autoSpaceDE/>
              <w:autoSpaceDN/>
              <w:spacing w:after="15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096F08">
              <w:rPr>
                <w:rFonts w:ascii="Verdana" w:hAnsi="Verdana" w:cs="Arial"/>
                <w:color w:val="333333"/>
                <w:sz w:val="18"/>
                <w:szCs w:val="18"/>
              </w:rPr>
              <w:t>Производња медицинских и стоматолошких инструмената и материјала</w:t>
            </w:r>
          </w:p>
        </w:tc>
      </w:tr>
    </w:tbl>
    <w:p w:rsidR="00F8717B" w:rsidRPr="00096F08" w:rsidRDefault="00F8717B" w:rsidP="00096F08">
      <w:pPr>
        <w:pStyle w:val="auto-style1"/>
        <w:jc w:val="center"/>
        <w:rPr>
          <w:lang w:val="sr-Latn-RS"/>
        </w:rPr>
      </w:pPr>
    </w:p>
    <w:sectPr w:rsidR="00F8717B" w:rsidRPr="00096F08" w:rsidSect="00CE6442">
      <w:footerReference w:type="default" r:id="rId10"/>
      <w:type w:val="continuous"/>
      <w:pgSz w:w="11906" w:h="16838" w:code="9"/>
      <w:pgMar w:top="426" w:right="720" w:bottom="720" w:left="720" w:header="720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19" w:rsidRDefault="00D10919" w:rsidP="00D10919">
      <w:r>
        <w:separator/>
      </w:r>
    </w:p>
  </w:endnote>
  <w:endnote w:type="continuationSeparator" w:id="0">
    <w:p w:rsidR="00D10919" w:rsidRDefault="00D10919" w:rsidP="00D1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19" w:rsidRDefault="00D1091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506F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10919" w:rsidRDefault="00D10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19" w:rsidRDefault="00D10919" w:rsidP="00D10919">
      <w:r>
        <w:separator/>
      </w:r>
    </w:p>
  </w:footnote>
  <w:footnote w:type="continuationSeparator" w:id="0">
    <w:p w:rsidR="00D10919" w:rsidRDefault="00D10919" w:rsidP="00D1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6D7F"/>
    <w:multiLevelType w:val="hybridMultilevel"/>
    <w:tmpl w:val="EFE49A3A"/>
    <w:lvl w:ilvl="0" w:tplc="1F00BB0A">
      <w:start w:val="9"/>
      <w:numFmt w:val="decimal"/>
      <w:lvlText w:val="%1"/>
      <w:lvlJc w:val="left"/>
      <w:pPr>
        <w:ind w:left="548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1"/>
        <w:szCs w:val="11"/>
        <w:lang w:eastAsia="en-US" w:bidi="ar-SA"/>
      </w:rPr>
    </w:lvl>
    <w:lvl w:ilvl="1" w:tplc="25E059A4">
      <w:numFmt w:val="bullet"/>
      <w:lvlText w:val="•"/>
      <w:lvlJc w:val="left"/>
      <w:pPr>
        <w:ind w:left="1933" w:hanging="88"/>
      </w:pPr>
      <w:rPr>
        <w:rFonts w:hint="default"/>
        <w:lang w:eastAsia="en-US" w:bidi="ar-SA"/>
      </w:rPr>
    </w:lvl>
    <w:lvl w:ilvl="2" w:tplc="3E74650C">
      <w:numFmt w:val="bullet"/>
      <w:lvlText w:val="•"/>
      <w:lvlJc w:val="left"/>
      <w:pPr>
        <w:ind w:left="3327" w:hanging="88"/>
      </w:pPr>
      <w:rPr>
        <w:rFonts w:hint="default"/>
        <w:lang w:eastAsia="en-US" w:bidi="ar-SA"/>
      </w:rPr>
    </w:lvl>
    <w:lvl w:ilvl="3" w:tplc="D1ECC294">
      <w:numFmt w:val="bullet"/>
      <w:lvlText w:val="•"/>
      <w:lvlJc w:val="left"/>
      <w:pPr>
        <w:ind w:left="4721" w:hanging="88"/>
      </w:pPr>
      <w:rPr>
        <w:rFonts w:hint="default"/>
        <w:lang w:eastAsia="en-US" w:bidi="ar-SA"/>
      </w:rPr>
    </w:lvl>
    <w:lvl w:ilvl="4" w:tplc="3C167D7C">
      <w:numFmt w:val="bullet"/>
      <w:lvlText w:val="•"/>
      <w:lvlJc w:val="left"/>
      <w:pPr>
        <w:ind w:left="6115" w:hanging="88"/>
      </w:pPr>
      <w:rPr>
        <w:rFonts w:hint="default"/>
        <w:lang w:eastAsia="en-US" w:bidi="ar-SA"/>
      </w:rPr>
    </w:lvl>
    <w:lvl w:ilvl="5" w:tplc="5DD2BD6A">
      <w:numFmt w:val="bullet"/>
      <w:lvlText w:val="•"/>
      <w:lvlJc w:val="left"/>
      <w:pPr>
        <w:ind w:left="7509" w:hanging="88"/>
      </w:pPr>
      <w:rPr>
        <w:rFonts w:hint="default"/>
        <w:lang w:eastAsia="en-US" w:bidi="ar-SA"/>
      </w:rPr>
    </w:lvl>
    <w:lvl w:ilvl="6" w:tplc="012C74E0">
      <w:numFmt w:val="bullet"/>
      <w:lvlText w:val="•"/>
      <w:lvlJc w:val="left"/>
      <w:pPr>
        <w:ind w:left="8903" w:hanging="88"/>
      </w:pPr>
      <w:rPr>
        <w:rFonts w:hint="default"/>
        <w:lang w:eastAsia="en-US" w:bidi="ar-SA"/>
      </w:rPr>
    </w:lvl>
    <w:lvl w:ilvl="7" w:tplc="4BC08B1E">
      <w:numFmt w:val="bullet"/>
      <w:lvlText w:val="•"/>
      <w:lvlJc w:val="left"/>
      <w:pPr>
        <w:ind w:left="10297" w:hanging="88"/>
      </w:pPr>
      <w:rPr>
        <w:rFonts w:hint="default"/>
        <w:lang w:eastAsia="en-US" w:bidi="ar-SA"/>
      </w:rPr>
    </w:lvl>
    <w:lvl w:ilvl="8" w:tplc="8D1E395A">
      <w:numFmt w:val="bullet"/>
      <w:lvlText w:val="•"/>
      <w:lvlJc w:val="left"/>
      <w:pPr>
        <w:ind w:left="11691" w:hanging="88"/>
      </w:pPr>
      <w:rPr>
        <w:rFonts w:hint="default"/>
        <w:lang w:eastAsia="en-US" w:bidi="ar-SA"/>
      </w:rPr>
    </w:lvl>
  </w:abstractNum>
  <w:abstractNum w:abstractNumId="1">
    <w:nsid w:val="41DE19D5"/>
    <w:multiLevelType w:val="hybridMultilevel"/>
    <w:tmpl w:val="71C4CD9E"/>
    <w:lvl w:ilvl="0" w:tplc="A9E2E8BE">
      <w:numFmt w:val="decimal"/>
      <w:lvlText w:val="%1"/>
      <w:lvlJc w:val="left"/>
      <w:pPr>
        <w:ind w:left="548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1"/>
        <w:szCs w:val="11"/>
        <w:lang w:eastAsia="en-US" w:bidi="ar-SA"/>
      </w:rPr>
    </w:lvl>
    <w:lvl w:ilvl="1" w:tplc="56A43BC6">
      <w:numFmt w:val="bullet"/>
      <w:lvlText w:val="•"/>
      <w:lvlJc w:val="left"/>
      <w:pPr>
        <w:ind w:left="1933" w:hanging="88"/>
      </w:pPr>
      <w:rPr>
        <w:rFonts w:hint="default"/>
        <w:lang w:eastAsia="en-US" w:bidi="ar-SA"/>
      </w:rPr>
    </w:lvl>
    <w:lvl w:ilvl="2" w:tplc="67D4BF5A">
      <w:numFmt w:val="bullet"/>
      <w:lvlText w:val="•"/>
      <w:lvlJc w:val="left"/>
      <w:pPr>
        <w:ind w:left="3327" w:hanging="88"/>
      </w:pPr>
      <w:rPr>
        <w:rFonts w:hint="default"/>
        <w:lang w:eastAsia="en-US" w:bidi="ar-SA"/>
      </w:rPr>
    </w:lvl>
    <w:lvl w:ilvl="3" w:tplc="5156BC6C">
      <w:numFmt w:val="bullet"/>
      <w:lvlText w:val="•"/>
      <w:lvlJc w:val="left"/>
      <w:pPr>
        <w:ind w:left="4721" w:hanging="88"/>
      </w:pPr>
      <w:rPr>
        <w:rFonts w:hint="default"/>
        <w:lang w:eastAsia="en-US" w:bidi="ar-SA"/>
      </w:rPr>
    </w:lvl>
    <w:lvl w:ilvl="4" w:tplc="FB0ED3B6">
      <w:numFmt w:val="bullet"/>
      <w:lvlText w:val="•"/>
      <w:lvlJc w:val="left"/>
      <w:pPr>
        <w:ind w:left="6115" w:hanging="88"/>
      </w:pPr>
      <w:rPr>
        <w:rFonts w:hint="default"/>
        <w:lang w:eastAsia="en-US" w:bidi="ar-SA"/>
      </w:rPr>
    </w:lvl>
    <w:lvl w:ilvl="5" w:tplc="88A486E6">
      <w:numFmt w:val="bullet"/>
      <w:lvlText w:val="•"/>
      <w:lvlJc w:val="left"/>
      <w:pPr>
        <w:ind w:left="7509" w:hanging="88"/>
      </w:pPr>
      <w:rPr>
        <w:rFonts w:hint="default"/>
        <w:lang w:eastAsia="en-US" w:bidi="ar-SA"/>
      </w:rPr>
    </w:lvl>
    <w:lvl w:ilvl="6" w:tplc="87BCADC8">
      <w:numFmt w:val="bullet"/>
      <w:lvlText w:val="•"/>
      <w:lvlJc w:val="left"/>
      <w:pPr>
        <w:ind w:left="8903" w:hanging="88"/>
      </w:pPr>
      <w:rPr>
        <w:rFonts w:hint="default"/>
        <w:lang w:eastAsia="en-US" w:bidi="ar-SA"/>
      </w:rPr>
    </w:lvl>
    <w:lvl w:ilvl="7" w:tplc="826AA340">
      <w:numFmt w:val="bullet"/>
      <w:lvlText w:val="•"/>
      <w:lvlJc w:val="left"/>
      <w:pPr>
        <w:ind w:left="10297" w:hanging="88"/>
      </w:pPr>
      <w:rPr>
        <w:rFonts w:hint="default"/>
        <w:lang w:eastAsia="en-US" w:bidi="ar-SA"/>
      </w:rPr>
    </w:lvl>
    <w:lvl w:ilvl="8" w:tplc="4B1AB480">
      <w:numFmt w:val="bullet"/>
      <w:lvlText w:val="•"/>
      <w:lvlJc w:val="left"/>
      <w:pPr>
        <w:ind w:left="11691" w:hanging="8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A50A6"/>
    <w:rsid w:val="00096F08"/>
    <w:rsid w:val="000A7CF6"/>
    <w:rsid w:val="000E023D"/>
    <w:rsid w:val="003856E4"/>
    <w:rsid w:val="0061348F"/>
    <w:rsid w:val="00650B0B"/>
    <w:rsid w:val="00687396"/>
    <w:rsid w:val="006C5F8B"/>
    <w:rsid w:val="007E72EB"/>
    <w:rsid w:val="008111E0"/>
    <w:rsid w:val="008F6640"/>
    <w:rsid w:val="00916A88"/>
    <w:rsid w:val="009A6325"/>
    <w:rsid w:val="009D0E50"/>
    <w:rsid w:val="00BA50A6"/>
    <w:rsid w:val="00C143E8"/>
    <w:rsid w:val="00C45400"/>
    <w:rsid w:val="00CE6442"/>
    <w:rsid w:val="00D10919"/>
    <w:rsid w:val="00DB6CC0"/>
    <w:rsid w:val="00E506FB"/>
    <w:rsid w:val="00E66775"/>
    <w:rsid w:val="00F33A8B"/>
    <w:rsid w:val="00F8717B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442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442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442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442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93" w:lineRule="exact"/>
      <w:ind w:left="18"/>
      <w:jc w:val="center"/>
    </w:pPr>
  </w:style>
  <w:style w:type="paragraph" w:customStyle="1" w:styleId="NASLOVZLATO">
    <w:name w:val="NASLOV ZLATO"/>
    <w:basedOn w:val="Title"/>
    <w:qFormat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739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73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10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9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0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919"/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CE6442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E644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E644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5B9BD5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E644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</w:rPr>
  </w:style>
  <w:style w:type="numbering" w:customStyle="1" w:styleId="NoList1">
    <w:name w:val="No List1"/>
    <w:next w:val="NoList"/>
    <w:uiPriority w:val="99"/>
    <w:semiHidden/>
    <w:unhideWhenUsed/>
    <w:rsid w:val="00CE6442"/>
  </w:style>
  <w:style w:type="character" w:customStyle="1" w:styleId="Heading1Char">
    <w:name w:val="Heading 1 Char"/>
    <w:basedOn w:val="DefaultParagraphFont"/>
    <w:link w:val="Heading1"/>
    <w:uiPriority w:val="9"/>
    <w:rsid w:val="00CE644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44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442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"/>
    <w:rsid w:val="00CE6442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NormalIndent1">
    <w:name w:val="Normal Indent1"/>
    <w:basedOn w:val="Normal"/>
    <w:next w:val="NormalIndent"/>
    <w:uiPriority w:val="99"/>
    <w:unhideWhenUsed/>
    <w:rsid w:val="00CE6442"/>
    <w:pPr>
      <w:widowControl/>
      <w:autoSpaceDE/>
      <w:autoSpaceDN/>
      <w:spacing w:after="200" w:line="276" w:lineRule="auto"/>
      <w:ind w:left="720"/>
    </w:pPr>
    <w:rPr>
      <w:rFonts w:ascii="Verdana" w:eastAsia="Calibri" w:hAnsi="Verdana" w:cs="Verdana"/>
    </w:rPr>
  </w:style>
  <w:style w:type="paragraph" w:customStyle="1" w:styleId="Subtitle1">
    <w:name w:val="Subtitle1"/>
    <w:basedOn w:val="Normal"/>
    <w:next w:val="Normal"/>
    <w:uiPriority w:val="11"/>
    <w:qFormat/>
    <w:rsid w:val="00CE644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442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644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CE644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E6442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E6442"/>
    <w:pPr>
      <w:widowControl/>
      <w:autoSpaceDE/>
      <w:autoSpaceDN/>
      <w:spacing w:after="200"/>
    </w:pPr>
    <w:rPr>
      <w:rFonts w:ascii="Verdana" w:eastAsia="Calibri" w:hAnsi="Verdana" w:cs="Verdana"/>
      <w:b/>
      <w:bCs/>
      <w:color w:val="5B9BD5"/>
      <w:sz w:val="18"/>
      <w:szCs w:val="18"/>
    </w:rPr>
  </w:style>
  <w:style w:type="paragraph" w:customStyle="1" w:styleId="DocDefaults">
    <w:name w:val="DocDefaults"/>
    <w:rsid w:val="00CE6442"/>
    <w:pPr>
      <w:widowControl/>
      <w:autoSpaceDE/>
      <w:autoSpaceDN/>
      <w:spacing w:after="200" w:line="276" w:lineRule="auto"/>
    </w:pPr>
  </w:style>
  <w:style w:type="character" w:customStyle="1" w:styleId="Heading1Char1">
    <w:name w:val="Heading 1 Char1"/>
    <w:basedOn w:val="DefaultParagraphFont"/>
    <w:uiPriority w:val="9"/>
    <w:rsid w:val="00CE6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CE6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E6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CE64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Indent">
    <w:name w:val="Normal Indent"/>
    <w:basedOn w:val="Normal"/>
    <w:uiPriority w:val="99"/>
    <w:semiHidden/>
    <w:unhideWhenUsed/>
    <w:rsid w:val="00CE644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E6442"/>
    <w:pPr>
      <w:numPr>
        <w:ilvl w:val="1"/>
      </w:numPr>
      <w:spacing w:after="160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CE644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CE644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Tahoma" w:eastAsia="Times New Roman" w:hAnsi="Tahoma" w:cs="Tahoma"/>
      <w:sz w:val="16"/>
      <w:szCs w:val="16"/>
    </w:rPr>
  </w:style>
  <w:style w:type="paragraph" w:customStyle="1" w:styleId="auto-style1">
    <w:name w:val="auto-style1"/>
    <w:basedOn w:val="Normal"/>
    <w:rsid w:val="00F33A8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sic-paragraph">
    <w:name w:val="basic-paragraph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uperscript">
    <w:name w:val="superscript"/>
    <w:basedOn w:val="DefaultParagraphFont"/>
    <w:rsid w:val="00096F08"/>
  </w:style>
  <w:style w:type="paragraph" w:customStyle="1" w:styleId="f">
    <w:name w:val="f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ela">
    <w:name w:val="tabela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096F08"/>
  </w:style>
  <w:style w:type="paragraph" w:customStyle="1" w:styleId="bold1">
    <w:name w:val="bold1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talik">
    <w:name w:val="italik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ocetakpriloga">
    <w:name w:val="pocetak_priloga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96F08"/>
    <w:rPr>
      <w:b/>
      <w:bCs/>
    </w:rPr>
  </w:style>
  <w:style w:type="paragraph" w:customStyle="1" w:styleId="potpis">
    <w:name w:val="potpis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442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442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442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442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93" w:lineRule="exact"/>
      <w:ind w:left="18"/>
      <w:jc w:val="center"/>
    </w:pPr>
  </w:style>
  <w:style w:type="paragraph" w:customStyle="1" w:styleId="NASLOVZLATO">
    <w:name w:val="NASLOV ZLATO"/>
    <w:basedOn w:val="Title"/>
    <w:qFormat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739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73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10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9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0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919"/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CE6442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E644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E644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5B9BD5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E644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</w:rPr>
  </w:style>
  <w:style w:type="numbering" w:customStyle="1" w:styleId="NoList1">
    <w:name w:val="No List1"/>
    <w:next w:val="NoList"/>
    <w:uiPriority w:val="99"/>
    <w:semiHidden/>
    <w:unhideWhenUsed/>
    <w:rsid w:val="00CE6442"/>
  </w:style>
  <w:style w:type="character" w:customStyle="1" w:styleId="Heading1Char">
    <w:name w:val="Heading 1 Char"/>
    <w:basedOn w:val="DefaultParagraphFont"/>
    <w:link w:val="Heading1"/>
    <w:uiPriority w:val="9"/>
    <w:rsid w:val="00CE644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44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442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"/>
    <w:rsid w:val="00CE6442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NormalIndent1">
    <w:name w:val="Normal Indent1"/>
    <w:basedOn w:val="Normal"/>
    <w:next w:val="NormalIndent"/>
    <w:uiPriority w:val="99"/>
    <w:unhideWhenUsed/>
    <w:rsid w:val="00CE6442"/>
    <w:pPr>
      <w:widowControl/>
      <w:autoSpaceDE/>
      <w:autoSpaceDN/>
      <w:spacing w:after="200" w:line="276" w:lineRule="auto"/>
      <w:ind w:left="720"/>
    </w:pPr>
    <w:rPr>
      <w:rFonts w:ascii="Verdana" w:eastAsia="Calibri" w:hAnsi="Verdana" w:cs="Verdana"/>
    </w:rPr>
  </w:style>
  <w:style w:type="paragraph" w:customStyle="1" w:styleId="Subtitle1">
    <w:name w:val="Subtitle1"/>
    <w:basedOn w:val="Normal"/>
    <w:next w:val="Normal"/>
    <w:uiPriority w:val="11"/>
    <w:qFormat/>
    <w:rsid w:val="00CE644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442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644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CE644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E6442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E6442"/>
    <w:pPr>
      <w:widowControl/>
      <w:autoSpaceDE/>
      <w:autoSpaceDN/>
      <w:spacing w:after="200"/>
    </w:pPr>
    <w:rPr>
      <w:rFonts w:ascii="Verdana" w:eastAsia="Calibri" w:hAnsi="Verdana" w:cs="Verdana"/>
      <w:b/>
      <w:bCs/>
      <w:color w:val="5B9BD5"/>
      <w:sz w:val="18"/>
      <w:szCs w:val="18"/>
    </w:rPr>
  </w:style>
  <w:style w:type="paragraph" w:customStyle="1" w:styleId="DocDefaults">
    <w:name w:val="DocDefaults"/>
    <w:rsid w:val="00CE6442"/>
    <w:pPr>
      <w:widowControl/>
      <w:autoSpaceDE/>
      <w:autoSpaceDN/>
      <w:spacing w:after="200" w:line="276" w:lineRule="auto"/>
    </w:pPr>
  </w:style>
  <w:style w:type="character" w:customStyle="1" w:styleId="Heading1Char1">
    <w:name w:val="Heading 1 Char1"/>
    <w:basedOn w:val="DefaultParagraphFont"/>
    <w:uiPriority w:val="9"/>
    <w:rsid w:val="00CE6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CE6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E6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CE64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Indent">
    <w:name w:val="Normal Indent"/>
    <w:basedOn w:val="Normal"/>
    <w:uiPriority w:val="99"/>
    <w:semiHidden/>
    <w:unhideWhenUsed/>
    <w:rsid w:val="00CE644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E6442"/>
    <w:pPr>
      <w:numPr>
        <w:ilvl w:val="1"/>
      </w:numPr>
      <w:spacing w:after="160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CE644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CE644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Tahoma" w:eastAsia="Times New Roman" w:hAnsi="Tahoma" w:cs="Tahoma"/>
      <w:sz w:val="16"/>
      <w:szCs w:val="16"/>
    </w:rPr>
  </w:style>
  <w:style w:type="paragraph" w:customStyle="1" w:styleId="auto-style1">
    <w:name w:val="auto-style1"/>
    <w:basedOn w:val="Normal"/>
    <w:rsid w:val="00F33A8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sic-paragraph">
    <w:name w:val="basic-paragraph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uperscript">
    <w:name w:val="superscript"/>
    <w:basedOn w:val="DefaultParagraphFont"/>
    <w:rsid w:val="00096F08"/>
  </w:style>
  <w:style w:type="paragraph" w:customStyle="1" w:styleId="f">
    <w:name w:val="f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ela">
    <w:name w:val="tabela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096F08"/>
  </w:style>
  <w:style w:type="paragraph" w:customStyle="1" w:styleId="bold1">
    <w:name w:val="bold1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talik">
    <w:name w:val="italik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ocetakpriloga">
    <w:name w:val="pocetak_priloga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96F08"/>
    <w:rPr>
      <w:b/>
      <w:bCs/>
    </w:rPr>
  </w:style>
  <w:style w:type="paragraph" w:customStyle="1" w:styleId="potpis">
    <w:name w:val="potpis"/>
    <w:basedOn w:val="Normal"/>
    <w:rsid w:val="00096F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avno-informacioni-sistem.rs/SlGlasnikPortal/slglrs/prilozi/%D0%9F%D1%80%D0%B8%D0%BB%D0%BE%D0%B3.pdf&amp;doctype=og&amp;abc=cba&amp;actid=1015991&amp;actId=1015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6092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2024-01-03T09:06:00Z</dcterms:created>
  <dcterms:modified xsi:type="dcterms:W3CDTF">2024-01-03T09:13:00Z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2023-12-29T00:00:00Z</vt:filetime>
  </property>
  <property fmtid="{D5CDD505-2E9C-101B-9397-08002B2CF9AE}" pid="5" name="Producer">
    <vt:lpwstr>Adobe PDF Library 17.0</vt:lpwstr>
  </property>
</Properties>
</file>